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ustomizations.xml" ContentType="application/vnd.ms-word.keyMapCustomization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7E31D20">
      <w:pPr>
        <w:bidi w:val="0"/>
      </w:pPr>
      <w:bookmarkStart w:id="80" w:name="_GoBack"/>
      <w:bookmarkEnd w:id="80"/>
    </w:p>
    <w:p w14:paraId="21249C5E">
      <w:pPr>
        <w:bidi w:val="0"/>
      </w:pPr>
    </w:p>
    <w:p w14:paraId="69C80C14">
      <w:pPr>
        <w:bidi w:val="0"/>
      </w:pPr>
    </w:p>
    <w:p w14:paraId="30A5E7DE">
      <w:pPr>
        <w:bidi w:val="0"/>
      </w:pPr>
    </w:p>
    <w:p w14:paraId="69D97E5B">
      <w:pPr>
        <w:bidi w:val="0"/>
      </w:pPr>
    </w:p>
    <w:p w14:paraId="716F8F2A">
      <w:pPr>
        <w:bidi w:val="0"/>
      </w:pPr>
    </w:p>
    <w:p w14:paraId="0F3C82E7">
      <w:pPr>
        <w:bidi w:val="0"/>
      </w:pPr>
    </w:p>
    <w:p w14:paraId="14A32E8C">
      <w:pPr>
        <w:spacing w:after="120"/>
        <w:ind w:firstLine="0" w:firstLineChars="0"/>
        <w:jc w:val="center"/>
        <w:rPr>
          <w:rFonts w:ascii="方正小标宋_GBK" w:hAnsi="方正小标宋_GBK" w:eastAsia="方正小标宋_GBK" w:cs="方正小标宋_GBK"/>
          <w:sz w:val="52"/>
          <w:szCs w:val="52"/>
        </w:rPr>
      </w:pPr>
      <w:r>
        <w:rPr>
          <w:rFonts w:ascii="方正小标宋_GBK" w:hAnsi="方正小标宋_GBK" w:eastAsia="方正小标宋_GBK" w:cs="方正小标宋_GBK"/>
          <w:sz w:val="52"/>
          <w:szCs w:val="52"/>
        </w:rPr>
        <w:t>包头市白云鄂博矿区</w:t>
      </w:r>
    </w:p>
    <w:p w14:paraId="39096709">
      <w:pPr>
        <w:spacing w:after="120"/>
        <w:ind w:firstLine="0" w:firstLineChars="0"/>
        <w:jc w:val="center"/>
        <w:rPr>
          <w:rFonts w:ascii="方正小标宋_GBK" w:hAnsi="方正小标宋_GBK" w:eastAsia="方正小标宋_GBK" w:cs="方正小标宋_GBK"/>
          <w:sz w:val="52"/>
          <w:szCs w:val="52"/>
        </w:rPr>
      </w:pPr>
      <w:r>
        <w:rPr>
          <w:rFonts w:ascii="方正小标宋_GBK" w:hAnsi="方正小标宋_GBK" w:eastAsia="方正小标宋_GBK" w:cs="方正小标宋_GBK"/>
          <w:sz w:val="52"/>
          <w:szCs w:val="52"/>
          <w:lang w:val="en-US"/>
        </w:rPr>
        <w:t>城区</w:t>
      </w:r>
      <w:r>
        <w:rPr>
          <w:rFonts w:hint="eastAsia" w:ascii="方正小标宋_GBK" w:hAnsi="方正小标宋_GBK" w:eastAsia="方正小标宋_GBK" w:cs="方正小标宋_GBK"/>
          <w:sz w:val="52"/>
          <w:szCs w:val="52"/>
          <w:lang w:val="en-US"/>
        </w:rPr>
        <w:t>国土空间</w:t>
      </w:r>
      <w:r>
        <w:rPr>
          <w:rFonts w:ascii="方正小标宋_GBK" w:hAnsi="方正小标宋_GBK" w:eastAsia="方正小标宋_GBK" w:cs="方正小标宋_GBK"/>
          <w:sz w:val="52"/>
          <w:szCs w:val="52"/>
        </w:rPr>
        <w:t>详细规划</w:t>
      </w:r>
    </w:p>
    <w:p w14:paraId="4160E202">
      <w:pPr>
        <w:spacing w:after="120"/>
        <w:ind w:firstLine="500"/>
        <w:jc w:val="center"/>
      </w:pPr>
    </w:p>
    <w:p w14:paraId="7FC68700">
      <w:pPr>
        <w:spacing w:after="120"/>
        <w:ind w:firstLine="500"/>
        <w:jc w:val="center"/>
      </w:pPr>
    </w:p>
    <w:p w14:paraId="6946BDF2">
      <w:pPr>
        <w:bidi w:val="0"/>
        <w:ind w:left="0" w:leftChars="0" w:firstLine="0" w:firstLineChars="0"/>
        <w:jc w:val="center"/>
        <w:rPr>
          <w:rFonts w:hint="eastAsia" w:eastAsia="宋体"/>
          <w:sz w:val="44"/>
          <w:szCs w:val="44"/>
          <w:lang w:eastAsia="zh-CN"/>
        </w:rPr>
      </w:pPr>
      <w:r>
        <w:rPr>
          <w:rFonts w:hint="eastAsia" w:eastAsia="黑体"/>
          <w:bCs/>
          <w:sz w:val="44"/>
          <w:szCs w:val="44"/>
          <w:lang w:val="en-US" w:eastAsia="zh-CN"/>
        </w:rPr>
        <w:t>说明书</w:t>
      </w:r>
    </w:p>
    <w:p w14:paraId="7E916CCF">
      <w:pPr>
        <w:bidi w:val="0"/>
      </w:pPr>
    </w:p>
    <w:p w14:paraId="1F67A558">
      <w:pPr>
        <w:bidi w:val="0"/>
      </w:pPr>
    </w:p>
    <w:p w14:paraId="64D79FD2">
      <w:pPr>
        <w:bidi w:val="0"/>
      </w:pPr>
    </w:p>
    <w:p w14:paraId="233340DF">
      <w:pPr>
        <w:bidi w:val="0"/>
      </w:pPr>
    </w:p>
    <w:p w14:paraId="3975E186">
      <w:pPr>
        <w:bidi w:val="0"/>
      </w:pPr>
    </w:p>
    <w:p w14:paraId="1C3AF311">
      <w:pPr>
        <w:bidi w:val="0"/>
      </w:pPr>
    </w:p>
    <w:p w14:paraId="4ADC6001">
      <w:pPr>
        <w:bidi w:val="0"/>
      </w:pPr>
    </w:p>
    <w:p w14:paraId="60F9A7A3">
      <w:pPr>
        <w:bidi w:val="0"/>
      </w:pPr>
    </w:p>
    <w:p w14:paraId="7786F11F">
      <w:pPr>
        <w:keepNext w:val="0"/>
        <w:keepLines w:val="0"/>
        <w:pageBreakBefore w:val="0"/>
        <w:widowControl w:val="0"/>
        <w:kinsoku/>
        <w:wordWrap/>
        <w:overflowPunct/>
        <w:topLinePunct/>
        <w:autoSpaceDE/>
        <w:autoSpaceDN/>
        <w:bidi w:val="0"/>
        <w:adjustRightInd w:val="0"/>
        <w:snapToGrid w:val="0"/>
        <w:spacing w:after="120"/>
        <w:ind w:firstLine="0" w:firstLineChars="0"/>
        <w:textAlignment w:val="auto"/>
        <w:rPr>
          <w:rFonts w:ascii="楷体_GB2312" w:hAnsi="楷体_GB2312" w:eastAsia="楷体_GB2312" w:cs="楷体_GB2312"/>
          <w:sz w:val="36"/>
          <w:szCs w:val="36"/>
        </w:rPr>
      </w:pPr>
    </w:p>
    <w:p w14:paraId="6C3C34D2">
      <w:pPr>
        <w:keepNext w:val="0"/>
        <w:keepLines w:val="0"/>
        <w:pageBreakBefore w:val="0"/>
        <w:widowControl w:val="0"/>
        <w:kinsoku/>
        <w:wordWrap/>
        <w:overflowPunct/>
        <w:topLinePunct/>
        <w:autoSpaceDE/>
        <w:autoSpaceDN/>
        <w:bidi w:val="0"/>
        <w:adjustRightInd w:val="0"/>
        <w:snapToGrid w:val="0"/>
        <w:spacing w:after="120"/>
        <w:ind w:firstLine="0" w:firstLineChars="0"/>
        <w:jc w:val="center"/>
        <w:textAlignment w:val="auto"/>
        <w:rPr>
          <w:rFonts w:ascii="楷体_GB2312" w:hAnsi="楷体_GB2312" w:eastAsia="楷体_GB2312" w:cs="楷体_GB2312"/>
          <w:sz w:val="28"/>
          <w:szCs w:val="28"/>
          <w:lang w:val="en-US"/>
        </w:rPr>
      </w:pPr>
      <w:r>
        <w:rPr>
          <w:rFonts w:hint="eastAsia" w:ascii="楷体_GB2312" w:hAnsi="楷体_GB2312" w:eastAsia="楷体_GB2312" w:cs="楷体_GB2312"/>
          <w:sz w:val="28"/>
          <w:szCs w:val="28"/>
          <w:lang w:val="en-US"/>
        </w:rPr>
        <w:t>白云鄂博矿区自然资源局</w:t>
      </w:r>
    </w:p>
    <w:p w14:paraId="0AE07169">
      <w:pPr>
        <w:keepNext w:val="0"/>
        <w:keepLines w:val="0"/>
        <w:pageBreakBefore w:val="0"/>
        <w:widowControl w:val="0"/>
        <w:kinsoku/>
        <w:wordWrap/>
        <w:overflowPunct/>
        <w:topLinePunct/>
        <w:autoSpaceDE/>
        <w:autoSpaceDN/>
        <w:bidi w:val="0"/>
        <w:adjustRightInd w:val="0"/>
        <w:snapToGrid w:val="0"/>
        <w:spacing w:after="120"/>
        <w:ind w:firstLine="0" w:firstLineChars="0"/>
        <w:jc w:val="center"/>
        <w:textAlignment w:val="auto"/>
        <w:rPr>
          <w:rFonts w:ascii="楷体_GB2312" w:hAnsi="楷体_GB2312" w:eastAsia="楷体_GB2312" w:cs="楷体_GB2312"/>
          <w:sz w:val="28"/>
          <w:szCs w:val="28"/>
        </w:rPr>
      </w:pPr>
      <w:r>
        <w:rPr>
          <w:rFonts w:hint="eastAsia" w:ascii="楷体_GB2312" w:hAnsi="楷体_GB2312" w:eastAsia="楷体_GB2312" w:cs="楷体_GB2312"/>
          <w:sz w:val="28"/>
          <w:szCs w:val="28"/>
          <w:lang w:val="en-US"/>
        </w:rPr>
        <w:t>南京大学城市规划设计研究院</w:t>
      </w:r>
    </w:p>
    <w:p w14:paraId="405ED887">
      <w:pPr>
        <w:keepNext w:val="0"/>
        <w:keepLines w:val="0"/>
        <w:pageBreakBefore w:val="0"/>
        <w:widowControl w:val="0"/>
        <w:kinsoku/>
        <w:wordWrap/>
        <w:overflowPunct/>
        <w:topLinePunct/>
        <w:autoSpaceDE/>
        <w:autoSpaceDN/>
        <w:bidi w:val="0"/>
        <w:adjustRightInd w:val="0"/>
        <w:snapToGrid w:val="0"/>
        <w:spacing w:after="120"/>
        <w:ind w:firstLine="0" w:firstLineChars="0"/>
        <w:jc w:val="center"/>
        <w:textAlignment w:val="auto"/>
        <w:rPr>
          <w:rFonts w:ascii="楷体_GB2312" w:hAnsi="楷体_GB2312" w:eastAsia="楷体_GB2312" w:cs="楷体_GB2312"/>
          <w:sz w:val="28"/>
          <w:szCs w:val="28"/>
        </w:rPr>
      </w:pPr>
      <w:r>
        <w:rPr>
          <w:rFonts w:hint="eastAsia" w:ascii="楷体_GB2312" w:hAnsi="楷体_GB2312" w:eastAsia="楷体_GB2312" w:cs="楷体_GB2312"/>
          <w:sz w:val="28"/>
          <w:szCs w:val="28"/>
        </w:rPr>
        <w:t>202</w:t>
      </w:r>
      <w:r>
        <w:rPr>
          <w:rFonts w:hint="eastAsia" w:ascii="楷体_GB2312" w:hAnsi="楷体_GB2312" w:eastAsia="楷体_GB2312" w:cs="楷体_GB2312"/>
          <w:sz w:val="28"/>
          <w:szCs w:val="28"/>
          <w:lang w:val="en-US"/>
        </w:rPr>
        <w:t>4</w:t>
      </w:r>
      <w:r>
        <w:rPr>
          <w:rFonts w:hint="eastAsia" w:ascii="楷体_GB2312" w:hAnsi="楷体_GB2312" w:eastAsia="楷体_GB2312" w:cs="楷体_GB2312"/>
          <w:sz w:val="28"/>
          <w:szCs w:val="28"/>
        </w:rPr>
        <w:t>年</w:t>
      </w:r>
      <w:r>
        <w:rPr>
          <w:rFonts w:hint="eastAsia" w:ascii="楷体_GB2312" w:hAnsi="楷体_GB2312" w:eastAsia="楷体_GB2312" w:cs="楷体_GB2312"/>
          <w:sz w:val="28"/>
          <w:szCs w:val="28"/>
          <w:lang w:val="en-US" w:eastAsia="zh-CN"/>
        </w:rPr>
        <w:t>12</w:t>
      </w:r>
      <w:r>
        <w:rPr>
          <w:rFonts w:hint="eastAsia" w:ascii="楷体_GB2312" w:hAnsi="楷体_GB2312" w:eastAsia="楷体_GB2312" w:cs="楷体_GB2312"/>
          <w:sz w:val="28"/>
          <w:szCs w:val="28"/>
        </w:rPr>
        <w:t>月</w:t>
      </w:r>
    </w:p>
    <w:p w14:paraId="0FA68619">
      <w:pPr>
        <w:spacing w:after="120"/>
        <w:ind w:firstLine="0" w:firstLineChars="0"/>
      </w:pPr>
    </w:p>
    <w:p w14:paraId="345FAFFF">
      <w:pPr>
        <w:spacing w:after="120"/>
        <w:ind w:firstLine="0" w:firstLineChars="0"/>
        <w:jc w:val="center"/>
        <w:rPr>
          <w:rFonts w:ascii="方正小标宋_GBK" w:eastAsia="方正小标宋_GBK"/>
        </w:rPr>
      </w:pPr>
      <w:bookmarkStart w:id="0" w:name="_Hlk151541840"/>
    </w:p>
    <w:p w14:paraId="23DABF09">
      <w:pPr>
        <w:spacing w:after="120"/>
        <w:ind w:firstLine="0" w:firstLineChars="0"/>
        <w:jc w:val="center"/>
        <w:rPr>
          <w:rFonts w:ascii="方正小标宋_GBK" w:hAnsi="方正小标宋_GBK" w:eastAsia="方正小标宋_GBK" w:cs="方正小标宋_GBK"/>
          <w:sz w:val="52"/>
          <w:szCs w:val="52"/>
        </w:rPr>
      </w:pPr>
    </w:p>
    <w:bookmarkEnd w:id="0"/>
    <w:sdt>
      <w:sdtPr>
        <w:rPr>
          <w:rFonts w:ascii="宋体" w:hAnsi="宋体"/>
          <w:sz w:val="21"/>
        </w:rPr>
        <w:id w:val="147477913"/>
        <w15:color w:val="DBDBDB"/>
        <w:docPartObj>
          <w:docPartGallery w:val="Table of Contents"/>
          <w:docPartUnique/>
        </w:docPartObj>
      </w:sdtPr>
      <w:sdtEndPr>
        <w:rPr>
          <w:rFonts w:hint="eastAsia" w:ascii="黑体" w:hAnsi="黑体" w:eastAsia="黑体"/>
          <w:sz w:val="25"/>
          <w:szCs w:val="48"/>
          <w:lang w:val="en-US"/>
        </w:rPr>
      </w:sdtEndPr>
      <w:sdtContent>
        <w:p w14:paraId="12F2435A">
          <w:pPr>
            <w:adjustRightInd/>
            <w:snapToGrid/>
            <w:spacing w:after="166"/>
            <w:ind w:firstLine="0" w:firstLineChars="0"/>
            <w:jc w:val="right"/>
          </w:pPr>
          <w:r>
            <w:rPr>
              <w:rFonts w:hint="eastAsia" w:ascii="黑体" w:hAnsi="黑体" w:eastAsia="黑体"/>
              <w:sz w:val="40"/>
              <w:szCs w:val="40"/>
              <w:lang w:val="en-US" w:eastAsia="zh-CN"/>
            </w:rPr>
            <w:t>说明书</w:t>
          </w:r>
          <w:r>
            <w:rPr>
              <w:rFonts w:hint="eastAsia" w:ascii="黑体" w:hAnsi="黑体" w:eastAsia="黑体"/>
              <w:sz w:val="40"/>
              <w:szCs w:val="40"/>
              <w:lang w:val="en-US"/>
            </w:rPr>
            <w:t>目录</w:t>
          </w:r>
        </w:p>
        <w:p w14:paraId="05B04BF7">
          <w:pPr>
            <w:pStyle w:val="27"/>
            <w:tabs>
              <w:tab w:val="right" w:leader="dot" w:pos="8306"/>
              <w:tab w:val="clear" w:pos="8303"/>
            </w:tabs>
          </w:pPr>
          <w:r>
            <w:rPr>
              <w:rFonts w:hint="eastAsia" w:ascii="黑体" w:hAnsi="黑体"/>
              <w:sz w:val="48"/>
              <w:szCs w:val="48"/>
              <w:lang w:val="en-US"/>
            </w:rPr>
            <w:fldChar w:fldCharType="begin"/>
          </w:r>
          <w:r>
            <w:rPr>
              <w:rFonts w:hint="eastAsia" w:ascii="黑体" w:hAnsi="黑体"/>
              <w:sz w:val="48"/>
              <w:szCs w:val="48"/>
              <w:lang w:val="en-US"/>
            </w:rPr>
            <w:instrText xml:space="preserve">TOC \o "1-1" \h \u </w:instrText>
          </w:r>
          <w:r>
            <w:rPr>
              <w:rFonts w:hint="eastAsia" w:ascii="黑体" w:hAnsi="黑体"/>
              <w:sz w:val="48"/>
              <w:szCs w:val="48"/>
              <w:lang w:val="en-US"/>
            </w:rPr>
            <w:fldChar w:fldCharType="separate"/>
          </w:r>
        </w:p>
        <w:p w14:paraId="1323AAF3">
          <w:pPr>
            <w:pStyle w:val="27"/>
            <w:tabs>
              <w:tab w:val="right" w:leader="dot" w:pos="8306"/>
              <w:tab w:val="clear" w:pos="8303"/>
            </w:tabs>
            <w:rPr>
              <w:rFonts w:hint="default" w:ascii="Times New Roman" w:hAnsi="Times New Roman" w:cs="Times New Roman"/>
            </w:rPr>
          </w:pPr>
          <w:r>
            <w:rPr>
              <w:rFonts w:hint="default" w:ascii="Times New Roman" w:hAnsi="Times New Roman" w:eastAsia="黑体" w:cs="Times New Roman"/>
              <w:szCs w:val="48"/>
              <w:lang w:val="en-US"/>
            </w:rPr>
            <w:fldChar w:fldCharType="begin"/>
          </w:r>
          <w:r>
            <w:rPr>
              <w:rFonts w:hint="default" w:ascii="Times New Roman" w:hAnsi="Times New Roman" w:eastAsia="黑体" w:cs="Times New Roman"/>
              <w:szCs w:val="48"/>
              <w:lang w:val="en-US"/>
            </w:rPr>
            <w:instrText xml:space="preserve"> HYPERLINK \l _Toc4249 </w:instrText>
          </w:r>
          <w:r>
            <w:rPr>
              <w:rFonts w:hint="default" w:ascii="Times New Roman" w:hAnsi="Times New Roman" w:eastAsia="黑体" w:cs="Times New Roman"/>
              <w:szCs w:val="48"/>
              <w:lang w:val="en-US"/>
            </w:rPr>
            <w:fldChar w:fldCharType="separate"/>
          </w:r>
          <w:r>
            <w:rPr>
              <w:rFonts w:hint="default" w:ascii="Times New Roman" w:hAnsi="Times New Roman" w:cs="Times New Roman"/>
            </w:rPr>
            <w:t>第一章 导言</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_Toc4249 \h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r>
            <w:rPr>
              <w:rFonts w:hint="default" w:ascii="Times New Roman" w:hAnsi="Times New Roman" w:eastAsia="黑体" w:cs="Times New Roman"/>
              <w:szCs w:val="48"/>
              <w:lang w:val="en-US"/>
            </w:rPr>
            <w:fldChar w:fldCharType="end"/>
          </w:r>
        </w:p>
        <w:p w14:paraId="0B8DEA31">
          <w:pPr>
            <w:pStyle w:val="27"/>
            <w:tabs>
              <w:tab w:val="right" w:leader="dot" w:pos="8306"/>
              <w:tab w:val="clear" w:pos="8303"/>
            </w:tabs>
            <w:rPr>
              <w:rFonts w:hint="default" w:ascii="Times New Roman" w:hAnsi="Times New Roman" w:cs="Times New Roman"/>
            </w:rPr>
          </w:pPr>
          <w:r>
            <w:rPr>
              <w:rFonts w:hint="default" w:ascii="Times New Roman" w:hAnsi="Times New Roman" w:eastAsia="黑体" w:cs="Times New Roman"/>
              <w:szCs w:val="48"/>
              <w:lang w:val="en-US"/>
            </w:rPr>
            <w:fldChar w:fldCharType="begin"/>
          </w:r>
          <w:r>
            <w:rPr>
              <w:rFonts w:hint="default" w:ascii="Times New Roman" w:hAnsi="Times New Roman" w:eastAsia="黑体" w:cs="Times New Roman"/>
              <w:szCs w:val="48"/>
              <w:lang w:val="en-US"/>
            </w:rPr>
            <w:instrText xml:space="preserve"> HYPERLINK \l _Toc10064 </w:instrText>
          </w:r>
          <w:r>
            <w:rPr>
              <w:rFonts w:hint="default" w:ascii="Times New Roman" w:hAnsi="Times New Roman" w:eastAsia="黑体" w:cs="Times New Roman"/>
              <w:szCs w:val="48"/>
              <w:lang w:val="en-US"/>
            </w:rPr>
            <w:fldChar w:fldCharType="separate"/>
          </w:r>
          <w:r>
            <w:rPr>
              <w:rFonts w:hint="default" w:ascii="Times New Roman" w:hAnsi="Times New Roman" w:cs="Times New Roman"/>
            </w:rPr>
            <w:t>第二章 现状分析</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_Toc10064 \h </w:instrText>
          </w:r>
          <w:r>
            <w:rPr>
              <w:rFonts w:hint="default" w:ascii="Times New Roman" w:hAnsi="Times New Roman" w:cs="Times New Roman"/>
            </w:rPr>
            <w:fldChar w:fldCharType="separate"/>
          </w:r>
          <w:r>
            <w:rPr>
              <w:rFonts w:hint="default" w:ascii="Times New Roman" w:hAnsi="Times New Roman" w:cs="Times New Roman"/>
            </w:rPr>
            <w:t>5</w:t>
          </w:r>
          <w:r>
            <w:rPr>
              <w:rFonts w:hint="default" w:ascii="Times New Roman" w:hAnsi="Times New Roman" w:cs="Times New Roman"/>
            </w:rPr>
            <w:fldChar w:fldCharType="end"/>
          </w:r>
          <w:r>
            <w:rPr>
              <w:rFonts w:hint="default" w:ascii="Times New Roman" w:hAnsi="Times New Roman" w:eastAsia="黑体" w:cs="Times New Roman"/>
              <w:szCs w:val="48"/>
              <w:lang w:val="en-US"/>
            </w:rPr>
            <w:fldChar w:fldCharType="end"/>
          </w:r>
        </w:p>
        <w:p w14:paraId="2DD22A57">
          <w:pPr>
            <w:pStyle w:val="27"/>
            <w:tabs>
              <w:tab w:val="right" w:leader="dot" w:pos="8306"/>
              <w:tab w:val="clear" w:pos="8303"/>
            </w:tabs>
            <w:rPr>
              <w:rFonts w:hint="default" w:ascii="Times New Roman" w:hAnsi="Times New Roman" w:cs="Times New Roman"/>
            </w:rPr>
          </w:pPr>
          <w:r>
            <w:rPr>
              <w:rFonts w:hint="default" w:ascii="Times New Roman" w:hAnsi="Times New Roman" w:eastAsia="黑体" w:cs="Times New Roman"/>
              <w:szCs w:val="48"/>
              <w:lang w:val="en-US"/>
            </w:rPr>
            <w:fldChar w:fldCharType="begin"/>
          </w:r>
          <w:r>
            <w:rPr>
              <w:rFonts w:hint="default" w:ascii="Times New Roman" w:hAnsi="Times New Roman" w:eastAsia="黑体" w:cs="Times New Roman"/>
              <w:szCs w:val="48"/>
              <w:lang w:val="en-US"/>
            </w:rPr>
            <w:instrText xml:space="preserve"> HYPERLINK \l _Toc6099 </w:instrText>
          </w:r>
          <w:r>
            <w:rPr>
              <w:rFonts w:hint="default" w:ascii="Times New Roman" w:hAnsi="Times New Roman" w:eastAsia="黑体" w:cs="Times New Roman"/>
              <w:szCs w:val="48"/>
              <w:lang w:val="en-US"/>
            </w:rPr>
            <w:fldChar w:fldCharType="separate"/>
          </w:r>
          <w:r>
            <w:rPr>
              <w:rFonts w:hint="default" w:ascii="Times New Roman" w:hAnsi="Times New Roman" w:cs="Times New Roman"/>
            </w:rPr>
            <w:t>第三章 规划衔接传导</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_Toc6099 \h </w:instrText>
          </w:r>
          <w:r>
            <w:rPr>
              <w:rFonts w:hint="default" w:ascii="Times New Roman" w:hAnsi="Times New Roman" w:cs="Times New Roman"/>
            </w:rPr>
            <w:fldChar w:fldCharType="separate"/>
          </w:r>
          <w:r>
            <w:rPr>
              <w:rFonts w:hint="default" w:ascii="Times New Roman" w:hAnsi="Times New Roman" w:cs="Times New Roman"/>
            </w:rPr>
            <w:t>14</w:t>
          </w:r>
          <w:r>
            <w:rPr>
              <w:rFonts w:hint="default" w:ascii="Times New Roman" w:hAnsi="Times New Roman" w:cs="Times New Roman"/>
            </w:rPr>
            <w:fldChar w:fldCharType="end"/>
          </w:r>
          <w:r>
            <w:rPr>
              <w:rFonts w:hint="default" w:ascii="Times New Roman" w:hAnsi="Times New Roman" w:eastAsia="黑体" w:cs="Times New Roman"/>
              <w:szCs w:val="48"/>
              <w:lang w:val="en-US"/>
            </w:rPr>
            <w:fldChar w:fldCharType="end"/>
          </w:r>
        </w:p>
        <w:p w14:paraId="4C31B769">
          <w:pPr>
            <w:pStyle w:val="27"/>
            <w:tabs>
              <w:tab w:val="right" w:leader="dot" w:pos="8306"/>
              <w:tab w:val="clear" w:pos="8303"/>
            </w:tabs>
            <w:rPr>
              <w:rFonts w:hint="default" w:ascii="Times New Roman" w:hAnsi="Times New Roman" w:cs="Times New Roman"/>
            </w:rPr>
          </w:pPr>
          <w:r>
            <w:rPr>
              <w:rFonts w:hint="default" w:ascii="Times New Roman" w:hAnsi="Times New Roman" w:eastAsia="黑体" w:cs="Times New Roman"/>
              <w:szCs w:val="48"/>
              <w:lang w:val="en-US"/>
            </w:rPr>
            <w:fldChar w:fldCharType="begin"/>
          </w:r>
          <w:r>
            <w:rPr>
              <w:rFonts w:hint="default" w:ascii="Times New Roman" w:hAnsi="Times New Roman" w:eastAsia="黑体" w:cs="Times New Roman"/>
              <w:szCs w:val="48"/>
              <w:lang w:val="en-US"/>
            </w:rPr>
            <w:instrText xml:space="preserve"> HYPERLINK \l _Toc27205 </w:instrText>
          </w:r>
          <w:r>
            <w:rPr>
              <w:rFonts w:hint="default" w:ascii="Times New Roman" w:hAnsi="Times New Roman" w:eastAsia="黑体" w:cs="Times New Roman"/>
              <w:szCs w:val="48"/>
              <w:lang w:val="en-US"/>
            </w:rPr>
            <w:fldChar w:fldCharType="separate"/>
          </w:r>
          <w:r>
            <w:rPr>
              <w:rFonts w:hint="default" w:ascii="Times New Roman" w:hAnsi="Times New Roman" w:cs="Times New Roman"/>
            </w:rPr>
            <w:t>第四章 功能定位与规模控制</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_Toc27205 \h </w:instrText>
          </w:r>
          <w:r>
            <w:rPr>
              <w:rFonts w:hint="default" w:ascii="Times New Roman" w:hAnsi="Times New Roman" w:cs="Times New Roman"/>
            </w:rPr>
            <w:fldChar w:fldCharType="separate"/>
          </w:r>
          <w:r>
            <w:rPr>
              <w:rFonts w:hint="default" w:ascii="Times New Roman" w:hAnsi="Times New Roman" w:cs="Times New Roman"/>
            </w:rPr>
            <w:t>34</w:t>
          </w:r>
          <w:r>
            <w:rPr>
              <w:rFonts w:hint="default" w:ascii="Times New Roman" w:hAnsi="Times New Roman" w:cs="Times New Roman"/>
            </w:rPr>
            <w:fldChar w:fldCharType="end"/>
          </w:r>
          <w:r>
            <w:rPr>
              <w:rFonts w:hint="default" w:ascii="Times New Roman" w:hAnsi="Times New Roman" w:eastAsia="黑体" w:cs="Times New Roman"/>
              <w:szCs w:val="48"/>
              <w:lang w:val="en-US"/>
            </w:rPr>
            <w:fldChar w:fldCharType="end"/>
          </w:r>
        </w:p>
        <w:p w14:paraId="2D74334D">
          <w:pPr>
            <w:pStyle w:val="27"/>
            <w:tabs>
              <w:tab w:val="right" w:leader="dot" w:pos="8306"/>
              <w:tab w:val="clear" w:pos="8303"/>
            </w:tabs>
            <w:rPr>
              <w:rFonts w:hint="default" w:ascii="Times New Roman" w:hAnsi="Times New Roman" w:cs="Times New Roman"/>
            </w:rPr>
          </w:pPr>
          <w:r>
            <w:rPr>
              <w:rFonts w:hint="default" w:ascii="Times New Roman" w:hAnsi="Times New Roman" w:eastAsia="黑体" w:cs="Times New Roman"/>
              <w:szCs w:val="48"/>
              <w:lang w:val="en-US"/>
            </w:rPr>
            <w:fldChar w:fldCharType="begin"/>
          </w:r>
          <w:r>
            <w:rPr>
              <w:rFonts w:hint="default" w:ascii="Times New Roman" w:hAnsi="Times New Roman" w:eastAsia="黑体" w:cs="Times New Roman"/>
              <w:szCs w:val="48"/>
              <w:lang w:val="en-US"/>
            </w:rPr>
            <w:instrText xml:space="preserve"> HYPERLINK \l _Toc308 </w:instrText>
          </w:r>
          <w:r>
            <w:rPr>
              <w:rFonts w:hint="default" w:ascii="Times New Roman" w:hAnsi="Times New Roman" w:eastAsia="黑体" w:cs="Times New Roman"/>
              <w:szCs w:val="48"/>
              <w:lang w:val="en-US"/>
            </w:rPr>
            <w:fldChar w:fldCharType="separate"/>
          </w:r>
          <w:r>
            <w:rPr>
              <w:rFonts w:hint="default" w:ascii="Times New Roman" w:hAnsi="Times New Roman" w:cs="Times New Roman"/>
            </w:rPr>
            <w:t>第五章 居住用地</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_Toc308 \h </w:instrText>
          </w:r>
          <w:r>
            <w:rPr>
              <w:rFonts w:hint="default" w:ascii="Times New Roman" w:hAnsi="Times New Roman" w:cs="Times New Roman"/>
            </w:rPr>
            <w:fldChar w:fldCharType="separate"/>
          </w:r>
          <w:r>
            <w:rPr>
              <w:rFonts w:hint="default" w:ascii="Times New Roman" w:hAnsi="Times New Roman" w:cs="Times New Roman"/>
            </w:rPr>
            <w:t>42</w:t>
          </w:r>
          <w:r>
            <w:rPr>
              <w:rFonts w:hint="default" w:ascii="Times New Roman" w:hAnsi="Times New Roman" w:cs="Times New Roman"/>
            </w:rPr>
            <w:fldChar w:fldCharType="end"/>
          </w:r>
          <w:r>
            <w:rPr>
              <w:rFonts w:hint="default" w:ascii="Times New Roman" w:hAnsi="Times New Roman" w:eastAsia="黑体" w:cs="Times New Roman"/>
              <w:szCs w:val="48"/>
              <w:lang w:val="en-US"/>
            </w:rPr>
            <w:fldChar w:fldCharType="end"/>
          </w:r>
        </w:p>
        <w:p w14:paraId="55E9CFB1">
          <w:pPr>
            <w:pStyle w:val="27"/>
            <w:tabs>
              <w:tab w:val="right" w:leader="dot" w:pos="8306"/>
              <w:tab w:val="clear" w:pos="8303"/>
            </w:tabs>
            <w:rPr>
              <w:rFonts w:hint="default" w:ascii="Times New Roman" w:hAnsi="Times New Roman" w:cs="Times New Roman"/>
            </w:rPr>
          </w:pPr>
          <w:r>
            <w:rPr>
              <w:rFonts w:hint="default" w:ascii="Times New Roman" w:hAnsi="Times New Roman" w:eastAsia="黑体" w:cs="Times New Roman"/>
              <w:szCs w:val="48"/>
              <w:lang w:val="en-US"/>
            </w:rPr>
            <w:fldChar w:fldCharType="begin"/>
          </w:r>
          <w:r>
            <w:rPr>
              <w:rFonts w:hint="default" w:ascii="Times New Roman" w:hAnsi="Times New Roman" w:eastAsia="黑体" w:cs="Times New Roman"/>
              <w:szCs w:val="48"/>
              <w:lang w:val="en-US"/>
            </w:rPr>
            <w:instrText xml:space="preserve"> HYPERLINK \l _Toc25350 </w:instrText>
          </w:r>
          <w:r>
            <w:rPr>
              <w:rFonts w:hint="default" w:ascii="Times New Roman" w:hAnsi="Times New Roman" w:eastAsia="黑体" w:cs="Times New Roman"/>
              <w:szCs w:val="48"/>
              <w:lang w:val="en-US"/>
            </w:rPr>
            <w:fldChar w:fldCharType="separate"/>
          </w:r>
          <w:r>
            <w:rPr>
              <w:rFonts w:hint="default" w:ascii="Times New Roman" w:hAnsi="Times New Roman" w:cs="Times New Roman"/>
            </w:rPr>
            <w:t>第六章 公共管理与公共服务设施</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_Toc25350 \h </w:instrText>
          </w:r>
          <w:r>
            <w:rPr>
              <w:rFonts w:hint="default" w:ascii="Times New Roman" w:hAnsi="Times New Roman" w:cs="Times New Roman"/>
            </w:rPr>
            <w:fldChar w:fldCharType="separate"/>
          </w:r>
          <w:r>
            <w:rPr>
              <w:rFonts w:hint="default" w:ascii="Times New Roman" w:hAnsi="Times New Roman" w:cs="Times New Roman"/>
            </w:rPr>
            <w:t>47</w:t>
          </w:r>
          <w:r>
            <w:rPr>
              <w:rFonts w:hint="default" w:ascii="Times New Roman" w:hAnsi="Times New Roman" w:cs="Times New Roman"/>
            </w:rPr>
            <w:fldChar w:fldCharType="end"/>
          </w:r>
          <w:r>
            <w:rPr>
              <w:rFonts w:hint="default" w:ascii="Times New Roman" w:hAnsi="Times New Roman" w:eastAsia="黑体" w:cs="Times New Roman"/>
              <w:szCs w:val="48"/>
              <w:lang w:val="en-US"/>
            </w:rPr>
            <w:fldChar w:fldCharType="end"/>
          </w:r>
        </w:p>
        <w:p w14:paraId="4FF51130">
          <w:pPr>
            <w:pStyle w:val="27"/>
            <w:tabs>
              <w:tab w:val="right" w:leader="dot" w:pos="8306"/>
              <w:tab w:val="clear" w:pos="8303"/>
            </w:tabs>
            <w:rPr>
              <w:rFonts w:hint="default" w:ascii="Times New Roman" w:hAnsi="Times New Roman" w:cs="Times New Roman"/>
            </w:rPr>
          </w:pPr>
          <w:r>
            <w:rPr>
              <w:rFonts w:hint="default" w:ascii="Times New Roman" w:hAnsi="Times New Roman" w:eastAsia="黑体" w:cs="Times New Roman"/>
              <w:szCs w:val="48"/>
              <w:lang w:val="en-US"/>
            </w:rPr>
            <w:fldChar w:fldCharType="begin"/>
          </w:r>
          <w:r>
            <w:rPr>
              <w:rFonts w:hint="default" w:ascii="Times New Roman" w:hAnsi="Times New Roman" w:eastAsia="黑体" w:cs="Times New Roman"/>
              <w:szCs w:val="48"/>
              <w:lang w:val="en-US"/>
            </w:rPr>
            <w:instrText xml:space="preserve"> HYPERLINK \l _Toc5473 </w:instrText>
          </w:r>
          <w:r>
            <w:rPr>
              <w:rFonts w:hint="default" w:ascii="Times New Roman" w:hAnsi="Times New Roman" w:eastAsia="黑体" w:cs="Times New Roman"/>
              <w:szCs w:val="48"/>
              <w:lang w:val="en-US"/>
            </w:rPr>
            <w:fldChar w:fldCharType="separate"/>
          </w:r>
          <w:r>
            <w:rPr>
              <w:rFonts w:hint="default" w:ascii="Times New Roman" w:hAnsi="Times New Roman" w:cs="Times New Roman"/>
            </w:rPr>
            <w:t>第七章 商业服务设施</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_Toc5473 \h </w:instrText>
          </w:r>
          <w:r>
            <w:rPr>
              <w:rFonts w:hint="default" w:ascii="Times New Roman" w:hAnsi="Times New Roman" w:cs="Times New Roman"/>
            </w:rPr>
            <w:fldChar w:fldCharType="separate"/>
          </w:r>
          <w:r>
            <w:rPr>
              <w:rFonts w:hint="default" w:ascii="Times New Roman" w:hAnsi="Times New Roman" w:cs="Times New Roman"/>
            </w:rPr>
            <w:t>54</w:t>
          </w:r>
          <w:r>
            <w:rPr>
              <w:rFonts w:hint="default" w:ascii="Times New Roman" w:hAnsi="Times New Roman" w:cs="Times New Roman"/>
            </w:rPr>
            <w:fldChar w:fldCharType="end"/>
          </w:r>
          <w:r>
            <w:rPr>
              <w:rFonts w:hint="default" w:ascii="Times New Roman" w:hAnsi="Times New Roman" w:eastAsia="黑体" w:cs="Times New Roman"/>
              <w:szCs w:val="48"/>
              <w:lang w:val="en-US"/>
            </w:rPr>
            <w:fldChar w:fldCharType="end"/>
          </w:r>
        </w:p>
        <w:p w14:paraId="5F0CE361">
          <w:pPr>
            <w:pStyle w:val="27"/>
            <w:tabs>
              <w:tab w:val="right" w:leader="dot" w:pos="8306"/>
              <w:tab w:val="clear" w:pos="8303"/>
            </w:tabs>
            <w:rPr>
              <w:rFonts w:hint="default" w:ascii="Times New Roman" w:hAnsi="Times New Roman" w:cs="Times New Roman"/>
            </w:rPr>
          </w:pPr>
          <w:r>
            <w:rPr>
              <w:rFonts w:hint="default" w:ascii="Times New Roman" w:hAnsi="Times New Roman" w:eastAsia="黑体" w:cs="Times New Roman"/>
              <w:szCs w:val="48"/>
              <w:lang w:val="en-US"/>
            </w:rPr>
            <w:fldChar w:fldCharType="begin"/>
          </w:r>
          <w:r>
            <w:rPr>
              <w:rFonts w:hint="default" w:ascii="Times New Roman" w:hAnsi="Times New Roman" w:eastAsia="黑体" w:cs="Times New Roman"/>
              <w:szCs w:val="48"/>
              <w:lang w:val="en-US"/>
            </w:rPr>
            <w:instrText xml:space="preserve"> HYPERLINK \l _Toc21449 </w:instrText>
          </w:r>
          <w:r>
            <w:rPr>
              <w:rFonts w:hint="default" w:ascii="Times New Roman" w:hAnsi="Times New Roman" w:eastAsia="黑体" w:cs="Times New Roman"/>
              <w:szCs w:val="48"/>
              <w:lang w:val="en-US"/>
            </w:rPr>
            <w:fldChar w:fldCharType="separate"/>
          </w:r>
          <w:r>
            <w:rPr>
              <w:rFonts w:hint="default" w:ascii="Times New Roman" w:hAnsi="Times New Roman" w:cs="Times New Roman"/>
            </w:rPr>
            <w:t>第八章 绿地与开敞空间</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_Toc21449 \h </w:instrText>
          </w:r>
          <w:r>
            <w:rPr>
              <w:rFonts w:hint="default" w:ascii="Times New Roman" w:hAnsi="Times New Roman" w:cs="Times New Roman"/>
            </w:rPr>
            <w:fldChar w:fldCharType="separate"/>
          </w:r>
          <w:r>
            <w:rPr>
              <w:rFonts w:hint="default" w:ascii="Times New Roman" w:hAnsi="Times New Roman" w:cs="Times New Roman"/>
            </w:rPr>
            <w:t>61</w:t>
          </w:r>
          <w:r>
            <w:rPr>
              <w:rFonts w:hint="default" w:ascii="Times New Roman" w:hAnsi="Times New Roman" w:cs="Times New Roman"/>
            </w:rPr>
            <w:fldChar w:fldCharType="end"/>
          </w:r>
          <w:r>
            <w:rPr>
              <w:rFonts w:hint="default" w:ascii="Times New Roman" w:hAnsi="Times New Roman" w:eastAsia="黑体" w:cs="Times New Roman"/>
              <w:szCs w:val="48"/>
              <w:lang w:val="en-US"/>
            </w:rPr>
            <w:fldChar w:fldCharType="end"/>
          </w:r>
        </w:p>
        <w:p w14:paraId="44EC100B">
          <w:pPr>
            <w:pStyle w:val="27"/>
            <w:tabs>
              <w:tab w:val="right" w:leader="dot" w:pos="8306"/>
              <w:tab w:val="clear" w:pos="8303"/>
            </w:tabs>
            <w:rPr>
              <w:rFonts w:hint="default" w:ascii="Times New Roman" w:hAnsi="Times New Roman" w:cs="Times New Roman"/>
            </w:rPr>
          </w:pPr>
          <w:r>
            <w:rPr>
              <w:rFonts w:hint="default" w:ascii="Times New Roman" w:hAnsi="Times New Roman" w:eastAsia="黑体" w:cs="Times New Roman"/>
              <w:szCs w:val="48"/>
              <w:lang w:val="en-US"/>
            </w:rPr>
            <w:fldChar w:fldCharType="begin"/>
          </w:r>
          <w:r>
            <w:rPr>
              <w:rFonts w:hint="default" w:ascii="Times New Roman" w:hAnsi="Times New Roman" w:eastAsia="黑体" w:cs="Times New Roman"/>
              <w:szCs w:val="48"/>
              <w:lang w:val="en-US"/>
            </w:rPr>
            <w:instrText xml:space="preserve"> HYPERLINK \l _Toc16729 </w:instrText>
          </w:r>
          <w:r>
            <w:rPr>
              <w:rFonts w:hint="default" w:ascii="Times New Roman" w:hAnsi="Times New Roman" w:eastAsia="黑体" w:cs="Times New Roman"/>
              <w:szCs w:val="48"/>
              <w:lang w:val="en-US"/>
            </w:rPr>
            <w:fldChar w:fldCharType="separate"/>
          </w:r>
          <w:r>
            <w:rPr>
              <w:rFonts w:hint="default" w:ascii="Times New Roman" w:hAnsi="Times New Roman" w:cs="Times New Roman"/>
            </w:rPr>
            <w:t>第九章 工业和仓储用地</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_Toc16729 \h </w:instrText>
          </w:r>
          <w:r>
            <w:rPr>
              <w:rFonts w:hint="default" w:ascii="Times New Roman" w:hAnsi="Times New Roman" w:cs="Times New Roman"/>
            </w:rPr>
            <w:fldChar w:fldCharType="separate"/>
          </w:r>
          <w:r>
            <w:rPr>
              <w:rFonts w:hint="default" w:ascii="Times New Roman" w:hAnsi="Times New Roman" w:cs="Times New Roman"/>
            </w:rPr>
            <w:t>68</w:t>
          </w:r>
          <w:r>
            <w:rPr>
              <w:rFonts w:hint="default" w:ascii="Times New Roman" w:hAnsi="Times New Roman" w:cs="Times New Roman"/>
            </w:rPr>
            <w:fldChar w:fldCharType="end"/>
          </w:r>
          <w:r>
            <w:rPr>
              <w:rFonts w:hint="default" w:ascii="Times New Roman" w:hAnsi="Times New Roman" w:eastAsia="黑体" w:cs="Times New Roman"/>
              <w:szCs w:val="48"/>
              <w:lang w:val="en-US"/>
            </w:rPr>
            <w:fldChar w:fldCharType="end"/>
          </w:r>
        </w:p>
        <w:p w14:paraId="205A81E2">
          <w:pPr>
            <w:pStyle w:val="27"/>
            <w:tabs>
              <w:tab w:val="right" w:leader="dot" w:pos="8306"/>
              <w:tab w:val="clear" w:pos="8303"/>
            </w:tabs>
            <w:rPr>
              <w:rFonts w:hint="default" w:ascii="Times New Roman" w:hAnsi="Times New Roman" w:cs="Times New Roman"/>
            </w:rPr>
          </w:pPr>
          <w:r>
            <w:rPr>
              <w:rFonts w:hint="default" w:ascii="Times New Roman" w:hAnsi="Times New Roman" w:eastAsia="黑体" w:cs="Times New Roman"/>
              <w:szCs w:val="48"/>
              <w:lang w:val="en-US"/>
            </w:rPr>
            <w:fldChar w:fldCharType="begin"/>
          </w:r>
          <w:r>
            <w:rPr>
              <w:rFonts w:hint="default" w:ascii="Times New Roman" w:hAnsi="Times New Roman" w:eastAsia="黑体" w:cs="Times New Roman"/>
              <w:szCs w:val="48"/>
              <w:lang w:val="en-US"/>
            </w:rPr>
            <w:instrText xml:space="preserve"> HYPERLINK \l _Toc17093 </w:instrText>
          </w:r>
          <w:r>
            <w:rPr>
              <w:rFonts w:hint="default" w:ascii="Times New Roman" w:hAnsi="Times New Roman" w:eastAsia="黑体" w:cs="Times New Roman"/>
              <w:szCs w:val="48"/>
              <w:lang w:val="en-US"/>
            </w:rPr>
            <w:fldChar w:fldCharType="separate"/>
          </w:r>
          <w:r>
            <w:rPr>
              <w:rFonts w:hint="default" w:ascii="Times New Roman" w:hAnsi="Times New Roman" w:cs="Times New Roman"/>
            </w:rPr>
            <w:t>第十章 综合交通</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_Toc17093 \h </w:instrText>
          </w:r>
          <w:r>
            <w:rPr>
              <w:rFonts w:hint="default" w:ascii="Times New Roman" w:hAnsi="Times New Roman" w:cs="Times New Roman"/>
            </w:rPr>
            <w:fldChar w:fldCharType="separate"/>
          </w:r>
          <w:r>
            <w:rPr>
              <w:rFonts w:hint="default" w:ascii="Times New Roman" w:hAnsi="Times New Roman" w:cs="Times New Roman"/>
            </w:rPr>
            <w:t>74</w:t>
          </w:r>
          <w:r>
            <w:rPr>
              <w:rFonts w:hint="default" w:ascii="Times New Roman" w:hAnsi="Times New Roman" w:cs="Times New Roman"/>
            </w:rPr>
            <w:fldChar w:fldCharType="end"/>
          </w:r>
          <w:r>
            <w:rPr>
              <w:rFonts w:hint="default" w:ascii="Times New Roman" w:hAnsi="Times New Roman" w:eastAsia="黑体" w:cs="Times New Roman"/>
              <w:szCs w:val="48"/>
              <w:lang w:val="en-US"/>
            </w:rPr>
            <w:fldChar w:fldCharType="end"/>
          </w:r>
        </w:p>
        <w:p w14:paraId="710C1CDC">
          <w:pPr>
            <w:pStyle w:val="27"/>
            <w:tabs>
              <w:tab w:val="right" w:leader="dot" w:pos="8306"/>
              <w:tab w:val="clear" w:pos="8303"/>
            </w:tabs>
            <w:rPr>
              <w:rFonts w:hint="default" w:ascii="Times New Roman" w:hAnsi="Times New Roman" w:cs="Times New Roman"/>
            </w:rPr>
          </w:pPr>
          <w:r>
            <w:rPr>
              <w:rFonts w:hint="default" w:ascii="Times New Roman" w:hAnsi="Times New Roman" w:eastAsia="黑体" w:cs="Times New Roman"/>
              <w:szCs w:val="48"/>
              <w:lang w:val="en-US"/>
            </w:rPr>
            <w:fldChar w:fldCharType="begin"/>
          </w:r>
          <w:r>
            <w:rPr>
              <w:rFonts w:hint="default" w:ascii="Times New Roman" w:hAnsi="Times New Roman" w:eastAsia="黑体" w:cs="Times New Roman"/>
              <w:szCs w:val="48"/>
              <w:lang w:val="en-US"/>
            </w:rPr>
            <w:instrText xml:space="preserve"> HYPERLINK \l _Toc21209 </w:instrText>
          </w:r>
          <w:r>
            <w:rPr>
              <w:rFonts w:hint="default" w:ascii="Times New Roman" w:hAnsi="Times New Roman" w:eastAsia="黑体" w:cs="Times New Roman"/>
              <w:szCs w:val="48"/>
              <w:lang w:val="en-US"/>
            </w:rPr>
            <w:fldChar w:fldCharType="separate"/>
          </w:r>
          <w:r>
            <w:rPr>
              <w:rFonts w:hint="default" w:ascii="Times New Roman" w:hAnsi="Times New Roman" w:cs="Times New Roman"/>
            </w:rPr>
            <w:t>第十一章 市政基础设施</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_Toc21209 \h </w:instrText>
          </w:r>
          <w:r>
            <w:rPr>
              <w:rFonts w:hint="default" w:ascii="Times New Roman" w:hAnsi="Times New Roman" w:cs="Times New Roman"/>
            </w:rPr>
            <w:fldChar w:fldCharType="separate"/>
          </w:r>
          <w:r>
            <w:rPr>
              <w:rFonts w:hint="default" w:ascii="Times New Roman" w:hAnsi="Times New Roman" w:cs="Times New Roman"/>
            </w:rPr>
            <w:t>87</w:t>
          </w:r>
          <w:r>
            <w:rPr>
              <w:rFonts w:hint="default" w:ascii="Times New Roman" w:hAnsi="Times New Roman" w:cs="Times New Roman"/>
            </w:rPr>
            <w:fldChar w:fldCharType="end"/>
          </w:r>
          <w:r>
            <w:rPr>
              <w:rFonts w:hint="default" w:ascii="Times New Roman" w:hAnsi="Times New Roman" w:eastAsia="黑体" w:cs="Times New Roman"/>
              <w:szCs w:val="48"/>
              <w:lang w:val="en-US"/>
            </w:rPr>
            <w:fldChar w:fldCharType="end"/>
          </w:r>
        </w:p>
        <w:p w14:paraId="1B359EF0">
          <w:pPr>
            <w:pStyle w:val="27"/>
            <w:tabs>
              <w:tab w:val="right" w:leader="dot" w:pos="8306"/>
              <w:tab w:val="clear" w:pos="8303"/>
            </w:tabs>
            <w:rPr>
              <w:rFonts w:hint="default" w:ascii="Times New Roman" w:hAnsi="Times New Roman" w:cs="Times New Roman"/>
            </w:rPr>
          </w:pPr>
          <w:r>
            <w:rPr>
              <w:rFonts w:hint="default" w:ascii="Times New Roman" w:hAnsi="Times New Roman" w:eastAsia="黑体" w:cs="Times New Roman"/>
              <w:szCs w:val="48"/>
              <w:lang w:val="en-US"/>
            </w:rPr>
            <w:fldChar w:fldCharType="begin"/>
          </w:r>
          <w:r>
            <w:rPr>
              <w:rFonts w:hint="default" w:ascii="Times New Roman" w:hAnsi="Times New Roman" w:eastAsia="黑体" w:cs="Times New Roman"/>
              <w:szCs w:val="48"/>
              <w:lang w:val="en-US"/>
            </w:rPr>
            <w:instrText xml:space="preserve"> HYPERLINK \l _Toc19842 </w:instrText>
          </w:r>
          <w:r>
            <w:rPr>
              <w:rFonts w:hint="default" w:ascii="Times New Roman" w:hAnsi="Times New Roman" w:eastAsia="黑体" w:cs="Times New Roman"/>
              <w:szCs w:val="48"/>
              <w:lang w:val="en-US"/>
            </w:rPr>
            <w:fldChar w:fldCharType="separate"/>
          </w:r>
          <w:r>
            <w:rPr>
              <w:rFonts w:hint="default" w:ascii="Times New Roman" w:hAnsi="Times New Roman" w:cs="Times New Roman"/>
            </w:rPr>
            <w:t>第十二章 城市安全与综合防灾</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_Toc19842 \h </w:instrText>
          </w:r>
          <w:r>
            <w:rPr>
              <w:rFonts w:hint="default" w:ascii="Times New Roman" w:hAnsi="Times New Roman" w:cs="Times New Roman"/>
            </w:rPr>
            <w:fldChar w:fldCharType="separate"/>
          </w:r>
          <w:r>
            <w:rPr>
              <w:rFonts w:hint="default" w:ascii="Times New Roman" w:hAnsi="Times New Roman" w:cs="Times New Roman"/>
            </w:rPr>
            <w:t>105</w:t>
          </w:r>
          <w:r>
            <w:rPr>
              <w:rFonts w:hint="default" w:ascii="Times New Roman" w:hAnsi="Times New Roman" w:cs="Times New Roman"/>
            </w:rPr>
            <w:fldChar w:fldCharType="end"/>
          </w:r>
          <w:r>
            <w:rPr>
              <w:rFonts w:hint="default" w:ascii="Times New Roman" w:hAnsi="Times New Roman" w:eastAsia="黑体" w:cs="Times New Roman"/>
              <w:szCs w:val="48"/>
              <w:lang w:val="en-US"/>
            </w:rPr>
            <w:fldChar w:fldCharType="end"/>
          </w:r>
        </w:p>
        <w:p w14:paraId="7EE0F96A">
          <w:pPr>
            <w:pStyle w:val="27"/>
            <w:tabs>
              <w:tab w:val="right" w:leader="dot" w:pos="8306"/>
              <w:tab w:val="clear" w:pos="8303"/>
            </w:tabs>
            <w:rPr>
              <w:rFonts w:hint="default" w:ascii="Times New Roman" w:hAnsi="Times New Roman" w:cs="Times New Roman"/>
            </w:rPr>
          </w:pPr>
          <w:r>
            <w:rPr>
              <w:rFonts w:hint="default" w:ascii="Times New Roman" w:hAnsi="Times New Roman" w:eastAsia="黑体" w:cs="Times New Roman"/>
              <w:szCs w:val="48"/>
              <w:lang w:val="en-US"/>
            </w:rPr>
            <w:fldChar w:fldCharType="begin"/>
          </w:r>
          <w:r>
            <w:rPr>
              <w:rFonts w:hint="default" w:ascii="Times New Roman" w:hAnsi="Times New Roman" w:eastAsia="黑体" w:cs="Times New Roman"/>
              <w:szCs w:val="48"/>
              <w:lang w:val="en-US"/>
            </w:rPr>
            <w:instrText xml:space="preserve"> HYPERLINK \l _Toc25867 </w:instrText>
          </w:r>
          <w:r>
            <w:rPr>
              <w:rFonts w:hint="default" w:ascii="Times New Roman" w:hAnsi="Times New Roman" w:eastAsia="黑体" w:cs="Times New Roman"/>
              <w:szCs w:val="48"/>
              <w:lang w:val="en-US"/>
            </w:rPr>
            <w:fldChar w:fldCharType="separate"/>
          </w:r>
          <w:r>
            <w:rPr>
              <w:rFonts w:hint="default" w:ascii="Times New Roman" w:hAnsi="Times New Roman" w:cs="Times New Roman"/>
            </w:rPr>
            <w:t>第十三章 城市设计引导</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_Toc25867 \h </w:instrText>
          </w:r>
          <w:r>
            <w:rPr>
              <w:rFonts w:hint="default" w:ascii="Times New Roman" w:hAnsi="Times New Roman" w:cs="Times New Roman"/>
            </w:rPr>
            <w:fldChar w:fldCharType="separate"/>
          </w:r>
          <w:r>
            <w:rPr>
              <w:rFonts w:hint="default" w:ascii="Times New Roman" w:hAnsi="Times New Roman" w:cs="Times New Roman"/>
            </w:rPr>
            <w:t>113</w:t>
          </w:r>
          <w:r>
            <w:rPr>
              <w:rFonts w:hint="default" w:ascii="Times New Roman" w:hAnsi="Times New Roman" w:cs="Times New Roman"/>
            </w:rPr>
            <w:fldChar w:fldCharType="end"/>
          </w:r>
          <w:r>
            <w:rPr>
              <w:rFonts w:hint="default" w:ascii="Times New Roman" w:hAnsi="Times New Roman" w:eastAsia="黑体" w:cs="Times New Roman"/>
              <w:szCs w:val="48"/>
              <w:lang w:val="en-US"/>
            </w:rPr>
            <w:fldChar w:fldCharType="end"/>
          </w:r>
        </w:p>
        <w:p w14:paraId="1B032163">
          <w:pPr>
            <w:pStyle w:val="27"/>
            <w:tabs>
              <w:tab w:val="right" w:leader="dot" w:pos="8306"/>
              <w:tab w:val="clear" w:pos="8303"/>
            </w:tabs>
            <w:rPr>
              <w:rFonts w:hint="default" w:ascii="Times New Roman" w:hAnsi="Times New Roman" w:cs="Times New Roman"/>
            </w:rPr>
          </w:pPr>
          <w:r>
            <w:rPr>
              <w:rFonts w:hint="default" w:ascii="Times New Roman" w:hAnsi="Times New Roman" w:eastAsia="黑体" w:cs="Times New Roman"/>
              <w:szCs w:val="48"/>
              <w:lang w:val="en-US"/>
            </w:rPr>
            <w:fldChar w:fldCharType="begin"/>
          </w:r>
          <w:r>
            <w:rPr>
              <w:rFonts w:hint="default" w:ascii="Times New Roman" w:hAnsi="Times New Roman" w:eastAsia="黑体" w:cs="Times New Roman"/>
              <w:szCs w:val="48"/>
              <w:lang w:val="en-US"/>
            </w:rPr>
            <w:instrText xml:space="preserve"> HYPERLINK \l _Toc12117 </w:instrText>
          </w:r>
          <w:r>
            <w:rPr>
              <w:rFonts w:hint="default" w:ascii="Times New Roman" w:hAnsi="Times New Roman" w:eastAsia="黑体" w:cs="Times New Roman"/>
              <w:szCs w:val="48"/>
              <w:lang w:val="en-US"/>
            </w:rPr>
            <w:fldChar w:fldCharType="separate"/>
          </w:r>
          <w:r>
            <w:rPr>
              <w:rFonts w:hint="default" w:ascii="Times New Roman" w:hAnsi="Times New Roman" w:cs="Times New Roman"/>
            </w:rPr>
            <w:t>第十四章 城市控制线规划</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_Toc12117 \h </w:instrText>
          </w:r>
          <w:r>
            <w:rPr>
              <w:rFonts w:hint="default" w:ascii="Times New Roman" w:hAnsi="Times New Roman" w:cs="Times New Roman"/>
            </w:rPr>
            <w:fldChar w:fldCharType="separate"/>
          </w:r>
          <w:r>
            <w:rPr>
              <w:rFonts w:hint="default" w:ascii="Times New Roman" w:hAnsi="Times New Roman" w:cs="Times New Roman"/>
            </w:rPr>
            <w:t>119</w:t>
          </w:r>
          <w:r>
            <w:rPr>
              <w:rFonts w:hint="default" w:ascii="Times New Roman" w:hAnsi="Times New Roman" w:cs="Times New Roman"/>
            </w:rPr>
            <w:fldChar w:fldCharType="end"/>
          </w:r>
          <w:r>
            <w:rPr>
              <w:rFonts w:hint="default" w:ascii="Times New Roman" w:hAnsi="Times New Roman" w:eastAsia="黑体" w:cs="Times New Roman"/>
              <w:szCs w:val="48"/>
              <w:lang w:val="en-US"/>
            </w:rPr>
            <w:fldChar w:fldCharType="end"/>
          </w:r>
        </w:p>
        <w:p w14:paraId="47A69E52">
          <w:pPr>
            <w:pStyle w:val="27"/>
            <w:tabs>
              <w:tab w:val="right" w:leader="dot" w:pos="8306"/>
              <w:tab w:val="clear" w:pos="8303"/>
            </w:tabs>
            <w:rPr>
              <w:rFonts w:hint="default" w:ascii="Times New Roman" w:hAnsi="Times New Roman" w:cs="Times New Roman"/>
            </w:rPr>
          </w:pPr>
          <w:r>
            <w:rPr>
              <w:rFonts w:hint="default" w:ascii="Times New Roman" w:hAnsi="Times New Roman" w:eastAsia="黑体" w:cs="Times New Roman"/>
              <w:szCs w:val="48"/>
              <w:lang w:val="en-US"/>
            </w:rPr>
            <w:fldChar w:fldCharType="begin"/>
          </w:r>
          <w:r>
            <w:rPr>
              <w:rFonts w:hint="default" w:ascii="Times New Roman" w:hAnsi="Times New Roman" w:eastAsia="黑体" w:cs="Times New Roman"/>
              <w:szCs w:val="48"/>
              <w:lang w:val="en-US"/>
            </w:rPr>
            <w:instrText xml:space="preserve"> HYPERLINK \l _Toc26485 </w:instrText>
          </w:r>
          <w:r>
            <w:rPr>
              <w:rFonts w:hint="default" w:ascii="Times New Roman" w:hAnsi="Times New Roman" w:eastAsia="黑体" w:cs="Times New Roman"/>
              <w:szCs w:val="48"/>
              <w:lang w:val="en-US"/>
            </w:rPr>
            <w:fldChar w:fldCharType="separate"/>
          </w:r>
          <w:r>
            <w:rPr>
              <w:rFonts w:hint="default" w:ascii="Times New Roman" w:hAnsi="Times New Roman" w:cs="Times New Roman"/>
            </w:rPr>
            <w:t>第十五章 地块划分与容量指标控制</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_Toc26485 \h </w:instrText>
          </w:r>
          <w:r>
            <w:rPr>
              <w:rFonts w:hint="default" w:ascii="Times New Roman" w:hAnsi="Times New Roman" w:cs="Times New Roman"/>
            </w:rPr>
            <w:fldChar w:fldCharType="separate"/>
          </w:r>
          <w:r>
            <w:rPr>
              <w:rFonts w:hint="default" w:ascii="Times New Roman" w:hAnsi="Times New Roman" w:cs="Times New Roman"/>
            </w:rPr>
            <w:t>122</w:t>
          </w:r>
          <w:r>
            <w:rPr>
              <w:rFonts w:hint="default" w:ascii="Times New Roman" w:hAnsi="Times New Roman" w:cs="Times New Roman"/>
            </w:rPr>
            <w:fldChar w:fldCharType="end"/>
          </w:r>
          <w:r>
            <w:rPr>
              <w:rFonts w:hint="default" w:ascii="Times New Roman" w:hAnsi="Times New Roman" w:eastAsia="黑体" w:cs="Times New Roman"/>
              <w:szCs w:val="48"/>
              <w:lang w:val="en-US"/>
            </w:rPr>
            <w:fldChar w:fldCharType="end"/>
          </w:r>
        </w:p>
        <w:p w14:paraId="07A45014">
          <w:pPr>
            <w:pStyle w:val="27"/>
            <w:tabs>
              <w:tab w:val="right" w:leader="dot" w:pos="8306"/>
              <w:tab w:val="clear" w:pos="8303"/>
            </w:tabs>
            <w:rPr>
              <w:rFonts w:hint="default" w:ascii="Times New Roman" w:hAnsi="Times New Roman" w:cs="Times New Roman"/>
            </w:rPr>
          </w:pPr>
          <w:r>
            <w:rPr>
              <w:rFonts w:hint="default" w:ascii="Times New Roman" w:hAnsi="Times New Roman" w:eastAsia="黑体" w:cs="Times New Roman"/>
              <w:szCs w:val="48"/>
              <w:lang w:val="en-US"/>
            </w:rPr>
            <w:fldChar w:fldCharType="begin"/>
          </w:r>
          <w:r>
            <w:rPr>
              <w:rFonts w:hint="default" w:ascii="Times New Roman" w:hAnsi="Times New Roman" w:eastAsia="黑体" w:cs="Times New Roman"/>
              <w:szCs w:val="48"/>
              <w:lang w:val="en-US"/>
            </w:rPr>
            <w:instrText xml:space="preserve"> HYPERLINK \l _Toc23824 </w:instrText>
          </w:r>
          <w:r>
            <w:rPr>
              <w:rFonts w:hint="default" w:ascii="Times New Roman" w:hAnsi="Times New Roman" w:eastAsia="黑体" w:cs="Times New Roman"/>
              <w:szCs w:val="48"/>
              <w:lang w:val="en-US"/>
            </w:rPr>
            <w:fldChar w:fldCharType="separate"/>
          </w:r>
          <w:r>
            <w:rPr>
              <w:rFonts w:hint="default" w:ascii="Times New Roman" w:hAnsi="Times New Roman" w:cs="Times New Roman"/>
            </w:rPr>
            <w:t>第十六章 规划实施</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_Toc23824 \h </w:instrText>
          </w:r>
          <w:r>
            <w:rPr>
              <w:rFonts w:hint="default" w:ascii="Times New Roman" w:hAnsi="Times New Roman" w:cs="Times New Roman"/>
            </w:rPr>
            <w:fldChar w:fldCharType="separate"/>
          </w:r>
          <w:r>
            <w:rPr>
              <w:rFonts w:hint="default" w:ascii="Times New Roman" w:hAnsi="Times New Roman" w:cs="Times New Roman"/>
            </w:rPr>
            <w:t>131</w:t>
          </w:r>
          <w:r>
            <w:rPr>
              <w:rFonts w:hint="default" w:ascii="Times New Roman" w:hAnsi="Times New Roman" w:cs="Times New Roman"/>
            </w:rPr>
            <w:fldChar w:fldCharType="end"/>
          </w:r>
          <w:r>
            <w:rPr>
              <w:rFonts w:hint="default" w:ascii="Times New Roman" w:hAnsi="Times New Roman" w:eastAsia="黑体" w:cs="Times New Roman"/>
              <w:szCs w:val="48"/>
              <w:lang w:val="en-US"/>
            </w:rPr>
            <w:fldChar w:fldCharType="end"/>
          </w:r>
        </w:p>
        <w:p w14:paraId="02D51E6D">
          <w:pPr>
            <w:spacing w:after="166"/>
            <w:ind w:firstLine="0" w:firstLineChars="0"/>
            <w:jc w:val="right"/>
            <w:rPr>
              <w:rFonts w:hint="eastAsia" w:ascii="黑体" w:hAnsi="黑体" w:eastAsia="黑体"/>
              <w:sz w:val="48"/>
              <w:szCs w:val="48"/>
              <w:lang w:val="en-US"/>
            </w:rPr>
          </w:pPr>
          <w:r>
            <w:rPr>
              <w:rFonts w:hint="eastAsia" w:ascii="黑体" w:hAnsi="黑体" w:eastAsia="黑体"/>
              <w:szCs w:val="48"/>
              <w:lang w:val="en-US"/>
            </w:rPr>
            <w:fldChar w:fldCharType="end"/>
          </w:r>
        </w:p>
      </w:sdtContent>
    </w:sdt>
    <w:p w14:paraId="6378E679">
      <w:pPr>
        <w:pStyle w:val="2"/>
        <w:numPr>
          <w:ilvl w:val="0"/>
          <w:numId w:val="5"/>
        </w:numPr>
        <w:sectPr>
          <w:headerReference r:id="rId5" w:type="default"/>
          <w:footerReference r:id="rId6" w:type="default"/>
          <w:footnotePr>
            <w:numFmt w:val="decimalEnclosedCircleChinese"/>
            <w:numRestart w:val="eachPage"/>
          </w:footnotePr>
          <w:endnotePr>
            <w:numFmt w:val="decimal"/>
          </w:endnotePr>
          <w:pgSz w:w="11906" w:h="16838"/>
          <w:pgMar w:top="1440" w:right="1800" w:bottom="1440" w:left="1800" w:header="851" w:footer="992" w:gutter="0"/>
          <w:pgNumType w:start="1"/>
          <w:cols w:space="425" w:num="1"/>
          <w:docGrid w:type="lines" w:linePitch="332" w:charSpace="879"/>
        </w:sectPr>
      </w:pPr>
      <w:bookmarkStart w:id="1" w:name="_Toc4249"/>
    </w:p>
    <w:p w14:paraId="4917BA20">
      <w:pPr>
        <w:pStyle w:val="2"/>
        <w:numPr>
          <w:ilvl w:val="0"/>
          <w:numId w:val="5"/>
        </w:numPr>
        <w:sectPr>
          <w:footerReference r:id="rId7" w:type="default"/>
          <w:footnotePr>
            <w:numFmt w:val="decimalEnclosedCircleChinese"/>
            <w:numRestart w:val="eachPage"/>
          </w:footnotePr>
          <w:endnotePr>
            <w:numFmt w:val="decimal"/>
          </w:endnotePr>
          <w:type w:val="continuous"/>
          <w:pgSz w:w="11906" w:h="16838"/>
          <w:pgMar w:top="1440" w:right="1800" w:bottom="1440" w:left="1800" w:header="851" w:footer="992" w:gutter="0"/>
          <w:pgNumType w:start="1"/>
          <w:cols w:space="425" w:num="1"/>
          <w:docGrid w:type="lines" w:linePitch="332" w:charSpace="879"/>
        </w:sectPr>
      </w:pPr>
    </w:p>
    <w:p w14:paraId="1CAAF93D">
      <w:pPr>
        <w:pStyle w:val="2"/>
        <w:numPr>
          <w:ilvl w:val="0"/>
          <w:numId w:val="5"/>
        </w:numPr>
      </w:pPr>
      <w:r>
        <w:rPr>
          <w:rFonts w:hint="eastAsia"/>
        </w:rPr>
        <w:t>导言</w:t>
      </w:r>
      <w:bookmarkEnd w:id="1"/>
    </w:p>
    <w:p w14:paraId="6EA2312A">
      <w:pPr>
        <w:pStyle w:val="3"/>
        <w:numPr>
          <w:ilvl w:val="1"/>
          <w:numId w:val="5"/>
        </w:numPr>
        <w:ind w:left="575"/>
      </w:pPr>
      <w:r>
        <w:rPr>
          <w:rFonts w:hint="eastAsia"/>
        </w:rPr>
        <w:t>项目背景</w:t>
      </w:r>
    </w:p>
    <w:p w14:paraId="3A0E9C27">
      <w:pPr>
        <w:spacing w:after="166"/>
        <w:ind w:firstLine="500"/>
      </w:pPr>
      <w:r>
        <w:rPr>
          <w:rFonts w:hint="eastAsia"/>
        </w:rPr>
        <w:t>白云鄂博矿区（以下简称“白云矿区”）地处蒙古高原南部，属内蒙古自治区包头市所辖，是誉满全球的“世界稀土之乡”。区内矿产资源富集，蕴藏着占全世界已探明总储量41%以上的稀土矿物以及丰富的铁、铌、锰、磷、萤石等182种矿产资源、71种矿物元素，资源储量雄踞两个世界第一（稀土储量1亿吨、萤石储量1.3亿吨）与两个世界第二（铌储量660万吨、钍储量22万吨）。白云矿区交通运输便捷，南距包头主市区149公里，东南距呼和浩特市区212公里，北距中蒙边境最近点75公里，白满铁路、公路连接满都拉口岸（呼包鄂三市向北开放的唯一公路口岸），是包头市距离满都拉口岸最近的城区。</w:t>
      </w:r>
    </w:p>
    <w:p w14:paraId="2C8AD9B9">
      <w:pPr>
        <w:spacing w:after="166"/>
        <w:ind w:firstLine="500"/>
      </w:pPr>
      <w:r>
        <w:rPr>
          <w:rFonts w:hint="eastAsia"/>
        </w:rPr>
        <w:t>长期以来白云鄂博矿区作为以矿兴城的国家级新型工业矿区，</w:t>
      </w:r>
      <w:r>
        <w:rPr>
          <w:rFonts w:hint="eastAsia"/>
          <w:lang w:val="en-US" w:eastAsia="zh-CN"/>
        </w:rPr>
        <w:t>如何实现高质量产城融合发展、以城区支撑</w:t>
      </w:r>
      <w:r>
        <w:rPr>
          <w:rFonts w:hint="eastAsia"/>
        </w:rPr>
        <w:t>。为了尽快实现地区科学健康高效发展的战略目标，白云矿区政府于2016年组织了《白云鄂博矿区控制性详细规划》（以下简称“上轮详细规划”）</w:t>
      </w:r>
      <w:r>
        <w:rPr>
          <w:rFonts w:hint="eastAsia"/>
          <w:lang w:eastAsia="zh-CN"/>
        </w:rPr>
        <w:t>，</w:t>
      </w:r>
      <w:r>
        <w:rPr>
          <w:rFonts w:hint="eastAsia"/>
          <w:lang w:val="en-US" w:eastAsia="zh-CN"/>
        </w:rPr>
        <w:t>在规划实施</w:t>
      </w:r>
      <w:r>
        <w:rPr>
          <w:rFonts w:hint="eastAsia"/>
        </w:rPr>
        <w:t>中起到了为白云矿区的各项城市建设提供规划指导的作用。近年来白云矿区发展日新月异，包头稀土高新技术产业开发区(白云工业集聚区)的选址确定与建设等，均与上轮详细规划存在不匹配，需要对上轮详细规划与现状不适应的内容进行优化调整。</w:t>
      </w:r>
    </w:p>
    <w:p w14:paraId="30D5B51C">
      <w:pPr>
        <w:spacing w:after="166"/>
        <w:ind w:firstLine="500"/>
      </w:pPr>
      <w:r>
        <w:rPr>
          <w:rFonts w:hint="eastAsia"/>
        </w:rPr>
        <w:t>同时，随着建立国土空间规划体系、实现“多规合一”这一党中央、国务院做出的重大战略部署稳步推进，详细规划成为落实新时代新要求、促进城乡高质量发展的关注焦点。基于此，白云矿区自然资源局委托南京大学城市规划设计研究院承担《包头市白云鄂博矿区城区</w:t>
      </w:r>
      <w:r>
        <w:rPr>
          <w:rFonts w:hint="eastAsia"/>
          <w:lang w:val="en-US"/>
        </w:rPr>
        <w:t>国土空间</w:t>
      </w:r>
      <w:r>
        <w:rPr>
          <w:rFonts w:hint="eastAsia"/>
        </w:rPr>
        <w:t>详细规划》工作，更好的将《包头市白云鄂博矿区国土空间总体规划（2021-2035年）》落实到建设和管理控制层面。</w:t>
      </w:r>
    </w:p>
    <w:p w14:paraId="25F3B8B5">
      <w:pPr>
        <w:pStyle w:val="3"/>
        <w:numPr>
          <w:ilvl w:val="1"/>
          <w:numId w:val="5"/>
        </w:numPr>
        <w:spacing w:before="166" w:after="166"/>
        <w:ind w:left="575"/>
      </w:pPr>
      <w:r>
        <w:rPr>
          <w:rFonts w:hint="eastAsia"/>
        </w:rPr>
        <w:t>规划范围</w:t>
      </w:r>
    </w:p>
    <w:p w14:paraId="0C025655">
      <w:pPr>
        <w:widowControl/>
        <w:spacing w:after="166"/>
        <w:ind w:firstLine="500"/>
        <w:jc w:val="both"/>
        <w:rPr>
          <w:rFonts w:hint="eastAsia"/>
        </w:rPr>
      </w:pPr>
      <w:r>
        <w:rPr>
          <w:rFonts w:hint="eastAsia"/>
          <w:lang w:val="en-US"/>
        </w:rPr>
        <w:t>规划</w:t>
      </w:r>
      <w:r>
        <w:rPr>
          <w:rFonts w:hint="eastAsia"/>
        </w:rPr>
        <w:t>范围北至</w:t>
      </w:r>
      <w:r>
        <w:rPr>
          <w:rFonts w:hint="eastAsia"/>
          <w:lang w:eastAsia="zh"/>
        </w:rPr>
        <w:t>北环路</w:t>
      </w:r>
      <w:r>
        <w:rPr>
          <w:rFonts w:hint="eastAsia"/>
        </w:rPr>
        <w:t>，南至</w:t>
      </w:r>
      <w:r>
        <w:rPr>
          <w:rFonts w:hint="eastAsia"/>
          <w:lang w:eastAsia="zh"/>
        </w:rPr>
        <w:t>新城街</w:t>
      </w:r>
      <w:r>
        <w:rPr>
          <w:rFonts w:hint="eastAsia"/>
        </w:rPr>
        <w:t>，东至</w:t>
      </w:r>
      <w:r>
        <w:rPr>
          <w:rFonts w:hint="eastAsia"/>
          <w:lang w:eastAsia="zh"/>
        </w:rPr>
        <w:t>地质道—百灵道</w:t>
      </w:r>
      <w:r>
        <w:rPr>
          <w:rFonts w:hint="eastAsia"/>
        </w:rPr>
        <w:t>，西至</w:t>
      </w:r>
      <w:r>
        <w:rPr>
          <w:rFonts w:hint="eastAsia"/>
          <w:lang w:eastAsia="zh"/>
        </w:rPr>
        <w:t>西环路</w:t>
      </w:r>
      <w:r>
        <w:rPr>
          <w:rFonts w:hint="eastAsia"/>
        </w:rPr>
        <w:t>，规划面积639.47</w:t>
      </w:r>
      <w:r>
        <w:rPr>
          <w:rFonts w:hint="eastAsia"/>
          <w:lang w:eastAsia="zh"/>
        </w:rPr>
        <w:t>公顷</w:t>
      </w:r>
      <w:r>
        <w:rPr>
          <w:rFonts w:hint="eastAsia"/>
          <w:lang w:eastAsia="zh-CN"/>
        </w:rPr>
        <w:t>（</w:t>
      </w:r>
      <w:r>
        <w:rPr>
          <w:rFonts w:hint="eastAsia"/>
          <w:lang w:val="en-US" w:eastAsia="zh-CN"/>
        </w:rPr>
        <w:t>图1-1</w:t>
      </w:r>
      <w:r>
        <w:rPr>
          <w:rFonts w:hint="eastAsia"/>
          <w:lang w:eastAsia="zh-CN"/>
        </w:rPr>
        <w:t>）</w:t>
      </w:r>
      <w:r>
        <w:rPr>
          <w:rFonts w:hint="eastAsia"/>
        </w:rPr>
        <w:t>。</w:t>
      </w:r>
    </w:p>
    <w:p w14:paraId="011CD506">
      <w:pPr>
        <w:widowControl/>
        <w:spacing w:after="166"/>
        <w:ind w:firstLine="500"/>
        <w:jc w:val="both"/>
        <w:rPr>
          <w:rFonts w:hint="eastAsia" w:eastAsia="宋体"/>
          <w:lang w:eastAsia="zh-CN"/>
        </w:rPr>
      </w:pPr>
      <w:r>
        <w:rPr>
          <w:rFonts w:hint="eastAsia"/>
          <w:lang w:val="en-US" w:eastAsia="zh-CN"/>
        </w:rPr>
        <w:t>按照城镇开发边界内单元划分结果，本规划</w:t>
      </w:r>
      <w:r>
        <w:rPr>
          <w:rFonts w:hint="eastAsia"/>
        </w:rPr>
        <w:t>共涉及5个单元，</w:t>
      </w:r>
      <w:r>
        <w:rPr>
          <w:rFonts w:hint="eastAsia"/>
          <w:lang w:val="en-US" w:eastAsia="zh-CN"/>
        </w:rPr>
        <w:t>其中</w:t>
      </w:r>
      <w:r>
        <w:rPr>
          <w:rFonts w:hint="eastAsia"/>
        </w:rPr>
        <w:t>001单元</w:t>
      </w:r>
      <w:r>
        <w:rPr>
          <w:rFonts w:hint="eastAsia"/>
          <w:lang w:eastAsia="zh-CN"/>
        </w:rPr>
        <w:t>（</w:t>
      </w:r>
      <w:r>
        <w:rPr>
          <w:rFonts w:hint="eastAsia"/>
          <w:lang w:val="en-US" w:eastAsia="zh-CN"/>
        </w:rPr>
        <w:t>城市绿地景观01区</w:t>
      </w:r>
      <w:r>
        <w:rPr>
          <w:rFonts w:hint="eastAsia"/>
          <w:lang w:eastAsia="zh-CN"/>
        </w:rPr>
        <w:t>）</w:t>
      </w:r>
      <w:r>
        <w:rPr>
          <w:rFonts w:hint="eastAsia"/>
          <w:lang w:val="en-US" w:eastAsia="zh-CN"/>
        </w:rPr>
        <w:t>面积约</w:t>
      </w:r>
      <w:r>
        <w:rPr>
          <w:rFonts w:hint="eastAsia"/>
        </w:rPr>
        <w:t>138.44公顷</w:t>
      </w:r>
      <w:r>
        <w:rPr>
          <w:rFonts w:hint="eastAsia"/>
          <w:lang w:eastAsia="zh-CN"/>
        </w:rPr>
        <w:t>，</w:t>
      </w:r>
      <w:r>
        <w:rPr>
          <w:rFonts w:hint="eastAsia"/>
          <w:lang w:val="en-US" w:eastAsia="zh-CN"/>
        </w:rPr>
        <w:t>类型为城市更新类</w:t>
      </w:r>
      <w:r>
        <w:rPr>
          <w:rFonts w:hint="eastAsia"/>
          <w:lang w:eastAsia="zh-CN"/>
        </w:rPr>
        <w:t>；</w:t>
      </w:r>
      <w:r>
        <w:rPr>
          <w:rFonts w:hint="eastAsia"/>
        </w:rPr>
        <w:t>002单</w:t>
      </w:r>
      <w:r>
        <w:rPr>
          <w:rFonts w:hint="eastAsia"/>
          <w:lang w:val="en-US" w:eastAsia="zh-CN"/>
        </w:rPr>
        <w:t>元</w:t>
      </w:r>
      <w:r>
        <w:rPr>
          <w:rFonts w:hint="eastAsia"/>
          <w:lang w:eastAsia="zh-CN"/>
        </w:rPr>
        <w:t>（</w:t>
      </w:r>
      <w:r>
        <w:rPr>
          <w:rFonts w:hint="eastAsia"/>
          <w:lang w:val="en-US" w:eastAsia="zh-CN"/>
        </w:rPr>
        <w:t>城市居住生活01区</w:t>
      </w:r>
      <w:r>
        <w:rPr>
          <w:rFonts w:hint="eastAsia"/>
          <w:lang w:eastAsia="zh-CN"/>
        </w:rPr>
        <w:t>）</w:t>
      </w:r>
      <w:r>
        <w:rPr>
          <w:rFonts w:hint="eastAsia"/>
          <w:lang w:val="en-US" w:eastAsia="zh-CN"/>
        </w:rPr>
        <w:t>面积约</w:t>
      </w:r>
      <w:r>
        <w:rPr>
          <w:rFonts w:hint="eastAsia"/>
        </w:rPr>
        <w:t>138.46公顷</w:t>
      </w:r>
      <w:r>
        <w:rPr>
          <w:rFonts w:hint="eastAsia"/>
          <w:lang w:eastAsia="zh-CN"/>
        </w:rPr>
        <w:t>，</w:t>
      </w:r>
      <w:r>
        <w:rPr>
          <w:rFonts w:hint="eastAsia"/>
          <w:lang w:val="en-US" w:eastAsia="zh-CN"/>
        </w:rPr>
        <w:t>类型为城市更新类</w:t>
      </w:r>
      <w:r>
        <w:rPr>
          <w:rFonts w:hint="eastAsia"/>
          <w:lang w:eastAsia="zh-CN"/>
        </w:rPr>
        <w:t>；</w:t>
      </w:r>
      <w:r>
        <w:rPr>
          <w:rFonts w:hint="eastAsia"/>
        </w:rPr>
        <w:t>003单元</w:t>
      </w:r>
      <w:r>
        <w:rPr>
          <w:rFonts w:hint="eastAsia"/>
          <w:lang w:eastAsia="zh-CN"/>
        </w:rPr>
        <w:t>（</w:t>
      </w:r>
      <w:r>
        <w:rPr>
          <w:rFonts w:hint="eastAsia"/>
          <w:lang w:val="en-US" w:eastAsia="zh-CN"/>
        </w:rPr>
        <w:t>城市综合服务01区</w:t>
      </w:r>
      <w:r>
        <w:rPr>
          <w:rFonts w:hint="eastAsia"/>
          <w:lang w:eastAsia="zh-CN"/>
        </w:rPr>
        <w:t>）</w:t>
      </w:r>
      <w:r>
        <w:rPr>
          <w:rFonts w:hint="eastAsia"/>
          <w:lang w:val="en-US" w:eastAsia="zh-CN"/>
        </w:rPr>
        <w:t>面积约</w:t>
      </w:r>
      <w:r>
        <w:rPr>
          <w:rFonts w:hint="eastAsia"/>
        </w:rPr>
        <w:t>159.56公顷</w:t>
      </w:r>
      <w:r>
        <w:rPr>
          <w:rFonts w:hint="eastAsia"/>
          <w:lang w:eastAsia="zh-CN"/>
        </w:rPr>
        <w:t>，</w:t>
      </w:r>
      <w:r>
        <w:rPr>
          <w:rFonts w:hint="eastAsia"/>
          <w:lang w:val="en-US" w:eastAsia="zh-CN"/>
        </w:rPr>
        <w:t>类型为重点开发类</w:t>
      </w:r>
      <w:r>
        <w:rPr>
          <w:rFonts w:hint="eastAsia"/>
          <w:lang w:eastAsia="zh-CN"/>
        </w:rPr>
        <w:t>；</w:t>
      </w:r>
      <w:r>
        <w:rPr>
          <w:rFonts w:hint="eastAsia"/>
        </w:rPr>
        <w:t>004单元</w:t>
      </w:r>
      <w:r>
        <w:rPr>
          <w:rFonts w:hint="eastAsia"/>
          <w:lang w:eastAsia="zh-CN"/>
        </w:rPr>
        <w:t>（</w:t>
      </w:r>
      <w:r>
        <w:rPr>
          <w:rFonts w:hint="eastAsia"/>
          <w:lang w:val="en-US" w:eastAsia="zh-CN"/>
        </w:rPr>
        <w:t>城市居住生活02区</w:t>
      </w:r>
      <w:r>
        <w:rPr>
          <w:rFonts w:hint="eastAsia"/>
          <w:lang w:eastAsia="zh-CN"/>
        </w:rPr>
        <w:t>）</w:t>
      </w:r>
      <w:r>
        <w:rPr>
          <w:rFonts w:hint="eastAsia"/>
          <w:lang w:val="en-US" w:eastAsia="zh-CN"/>
        </w:rPr>
        <w:t>面积约</w:t>
      </w:r>
      <w:r>
        <w:rPr>
          <w:rFonts w:hint="eastAsia"/>
        </w:rPr>
        <w:t>77.87公顷</w:t>
      </w:r>
      <w:r>
        <w:rPr>
          <w:rFonts w:hint="eastAsia"/>
          <w:lang w:eastAsia="zh-CN"/>
        </w:rPr>
        <w:t>，</w:t>
      </w:r>
      <w:r>
        <w:rPr>
          <w:rFonts w:hint="eastAsia"/>
          <w:lang w:val="en-US" w:eastAsia="zh-CN"/>
        </w:rPr>
        <w:t>类型为重点开发类</w:t>
      </w:r>
      <w:r>
        <w:rPr>
          <w:rFonts w:hint="eastAsia"/>
          <w:lang w:eastAsia="zh-CN"/>
        </w:rPr>
        <w:t>；</w:t>
      </w:r>
      <w:r>
        <w:rPr>
          <w:rFonts w:hint="eastAsia"/>
        </w:rPr>
        <w:t>005单元</w:t>
      </w:r>
      <w:r>
        <w:rPr>
          <w:rFonts w:hint="eastAsia"/>
          <w:lang w:eastAsia="zh-CN"/>
        </w:rPr>
        <w:t>（</w:t>
      </w:r>
      <w:r>
        <w:rPr>
          <w:rFonts w:hint="eastAsia"/>
          <w:lang w:val="en-US" w:eastAsia="zh-CN"/>
        </w:rPr>
        <w:t>城市居住生活03区</w:t>
      </w:r>
      <w:r>
        <w:rPr>
          <w:rFonts w:hint="eastAsia"/>
          <w:lang w:eastAsia="zh-CN"/>
        </w:rPr>
        <w:t>）</w:t>
      </w:r>
      <w:r>
        <w:rPr>
          <w:rFonts w:hint="eastAsia"/>
          <w:lang w:val="en-US" w:eastAsia="zh-CN"/>
        </w:rPr>
        <w:t>面积约</w:t>
      </w:r>
      <w:r>
        <w:rPr>
          <w:rFonts w:hint="eastAsia"/>
        </w:rPr>
        <w:t>125.13公顷</w:t>
      </w:r>
      <w:r>
        <w:rPr>
          <w:rFonts w:hint="eastAsia"/>
          <w:lang w:eastAsia="zh-CN"/>
        </w:rPr>
        <w:t>，</w:t>
      </w:r>
      <w:r>
        <w:rPr>
          <w:rFonts w:hint="eastAsia"/>
          <w:lang w:val="en-US" w:eastAsia="zh-CN"/>
        </w:rPr>
        <w:t>类型为重点开发类</w:t>
      </w:r>
      <w:r>
        <w:rPr>
          <w:rFonts w:hint="eastAsia"/>
          <w:lang w:eastAsia="zh-CN"/>
        </w:rPr>
        <w:t>（</w:t>
      </w:r>
      <w:r>
        <w:rPr>
          <w:rFonts w:hint="eastAsia"/>
          <w:lang w:val="en-US" w:eastAsia="zh-CN"/>
        </w:rPr>
        <w:t>图1-2</w:t>
      </w:r>
      <w:r>
        <w:rPr>
          <w:rFonts w:hint="eastAsia"/>
          <w:lang w:eastAsia="zh-CN"/>
        </w:rPr>
        <w:t>）。</w:t>
      </w:r>
    </w:p>
    <w:p w14:paraId="3A6B223D">
      <w:pPr>
        <w:widowControl/>
        <w:spacing w:after="166"/>
        <w:ind w:left="0" w:leftChars="0" w:firstLine="0" w:firstLineChars="0"/>
        <w:jc w:val="center"/>
      </w:pPr>
      <w:r>
        <w:drawing>
          <wp:inline distT="0" distB="0" distL="114300" distR="114300">
            <wp:extent cx="4410710" cy="3963035"/>
            <wp:effectExtent l="0" t="0" r="0" b="0"/>
            <wp:docPr id="4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
                    <pic:cNvPicPr>
                      <a:picLocks noChangeAspect="1"/>
                    </pic:cNvPicPr>
                  </pic:nvPicPr>
                  <pic:blipFill>
                    <a:blip r:embed="rId10"/>
                    <a:srcRect t="2117" r="9756"/>
                    <a:stretch>
                      <a:fillRect/>
                    </a:stretch>
                  </pic:blipFill>
                  <pic:spPr>
                    <a:xfrm>
                      <a:off x="0" y="0"/>
                      <a:ext cx="4410710" cy="3963035"/>
                    </a:xfrm>
                    <a:prstGeom prst="rect">
                      <a:avLst/>
                    </a:prstGeom>
                  </pic:spPr>
                </pic:pic>
              </a:graphicData>
            </a:graphic>
          </wp:inline>
        </w:drawing>
      </w:r>
    </w:p>
    <w:p w14:paraId="399DAF93">
      <w:pPr>
        <w:pStyle w:val="268"/>
        <w:spacing w:after="166"/>
        <w:rPr>
          <w:rFonts w:hint="eastAsia"/>
          <w:lang w:val="en-US" w:eastAsia="zh-CN"/>
        </w:rPr>
      </w:pPr>
      <w:r>
        <w:rPr>
          <w:rFonts w:hint="eastAsia"/>
        </w:rPr>
        <w:t>图</w:t>
      </w:r>
      <w:r>
        <w:rPr>
          <w:rFonts w:hint="eastAsia"/>
          <w:lang w:val="en-US" w:eastAsia="zh-CN"/>
        </w:rPr>
        <w:t>1</w:t>
      </w:r>
      <w:r>
        <w:rPr>
          <w:rFonts w:hint="eastAsia"/>
        </w:rPr>
        <w:t>-</w:t>
      </w:r>
      <w:r>
        <w:rPr>
          <w:rFonts w:hint="eastAsia"/>
          <w:lang w:val="en-US" w:eastAsia="zh-CN"/>
        </w:rPr>
        <w:t>1</w:t>
      </w:r>
      <w:r>
        <w:rPr>
          <w:rFonts w:hint="eastAsia"/>
          <w:lang w:val="en-US"/>
        </w:rPr>
        <w:t xml:space="preserve">  </w:t>
      </w:r>
      <w:r>
        <w:rPr>
          <w:rFonts w:hint="eastAsia"/>
          <w:lang w:val="en-US" w:eastAsia="zh-CN"/>
        </w:rPr>
        <w:t>规划范围线（红）和城镇开发边界（蓝）</w:t>
      </w:r>
    </w:p>
    <w:p w14:paraId="65B1BD82">
      <w:pPr>
        <w:ind w:left="0" w:leftChars="0" w:firstLine="0" w:firstLineChars="0"/>
        <w:jc w:val="center"/>
      </w:pPr>
      <w:r>
        <w:drawing>
          <wp:inline distT="0" distB="0" distL="114300" distR="114300">
            <wp:extent cx="4431030" cy="4037965"/>
            <wp:effectExtent l="0" t="0" r="7620" b="635"/>
            <wp:docPr id="7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
                    <pic:cNvPicPr>
                      <a:picLocks noChangeAspect="1"/>
                    </pic:cNvPicPr>
                  </pic:nvPicPr>
                  <pic:blipFill>
                    <a:blip r:embed="rId11"/>
                    <a:stretch>
                      <a:fillRect/>
                    </a:stretch>
                  </pic:blipFill>
                  <pic:spPr>
                    <a:xfrm>
                      <a:off x="0" y="0"/>
                      <a:ext cx="4431030" cy="4037965"/>
                    </a:xfrm>
                    <a:prstGeom prst="rect">
                      <a:avLst/>
                    </a:prstGeom>
                    <a:noFill/>
                    <a:ln>
                      <a:noFill/>
                    </a:ln>
                  </pic:spPr>
                </pic:pic>
              </a:graphicData>
            </a:graphic>
          </wp:inline>
        </w:drawing>
      </w:r>
    </w:p>
    <w:p w14:paraId="10991FA2">
      <w:pPr>
        <w:pStyle w:val="268"/>
        <w:spacing w:after="166"/>
        <w:rPr>
          <w:rFonts w:hint="default"/>
          <w:lang w:val="en-US" w:eastAsia="zh-CN"/>
        </w:rPr>
      </w:pPr>
      <w:r>
        <w:rPr>
          <w:rFonts w:hint="eastAsia"/>
        </w:rPr>
        <w:t>图</w:t>
      </w:r>
      <w:r>
        <w:rPr>
          <w:rFonts w:hint="eastAsia"/>
          <w:lang w:val="en-US" w:eastAsia="zh-CN"/>
        </w:rPr>
        <w:t>1</w:t>
      </w:r>
      <w:r>
        <w:rPr>
          <w:rFonts w:hint="eastAsia"/>
        </w:rPr>
        <w:t>-</w:t>
      </w:r>
      <w:r>
        <w:rPr>
          <w:rFonts w:hint="eastAsia"/>
          <w:lang w:val="en-US" w:eastAsia="zh-CN"/>
        </w:rPr>
        <w:t>2</w:t>
      </w:r>
      <w:r>
        <w:rPr>
          <w:rFonts w:hint="eastAsia"/>
          <w:lang w:val="en-US"/>
        </w:rPr>
        <w:t xml:space="preserve">  </w:t>
      </w:r>
      <w:r>
        <w:rPr>
          <w:rFonts w:hint="eastAsia"/>
          <w:lang w:val="en-US" w:eastAsia="zh-CN"/>
        </w:rPr>
        <w:t>规划范围内单元划分情况</w:t>
      </w:r>
    </w:p>
    <w:p w14:paraId="5694B7ED">
      <w:pPr>
        <w:ind w:left="0" w:leftChars="0" w:firstLine="0" w:firstLineChars="0"/>
        <w:jc w:val="center"/>
        <w:rPr>
          <w:rFonts w:hint="default"/>
          <w:lang w:val="en-US" w:eastAsia="zh-CN"/>
        </w:rPr>
      </w:pPr>
    </w:p>
    <w:p w14:paraId="4C49F74E">
      <w:pPr>
        <w:pStyle w:val="3"/>
        <w:numPr>
          <w:ilvl w:val="1"/>
          <w:numId w:val="5"/>
        </w:numPr>
        <w:spacing w:before="166" w:after="166"/>
        <w:ind w:left="575"/>
      </w:pPr>
      <w:r>
        <w:rPr>
          <w:rFonts w:hint="eastAsia"/>
        </w:rPr>
        <w:t>规划原则</w:t>
      </w:r>
    </w:p>
    <w:p w14:paraId="709E3FAE">
      <w:pPr>
        <w:spacing w:after="166"/>
        <w:ind w:firstLine="500"/>
      </w:pPr>
      <w:r>
        <w:rPr>
          <w:rFonts w:hint="eastAsia" w:ascii="黑体" w:hAnsi="黑体" w:eastAsia="黑体" w:cs="黑体"/>
          <w:lang w:val="en-US"/>
        </w:rPr>
        <w:t>协调发展</w:t>
      </w:r>
      <w:r>
        <w:rPr>
          <w:rFonts w:hint="eastAsia" w:ascii="黑体" w:hAnsi="黑体" w:eastAsia="黑体" w:cs="黑体"/>
          <w:lang w:val="en-US" w:eastAsia="zh"/>
        </w:rPr>
        <w:t>原则</w:t>
      </w:r>
      <w:r>
        <w:rPr>
          <w:rFonts w:hint="eastAsia" w:ascii="黑体" w:hAnsi="黑体" w:eastAsia="黑体" w:cs="黑体"/>
          <w:lang w:val="en-US"/>
        </w:rPr>
        <w:t>：</w:t>
      </w:r>
      <w:r>
        <w:rPr>
          <w:rFonts w:hint="eastAsia"/>
          <w:lang w:val="en-US"/>
        </w:rPr>
        <w:t>统筹规划区存量与增量空间，促进生产、生活、生态功能协调发展，推动形成生产空间集约高效、生活空间宜居适度、生态空间山 清水秀的空间格局。</w:t>
      </w:r>
    </w:p>
    <w:p w14:paraId="4D3F9433">
      <w:pPr>
        <w:spacing w:after="166"/>
        <w:ind w:firstLine="500"/>
      </w:pPr>
      <w:r>
        <w:rPr>
          <w:rFonts w:hint="eastAsia" w:ascii="黑体" w:hAnsi="黑体" w:eastAsia="黑体" w:cs="黑体"/>
          <w:lang w:val="en-US"/>
        </w:rPr>
        <w:t>集约节约</w:t>
      </w:r>
      <w:r>
        <w:rPr>
          <w:rFonts w:hint="eastAsia" w:ascii="黑体" w:hAnsi="黑体" w:eastAsia="黑体" w:cs="黑体"/>
          <w:lang w:val="en-US" w:eastAsia="zh"/>
        </w:rPr>
        <w:t>原则</w:t>
      </w:r>
      <w:r>
        <w:rPr>
          <w:rFonts w:hint="eastAsia" w:ascii="黑体" w:hAnsi="黑体" w:eastAsia="黑体" w:cs="黑体"/>
          <w:lang w:val="en-US"/>
        </w:rPr>
        <w:t>：</w:t>
      </w:r>
      <w:r>
        <w:rPr>
          <w:rFonts w:hint="eastAsia"/>
          <w:lang w:val="en-US"/>
        </w:rPr>
        <w:t>重视土地利用效率的提升，合理确定地块开发强度，促进土地 的集约节约利用，实现土地效益的最大化。</w:t>
      </w:r>
    </w:p>
    <w:p w14:paraId="0ACC4DE1">
      <w:pPr>
        <w:spacing w:after="166"/>
        <w:ind w:firstLine="500"/>
        <w:rPr>
          <w:lang w:val="en-US"/>
        </w:rPr>
      </w:pPr>
      <w:r>
        <w:rPr>
          <w:rFonts w:hint="eastAsia" w:ascii="黑体" w:hAnsi="黑体" w:eastAsia="黑体" w:cs="黑体"/>
          <w:lang w:val="en-US"/>
        </w:rPr>
        <w:t>刚弹结合</w:t>
      </w:r>
      <w:r>
        <w:rPr>
          <w:rFonts w:hint="eastAsia" w:ascii="黑体" w:hAnsi="黑体" w:eastAsia="黑体" w:cs="黑体"/>
          <w:lang w:val="en-US" w:eastAsia="zh"/>
        </w:rPr>
        <w:t>原则</w:t>
      </w:r>
      <w:r>
        <w:rPr>
          <w:rFonts w:hint="eastAsia" w:ascii="黑体" w:hAnsi="黑体" w:eastAsia="黑体" w:cs="黑体"/>
          <w:lang w:val="en-US"/>
        </w:rPr>
        <w:t>：</w:t>
      </w:r>
      <w:r>
        <w:rPr>
          <w:rFonts w:hint="eastAsia"/>
          <w:lang w:val="en-US"/>
        </w:rPr>
        <w:t xml:space="preserve">注重规划与实际开发的契合，衔接落实上位规划管控要求，强调控制与引导相结合，即对道路、公共服务、开发强度等实行严格控制，在用地布局、设施配建等方面，保持规划的弹性，为城市管理提供有效依据。 </w:t>
      </w:r>
    </w:p>
    <w:p w14:paraId="3173AAF4">
      <w:pPr>
        <w:widowControl/>
        <w:spacing w:after="166"/>
        <w:ind w:firstLine="500"/>
        <w:jc w:val="left"/>
        <w:rPr>
          <w:rFonts w:ascii="宋体" w:hAnsi="宋体" w:cs="宋体"/>
          <w:lang w:val="en-US" w:bidi="ar"/>
        </w:rPr>
      </w:pPr>
      <w:r>
        <w:rPr>
          <w:rFonts w:hint="eastAsia" w:ascii="黑体" w:hAnsi="黑体" w:eastAsia="黑体" w:cs="黑体"/>
          <w:lang w:val="en-US"/>
        </w:rPr>
        <w:t>可操作性原则：</w:t>
      </w:r>
      <w:r>
        <w:rPr>
          <w:rFonts w:hint="eastAsia"/>
          <w:lang w:val="en-US"/>
        </w:rPr>
        <w:t>注重规划与实际开发的契合，衔接落实《包头市白云鄂博矿区国土空间总体规划（</w:t>
      </w:r>
      <w:r>
        <w:rPr>
          <w:lang w:val="en-US"/>
        </w:rPr>
        <w:t>2021-2035</w:t>
      </w:r>
      <w:r>
        <w:rPr>
          <w:rFonts w:hint="eastAsia"/>
          <w:lang w:val="en-US"/>
        </w:rPr>
        <w:t>年）</w:t>
      </w:r>
      <w:r>
        <w:rPr>
          <w:rFonts w:hint="eastAsia"/>
          <w:lang w:val="en-US" w:eastAsia="zh"/>
        </w:rPr>
        <w:t>》</w:t>
      </w:r>
      <w:r>
        <w:rPr>
          <w:rFonts w:hint="eastAsia"/>
          <w:lang w:val="en-US"/>
        </w:rPr>
        <w:t>的管控要求，强调控制与引导相结合，即对道路、公共服务、开发强度等实行严格控制，在用地布局、设施配建等方面，保持规划的弹性，为城市管理提供有效依据。</w:t>
      </w:r>
    </w:p>
    <w:p w14:paraId="3E631122">
      <w:pPr>
        <w:pStyle w:val="3"/>
        <w:numPr>
          <w:ilvl w:val="1"/>
          <w:numId w:val="5"/>
        </w:numPr>
        <w:spacing w:before="166" w:after="166"/>
        <w:ind w:left="575"/>
      </w:pPr>
      <w:r>
        <w:rPr>
          <w:rFonts w:hint="eastAsia"/>
        </w:rPr>
        <w:t>规划依据</w:t>
      </w:r>
    </w:p>
    <w:p w14:paraId="33B985F3">
      <w:pPr>
        <w:adjustRightInd/>
        <w:snapToGrid/>
        <w:spacing w:after="0" w:afterLines="0"/>
        <w:ind w:firstLine="500"/>
      </w:pPr>
      <w:r>
        <w:rPr>
          <w:lang w:val="en-US"/>
        </w:rPr>
        <w:t>1</w:t>
      </w:r>
      <w:r>
        <w:rPr>
          <w:rFonts w:hint="eastAsia"/>
          <w:lang w:val="en-US"/>
        </w:rPr>
        <w:t>、《中华人民共和国城乡规划法》（</w:t>
      </w:r>
      <w:r>
        <w:rPr>
          <w:lang w:val="en-US"/>
        </w:rPr>
        <w:t>2019</w:t>
      </w:r>
      <w:r>
        <w:rPr>
          <w:rFonts w:hint="eastAsia"/>
          <w:lang w:val="en-US"/>
        </w:rPr>
        <w:t>年修正）；</w:t>
      </w:r>
    </w:p>
    <w:p w14:paraId="24DC460B">
      <w:pPr>
        <w:adjustRightInd/>
        <w:snapToGrid/>
        <w:spacing w:after="0" w:afterLines="0"/>
        <w:ind w:firstLine="500"/>
      </w:pPr>
      <w:r>
        <w:rPr>
          <w:lang w:val="en-US"/>
        </w:rPr>
        <w:t>2</w:t>
      </w:r>
      <w:r>
        <w:rPr>
          <w:rFonts w:hint="eastAsia"/>
          <w:lang w:val="en-US"/>
        </w:rPr>
        <w:t>、《中华人民共和国土地管理法》（</w:t>
      </w:r>
      <w:r>
        <w:rPr>
          <w:lang w:val="en-US"/>
        </w:rPr>
        <w:t>2020</w:t>
      </w:r>
      <w:r>
        <w:rPr>
          <w:rFonts w:hint="eastAsia"/>
          <w:lang w:val="en-US"/>
        </w:rPr>
        <w:t>年修订）；</w:t>
      </w:r>
    </w:p>
    <w:p w14:paraId="135CDF9C">
      <w:pPr>
        <w:adjustRightInd/>
        <w:snapToGrid/>
        <w:spacing w:after="0" w:afterLines="0"/>
        <w:ind w:firstLine="500"/>
      </w:pPr>
      <w:r>
        <w:rPr>
          <w:lang w:val="en-US"/>
        </w:rPr>
        <w:t>3</w:t>
      </w:r>
      <w:r>
        <w:rPr>
          <w:rFonts w:hint="eastAsia"/>
          <w:lang w:val="en-US"/>
        </w:rPr>
        <w:t>、《城市规划编制办法》（</w:t>
      </w:r>
      <w:r>
        <w:rPr>
          <w:lang w:val="en-US"/>
        </w:rPr>
        <w:t>2006</w:t>
      </w:r>
      <w:r>
        <w:rPr>
          <w:rFonts w:hint="eastAsia"/>
          <w:lang w:val="en-US"/>
        </w:rPr>
        <w:t>年）；</w:t>
      </w:r>
    </w:p>
    <w:p w14:paraId="0AA2E522">
      <w:pPr>
        <w:adjustRightInd/>
        <w:snapToGrid/>
        <w:spacing w:after="0" w:afterLines="0"/>
        <w:ind w:firstLine="500"/>
      </w:pPr>
      <w:r>
        <w:rPr>
          <w:lang w:val="en-US"/>
        </w:rPr>
        <w:t>4</w:t>
      </w:r>
      <w:r>
        <w:rPr>
          <w:rFonts w:hint="eastAsia"/>
          <w:lang w:val="en-US"/>
        </w:rPr>
        <w:t>、《城市、镇控制性详细规划编制审批办法》；</w:t>
      </w:r>
    </w:p>
    <w:p w14:paraId="2908494F">
      <w:pPr>
        <w:adjustRightInd/>
        <w:snapToGrid/>
        <w:spacing w:after="0" w:afterLines="0"/>
        <w:ind w:firstLine="500"/>
      </w:pPr>
      <w:r>
        <w:rPr>
          <w:lang w:val="en-US"/>
        </w:rPr>
        <w:t>5</w:t>
      </w:r>
      <w:r>
        <w:rPr>
          <w:rFonts w:hint="eastAsia"/>
          <w:lang w:val="en-US"/>
        </w:rPr>
        <w:t>、《国土空间调查、规划、用途管制用地用海分类指南》；</w:t>
      </w:r>
    </w:p>
    <w:p w14:paraId="2A12BB07">
      <w:pPr>
        <w:adjustRightInd/>
        <w:snapToGrid/>
        <w:spacing w:after="0" w:afterLines="0"/>
        <w:ind w:firstLine="500"/>
      </w:pPr>
      <w:r>
        <w:rPr>
          <w:lang w:val="en-US"/>
        </w:rPr>
        <w:t>6</w:t>
      </w:r>
      <w:r>
        <w:rPr>
          <w:rFonts w:hint="eastAsia"/>
          <w:lang w:val="en-US"/>
        </w:rPr>
        <w:t>、《城市综合交通体系规划标准》（</w:t>
      </w:r>
      <w:r>
        <w:rPr>
          <w:lang w:val="en-US"/>
        </w:rPr>
        <w:t>GB/T51328-2018</w:t>
      </w:r>
      <w:r>
        <w:rPr>
          <w:rFonts w:hint="eastAsia"/>
          <w:lang w:val="en-US"/>
        </w:rPr>
        <w:t>）；</w:t>
      </w:r>
    </w:p>
    <w:p w14:paraId="5CB59697">
      <w:pPr>
        <w:adjustRightInd/>
        <w:snapToGrid/>
        <w:spacing w:after="0" w:afterLines="0"/>
        <w:ind w:firstLine="500"/>
      </w:pPr>
      <w:r>
        <w:rPr>
          <w:lang w:val="en-US"/>
        </w:rPr>
        <w:t>7</w:t>
      </w:r>
      <w:r>
        <w:rPr>
          <w:rFonts w:hint="eastAsia"/>
          <w:lang w:val="en-US"/>
        </w:rPr>
        <w:t>、《城市绿地规划标准》（</w:t>
      </w:r>
      <w:r>
        <w:rPr>
          <w:lang w:val="en-US"/>
        </w:rPr>
        <w:t>GB/T51346-2019</w:t>
      </w:r>
      <w:r>
        <w:rPr>
          <w:rFonts w:hint="eastAsia"/>
          <w:lang w:val="en-US"/>
        </w:rPr>
        <w:t>）；</w:t>
      </w:r>
    </w:p>
    <w:p w14:paraId="74601C64">
      <w:pPr>
        <w:adjustRightInd/>
        <w:snapToGrid/>
        <w:spacing w:after="0" w:afterLines="0"/>
        <w:ind w:firstLine="500"/>
      </w:pPr>
      <w:r>
        <w:rPr>
          <w:lang w:val="en-US"/>
        </w:rPr>
        <w:t>8</w:t>
      </w:r>
      <w:r>
        <w:rPr>
          <w:rFonts w:hint="eastAsia"/>
          <w:lang w:val="en-US"/>
        </w:rPr>
        <w:t>、《城市居住区规划设计标准》</w:t>
      </w:r>
      <w:r>
        <w:rPr>
          <w:lang w:val="en-US"/>
        </w:rPr>
        <w:t>(GB50180-2018)</w:t>
      </w:r>
      <w:r>
        <w:rPr>
          <w:rFonts w:hint="eastAsia"/>
          <w:lang w:val="en-US"/>
        </w:rPr>
        <w:t>；</w:t>
      </w:r>
    </w:p>
    <w:p w14:paraId="01507530">
      <w:pPr>
        <w:adjustRightInd/>
        <w:snapToGrid/>
        <w:spacing w:after="0" w:afterLines="0"/>
        <w:ind w:firstLine="500"/>
      </w:pPr>
      <w:r>
        <w:rPr>
          <w:lang w:val="en-US"/>
        </w:rPr>
        <w:t>9</w:t>
      </w:r>
      <w:r>
        <w:rPr>
          <w:rFonts w:hint="eastAsia"/>
          <w:lang w:val="en-US"/>
        </w:rPr>
        <w:t>、《公园设计规范》（</w:t>
      </w:r>
      <w:r>
        <w:rPr>
          <w:lang w:val="en-US"/>
        </w:rPr>
        <w:t>GB51192-2016</w:t>
      </w:r>
      <w:r>
        <w:rPr>
          <w:rFonts w:hint="eastAsia"/>
          <w:lang w:val="en-US"/>
        </w:rPr>
        <w:t>）；</w:t>
      </w:r>
    </w:p>
    <w:p w14:paraId="558BA76B">
      <w:pPr>
        <w:adjustRightInd/>
        <w:snapToGrid/>
        <w:spacing w:after="0" w:afterLines="0"/>
        <w:ind w:firstLine="500"/>
      </w:pPr>
      <w:r>
        <w:rPr>
          <w:lang w:val="en-US"/>
        </w:rPr>
        <w:t>10</w:t>
      </w:r>
      <w:r>
        <w:rPr>
          <w:rFonts w:hint="eastAsia"/>
          <w:lang w:val="en-US"/>
        </w:rPr>
        <w:t>、《城市公共设施规划规范》（</w:t>
      </w:r>
      <w:r>
        <w:rPr>
          <w:lang w:val="en-US"/>
        </w:rPr>
        <w:t>GB50442-2008</w:t>
      </w:r>
      <w:r>
        <w:rPr>
          <w:rFonts w:hint="eastAsia"/>
          <w:lang w:val="en-US"/>
        </w:rPr>
        <w:t>）；</w:t>
      </w:r>
    </w:p>
    <w:p w14:paraId="79B2FCBE">
      <w:pPr>
        <w:adjustRightInd/>
        <w:snapToGrid/>
        <w:spacing w:after="0" w:afterLines="0"/>
        <w:ind w:firstLine="500"/>
      </w:pPr>
      <w:r>
        <w:rPr>
          <w:lang w:val="en-US"/>
        </w:rPr>
        <w:t>11</w:t>
      </w:r>
      <w:r>
        <w:rPr>
          <w:rFonts w:hint="eastAsia"/>
          <w:lang w:val="en-US"/>
        </w:rPr>
        <w:t>、《城市停车规划规范》（</w:t>
      </w:r>
      <w:r>
        <w:rPr>
          <w:lang w:val="en-US"/>
        </w:rPr>
        <w:t>GB/T51149-2016</w:t>
      </w:r>
      <w:r>
        <w:rPr>
          <w:rFonts w:hint="eastAsia"/>
          <w:lang w:val="en-US"/>
        </w:rPr>
        <w:t>）；</w:t>
      </w:r>
    </w:p>
    <w:p w14:paraId="18C216EF">
      <w:pPr>
        <w:adjustRightInd/>
        <w:snapToGrid/>
        <w:spacing w:after="0" w:afterLines="0"/>
        <w:ind w:firstLine="500"/>
      </w:pPr>
      <w:r>
        <w:rPr>
          <w:lang w:val="en-US"/>
        </w:rPr>
        <w:t>12</w:t>
      </w:r>
      <w:r>
        <w:rPr>
          <w:rFonts w:hint="eastAsia"/>
          <w:lang w:val="en-US"/>
        </w:rPr>
        <w:t>、《城市工程管线综合规划规范》（</w:t>
      </w:r>
      <w:r>
        <w:rPr>
          <w:lang w:val="en-US"/>
        </w:rPr>
        <w:t>GB50289-2016</w:t>
      </w:r>
      <w:r>
        <w:rPr>
          <w:rFonts w:hint="eastAsia"/>
          <w:lang w:val="en-US"/>
        </w:rPr>
        <w:t>）；</w:t>
      </w:r>
    </w:p>
    <w:p w14:paraId="7AA10AFA">
      <w:pPr>
        <w:adjustRightInd/>
        <w:snapToGrid/>
        <w:spacing w:after="0" w:afterLines="0"/>
        <w:ind w:firstLine="500"/>
        <w:rPr>
          <w:lang w:val="en-US"/>
        </w:rPr>
      </w:pPr>
      <w:r>
        <w:rPr>
          <w:lang w:val="en-US"/>
        </w:rPr>
        <w:t>13</w:t>
      </w:r>
      <w:r>
        <w:rPr>
          <w:rFonts w:hint="eastAsia"/>
          <w:lang w:val="en-US"/>
        </w:rPr>
        <w:t>、《内蒙古自治区城乡规划条例》（</w:t>
      </w:r>
      <w:r>
        <w:rPr>
          <w:lang w:val="en-US"/>
        </w:rPr>
        <w:t>201</w:t>
      </w:r>
      <w:r>
        <w:rPr>
          <w:rFonts w:hint="eastAsia"/>
          <w:lang w:val="en-US"/>
        </w:rPr>
        <w:t>9年修正）；</w:t>
      </w:r>
    </w:p>
    <w:p w14:paraId="5CF6EA82">
      <w:pPr>
        <w:adjustRightInd/>
        <w:snapToGrid/>
        <w:spacing w:after="0" w:afterLines="0"/>
        <w:ind w:firstLine="500"/>
        <w:rPr>
          <w:lang w:val="en-US"/>
        </w:rPr>
      </w:pPr>
      <w:r>
        <w:rPr>
          <w:rFonts w:hint="eastAsia"/>
          <w:lang w:val="en-US"/>
        </w:rPr>
        <w:t>14、《包头市城市规划管理条例》（1996年）</w:t>
      </w:r>
    </w:p>
    <w:p w14:paraId="3A566D75">
      <w:pPr>
        <w:adjustRightInd/>
        <w:snapToGrid/>
        <w:spacing w:after="0" w:afterLines="0"/>
        <w:ind w:firstLine="500"/>
        <w:rPr>
          <w:lang w:val="en-US"/>
        </w:rPr>
      </w:pPr>
      <w:r>
        <w:rPr>
          <w:lang w:val="en-US"/>
        </w:rPr>
        <w:t>15</w:t>
      </w:r>
      <w:r>
        <w:rPr>
          <w:rFonts w:hint="eastAsia"/>
          <w:lang w:val="en-US"/>
        </w:rPr>
        <w:t>、《包头市城乡规划技术规定》（</w:t>
      </w:r>
      <w:r>
        <w:rPr>
          <w:lang w:val="en-US"/>
        </w:rPr>
        <w:t>2014</w:t>
      </w:r>
      <w:r>
        <w:rPr>
          <w:rFonts w:hint="eastAsia"/>
          <w:lang w:val="en-US"/>
        </w:rPr>
        <w:t>年）；</w:t>
      </w:r>
    </w:p>
    <w:p w14:paraId="1814D45B">
      <w:pPr>
        <w:adjustRightInd/>
        <w:snapToGrid/>
        <w:spacing w:after="0" w:afterLines="0"/>
        <w:ind w:firstLine="500"/>
        <w:rPr>
          <w:lang w:val="en-US"/>
        </w:rPr>
      </w:pPr>
      <w:r>
        <w:rPr>
          <w:lang w:val="en-US"/>
        </w:rPr>
        <w:t>16</w:t>
      </w:r>
      <w:r>
        <w:rPr>
          <w:rFonts w:hint="eastAsia"/>
          <w:lang w:val="en-US"/>
        </w:rPr>
        <w:t>、《</w:t>
      </w:r>
      <w:r>
        <w:rPr>
          <w:lang w:val="en-US"/>
        </w:rPr>
        <w:t>镇区国土空间详细规划编制规程</w:t>
      </w:r>
      <w:r>
        <w:rPr>
          <w:rFonts w:hint="eastAsia"/>
          <w:lang w:val="en-US"/>
        </w:rPr>
        <w:t>》（DB15/T3495-2024）；</w:t>
      </w:r>
    </w:p>
    <w:p w14:paraId="4B00161B">
      <w:pPr>
        <w:adjustRightInd/>
        <w:snapToGrid/>
        <w:spacing w:after="0" w:afterLines="0"/>
        <w:ind w:firstLine="500"/>
      </w:pPr>
      <w:r>
        <w:rPr>
          <w:lang w:val="en-US"/>
        </w:rPr>
        <w:t>17</w:t>
      </w:r>
      <w:r>
        <w:rPr>
          <w:rFonts w:hint="eastAsia"/>
          <w:lang w:val="en-US"/>
        </w:rPr>
        <w:t>、《内蒙古自治区城镇开发边界管理办法（试行）》</w:t>
      </w:r>
    </w:p>
    <w:p w14:paraId="3A4BD035">
      <w:pPr>
        <w:adjustRightInd/>
        <w:snapToGrid/>
        <w:spacing w:after="0" w:afterLines="0"/>
        <w:ind w:firstLine="500"/>
      </w:pPr>
      <w:r>
        <w:rPr>
          <w:lang w:val="en-US"/>
        </w:rPr>
        <w:t>18</w:t>
      </w:r>
      <w:r>
        <w:rPr>
          <w:rFonts w:hint="eastAsia"/>
          <w:lang w:val="en-US"/>
        </w:rPr>
        <w:t>、《白云鄂博矿区“十四五”规划纲要》（</w:t>
      </w:r>
      <w:r>
        <w:rPr>
          <w:lang w:val="en-US"/>
        </w:rPr>
        <w:t>2021</w:t>
      </w:r>
      <w:r>
        <w:rPr>
          <w:rFonts w:hint="eastAsia"/>
          <w:lang w:val="en-US"/>
        </w:rPr>
        <w:t>年）；</w:t>
      </w:r>
    </w:p>
    <w:p w14:paraId="03213062">
      <w:pPr>
        <w:adjustRightInd/>
        <w:snapToGrid/>
        <w:spacing w:after="0" w:afterLines="0"/>
        <w:ind w:firstLine="500"/>
      </w:pPr>
      <w:r>
        <w:rPr>
          <w:rFonts w:hint="eastAsia"/>
        </w:rPr>
        <w:t>1</w:t>
      </w:r>
      <w:r>
        <w:t>9</w:t>
      </w:r>
      <w:r>
        <w:rPr>
          <w:rFonts w:hint="eastAsia"/>
        </w:rPr>
        <w:t>、</w:t>
      </w:r>
      <w:r>
        <w:rPr>
          <w:rFonts w:hint="eastAsia"/>
          <w:lang w:val="en-US"/>
        </w:rPr>
        <w:t>《包头市白云鄂博矿区国土空间总体规划（</w:t>
      </w:r>
      <w:r>
        <w:rPr>
          <w:lang w:val="en-US"/>
        </w:rPr>
        <w:t>2021-2035</w:t>
      </w:r>
      <w:r>
        <w:rPr>
          <w:rFonts w:hint="eastAsia"/>
          <w:lang w:val="en-US"/>
        </w:rPr>
        <w:t>年）》；</w:t>
      </w:r>
    </w:p>
    <w:p w14:paraId="3274A2FD">
      <w:pPr>
        <w:widowControl/>
        <w:spacing w:after="166"/>
        <w:ind w:firstLine="500"/>
        <w:jc w:val="left"/>
        <w:rPr>
          <w:rFonts w:ascii="宋体" w:hAnsi="宋体" w:cs="宋体"/>
          <w:lang w:val="en-US" w:bidi="ar"/>
        </w:rPr>
      </w:pPr>
      <w:r>
        <w:rPr>
          <w:rFonts w:hint="eastAsia"/>
        </w:rPr>
        <w:t>其他相关法律法规、政策文件、成果等。</w:t>
      </w:r>
    </w:p>
    <w:p w14:paraId="135E99A9">
      <w:pPr>
        <w:pStyle w:val="3"/>
        <w:numPr>
          <w:ilvl w:val="1"/>
          <w:numId w:val="5"/>
        </w:numPr>
        <w:spacing w:before="166" w:after="166"/>
        <w:ind w:left="575"/>
      </w:pPr>
      <w:r>
        <w:rPr>
          <w:rFonts w:hint="eastAsia"/>
        </w:rPr>
        <w:t>编制过程</w:t>
      </w:r>
    </w:p>
    <w:p w14:paraId="6752920E">
      <w:pPr>
        <w:pStyle w:val="4"/>
        <w:numPr>
          <w:ilvl w:val="2"/>
          <w:numId w:val="5"/>
        </w:numPr>
        <w:spacing w:before="332" w:after="166"/>
        <w:rPr>
          <w:lang w:val="en-US"/>
        </w:rPr>
      </w:pPr>
      <w:r>
        <w:rPr>
          <w:rFonts w:hint="eastAsia"/>
          <w:lang w:val="en-US"/>
        </w:rPr>
        <w:t>前期编制准备</w:t>
      </w:r>
    </w:p>
    <w:p w14:paraId="124A6CCA">
      <w:pPr>
        <w:pStyle w:val="5"/>
      </w:pPr>
      <w:r>
        <w:rPr>
          <w:rFonts w:hint="eastAsia"/>
        </w:rPr>
        <w:t>组织准备</w:t>
      </w:r>
    </w:p>
    <w:p w14:paraId="6C2EA176">
      <w:pPr>
        <w:spacing w:after="166"/>
        <w:ind w:firstLine="500"/>
        <w:rPr>
          <w:lang w:val="en-US"/>
        </w:rPr>
      </w:pPr>
      <w:r>
        <w:rPr>
          <w:rFonts w:hint="eastAsia"/>
          <w:lang w:val="en-US"/>
        </w:rPr>
        <w:t>成立</w:t>
      </w:r>
      <w:r>
        <w:rPr>
          <w:rFonts w:hint="eastAsia"/>
        </w:rPr>
        <w:t>城区</w:t>
      </w:r>
      <w:r>
        <w:rPr>
          <w:rFonts w:hint="eastAsia"/>
          <w:lang w:val="en-US"/>
        </w:rPr>
        <w:t>国土空间</w:t>
      </w:r>
      <w:r>
        <w:rPr>
          <w:rFonts w:hint="eastAsia"/>
        </w:rPr>
        <w:t>详细规划</w:t>
      </w:r>
      <w:r>
        <w:rPr>
          <w:rFonts w:hint="eastAsia"/>
          <w:lang w:val="en-US"/>
        </w:rPr>
        <w:t>编制项目组。由白云鄂博矿区自然资源局组织牵头，南京大学城市规划设计研究院组成的编制项目组，负责本规划编制具体工作。</w:t>
      </w:r>
    </w:p>
    <w:p w14:paraId="52358BF1">
      <w:pPr>
        <w:pStyle w:val="5"/>
      </w:pPr>
      <w:r>
        <w:rPr>
          <w:rFonts w:hint="eastAsia"/>
        </w:rPr>
        <w:t>技术准备</w:t>
      </w:r>
    </w:p>
    <w:p w14:paraId="4D5E3C65">
      <w:pPr>
        <w:spacing w:after="166"/>
        <w:ind w:firstLine="500"/>
        <w:rPr>
          <w:lang w:val="en-US"/>
        </w:rPr>
      </w:pPr>
      <w:r>
        <w:rPr>
          <w:rFonts w:hint="eastAsia"/>
          <w:lang w:val="en-US"/>
        </w:rPr>
        <w:t>本规划以白云鄂博矿区2020年国土变更调查成果为基础，通过地类基数转换，形成统一的工作底数。规划地类与“三调”地类对应依据《国土空间调查、规划、用途管制用地用海分类指南（试行）》分类。</w:t>
      </w:r>
    </w:p>
    <w:p w14:paraId="12E6DC5D">
      <w:pPr>
        <w:pStyle w:val="5"/>
      </w:pPr>
      <w:r>
        <w:rPr>
          <w:rFonts w:hint="eastAsia"/>
        </w:rPr>
        <w:t>调查</w:t>
      </w:r>
      <w:r>
        <w:rPr>
          <w:rFonts w:hint="eastAsia"/>
          <w:lang w:val="en-US" w:eastAsia="zh-CN"/>
        </w:rPr>
        <w:t>研究</w:t>
      </w:r>
    </w:p>
    <w:p w14:paraId="4DF11BBC">
      <w:pPr>
        <w:spacing w:after="166"/>
        <w:ind w:firstLine="500"/>
        <w:rPr>
          <w:lang w:val="en-US"/>
        </w:rPr>
      </w:pPr>
      <w:r>
        <w:rPr>
          <w:rFonts w:hint="eastAsia" w:ascii="黑体" w:hAnsi="黑体" w:eastAsia="黑体" w:cs="黑体"/>
          <w:lang w:val="en-US"/>
        </w:rPr>
        <w:t>开展前期研究。</w:t>
      </w:r>
      <w:r>
        <w:rPr>
          <w:rFonts w:hint="eastAsia"/>
          <w:lang w:val="en-US"/>
        </w:rPr>
        <w:t>组织专业队伍，就规划编制中涉及的重大问题开展前期调研，梳理现行规划执行情况和存在问题，进一步明确白云鄂博矿区</w:t>
      </w:r>
      <w:r>
        <w:rPr>
          <w:rFonts w:hint="eastAsia"/>
        </w:rPr>
        <w:t>城区</w:t>
      </w:r>
      <w:r>
        <w:rPr>
          <w:rFonts w:hint="eastAsia"/>
          <w:lang w:val="en-US"/>
        </w:rPr>
        <w:t>国土空间</w:t>
      </w:r>
      <w:r>
        <w:rPr>
          <w:rFonts w:hint="eastAsia"/>
        </w:rPr>
        <w:t>详细规划</w:t>
      </w:r>
      <w:r>
        <w:rPr>
          <w:rFonts w:hint="eastAsia"/>
          <w:lang w:val="en-US"/>
        </w:rPr>
        <w:t>的主要任务和编制思路，夯实规划编制基础。</w:t>
      </w:r>
    </w:p>
    <w:p w14:paraId="79B5EEA2">
      <w:pPr>
        <w:spacing w:after="166"/>
        <w:ind w:firstLine="500"/>
        <w:rPr>
          <w:lang w:val="en-US"/>
        </w:rPr>
      </w:pPr>
      <w:r>
        <w:rPr>
          <w:rFonts w:hint="eastAsia" w:ascii="黑体" w:hAnsi="黑体" w:eastAsia="黑体" w:cs="黑体"/>
          <w:lang w:val="en-US"/>
        </w:rPr>
        <w:t>加强上下衔接。</w:t>
      </w:r>
      <w:r>
        <w:rPr>
          <w:rFonts w:hint="eastAsia"/>
          <w:lang w:val="en-US"/>
        </w:rPr>
        <w:t>为支撑本规划的编制，组织项目组赴政府部门</w:t>
      </w:r>
      <w:r>
        <w:rPr>
          <w:rFonts w:hint="eastAsia"/>
          <w:lang w:val="en-US" w:eastAsia="zh-CN"/>
        </w:rPr>
        <w:t>、街道社区</w:t>
      </w:r>
      <w:r>
        <w:rPr>
          <w:rFonts w:hint="eastAsia"/>
          <w:lang w:val="en-US"/>
        </w:rPr>
        <w:t>进行多轮深入的调研，收集相关意见和建议，了解城区管理和建设情况。明确规划工作重点。</w:t>
      </w:r>
    </w:p>
    <w:p w14:paraId="4B070605">
      <w:pPr>
        <w:spacing w:after="166"/>
        <w:ind w:firstLine="500"/>
        <w:rPr>
          <w:lang w:val="en-US"/>
        </w:rPr>
      </w:pPr>
      <w:r>
        <w:rPr>
          <w:rFonts w:hint="eastAsia" w:ascii="黑体" w:hAnsi="黑体" w:eastAsia="黑体" w:cs="黑体"/>
          <w:lang w:val="en-US"/>
        </w:rPr>
        <w:t>广泛收集资料。</w:t>
      </w:r>
      <w:r>
        <w:rPr>
          <w:rFonts w:hint="eastAsia"/>
          <w:lang w:val="en-US"/>
        </w:rPr>
        <w:t>结合规划编制需要，收集整理自然地理、自然资源、生态环境、人口、经济、社会、文化、基础设施、城市建设、灾害风险等方面的大量基础数据和资料。</w:t>
      </w:r>
    </w:p>
    <w:p w14:paraId="20ED9937">
      <w:pPr>
        <w:spacing w:after="166"/>
        <w:ind w:firstLine="500"/>
        <w:rPr>
          <w:lang w:val="en-US"/>
        </w:rPr>
      </w:pPr>
      <w:r>
        <w:rPr>
          <w:rFonts w:hint="eastAsia" w:ascii="黑体" w:hAnsi="黑体" w:eastAsia="黑体" w:cs="黑体"/>
          <w:lang w:val="en-US"/>
        </w:rPr>
        <w:t>开展现状调查。</w:t>
      </w:r>
      <w:r>
        <w:rPr>
          <w:rFonts w:hint="eastAsia"/>
          <w:lang w:val="en-US"/>
        </w:rPr>
        <w:t>采取现场踏勘、公众调查、大数据分析等方式，对规划范围内及相邻区域的自然条件、生态本底、民风民俗、土地利用、社会经济、建筑物情况等现状进行分析。</w:t>
      </w:r>
    </w:p>
    <w:p w14:paraId="472DF0CE">
      <w:pPr>
        <w:spacing w:after="166"/>
        <w:ind w:firstLine="500"/>
        <w:rPr>
          <w:lang w:val="en-US"/>
        </w:rPr>
      </w:pPr>
      <w:r>
        <w:rPr>
          <w:rFonts w:hint="eastAsia" w:ascii="黑体" w:hAnsi="黑体" w:eastAsia="黑体" w:cs="黑体"/>
          <w:lang w:val="en-US"/>
        </w:rPr>
        <w:t>开展规划实施评价。</w:t>
      </w:r>
      <w:r>
        <w:rPr>
          <w:rFonts w:hint="eastAsia"/>
          <w:lang w:val="en-US"/>
        </w:rPr>
        <w:t>梳理上位规划及相关专项规划，衔接国土空间规划年度城市体检评估，深化单元层面的体检评估，准确把握地区特点，找准空间治理问题短板，明确功能完善和空间布局优化的方向，切实提高详细规划的针对性和可实施性。</w:t>
      </w:r>
    </w:p>
    <w:p w14:paraId="3851DDA2">
      <w:pPr>
        <w:pStyle w:val="4"/>
        <w:numPr>
          <w:ilvl w:val="2"/>
          <w:numId w:val="5"/>
        </w:numPr>
        <w:spacing w:before="332" w:after="166"/>
        <w:rPr>
          <w:lang w:val="en-US"/>
        </w:rPr>
      </w:pPr>
      <w:r>
        <w:rPr>
          <w:rFonts w:hint="eastAsia"/>
          <w:lang w:val="en-US"/>
        </w:rPr>
        <w:t>规划方案编制</w:t>
      </w:r>
    </w:p>
    <w:p w14:paraId="059D99F5">
      <w:pPr>
        <w:pStyle w:val="5"/>
        <w:numPr>
          <w:ilvl w:val="0"/>
          <w:numId w:val="6"/>
        </w:numPr>
        <w:rPr>
          <w:rFonts w:hint="eastAsia"/>
        </w:rPr>
      </w:pPr>
      <w:r>
        <w:rPr>
          <w:rFonts w:hint="eastAsia"/>
        </w:rPr>
        <w:t>形成规划初步框架</w:t>
      </w:r>
    </w:p>
    <w:p w14:paraId="00016398">
      <w:pPr>
        <w:widowControl/>
        <w:spacing w:after="166"/>
        <w:ind w:firstLine="500"/>
        <w:jc w:val="both"/>
        <w:rPr>
          <w:lang w:val="en-US"/>
        </w:rPr>
      </w:pPr>
      <w:r>
        <w:rPr>
          <w:rFonts w:hint="eastAsia"/>
          <w:lang w:val="en-US"/>
        </w:rPr>
        <w:t>在前期工作的基础上，落实传导上位规划的功能定位、重要控制线、规模控制、布局结构等，编写</w:t>
      </w:r>
      <w:r>
        <w:rPr>
          <w:rFonts w:hint="eastAsia"/>
        </w:rPr>
        <w:t>《包头市白云鄂博矿区城区</w:t>
      </w:r>
      <w:r>
        <w:rPr>
          <w:rFonts w:hint="eastAsia"/>
          <w:lang w:val="en-US"/>
        </w:rPr>
        <w:t>国土空间</w:t>
      </w:r>
      <w:r>
        <w:rPr>
          <w:rFonts w:hint="eastAsia"/>
        </w:rPr>
        <w:t>详细规划》</w:t>
      </w:r>
      <w:r>
        <w:rPr>
          <w:rFonts w:hint="eastAsia"/>
          <w:lang w:val="en-US"/>
        </w:rPr>
        <w:t>，形成详细规划基本框架和主要思路，并征求相关政府、部门及专家意见。</w:t>
      </w:r>
    </w:p>
    <w:p w14:paraId="23BDAA37">
      <w:pPr>
        <w:pStyle w:val="5"/>
        <w:numPr>
          <w:ilvl w:val="0"/>
          <w:numId w:val="6"/>
        </w:numPr>
        <w:bidi w:val="0"/>
        <w:rPr>
          <w:rFonts w:hint="eastAsia"/>
        </w:rPr>
      </w:pPr>
      <w:r>
        <w:rPr>
          <w:rFonts w:hint="eastAsia"/>
        </w:rPr>
        <w:t>深化重大问题研究</w:t>
      </w:r>
    </w:p>
    <w:p w14:paraId="3C5CAC98">
      <w:pPr>
        <w:widowControl/>
        <w:spacing w:after="166"/>
        <w:ind w:firstLine="500"/>
        <w:jc w:val="both"/>
        <w:rPr>
          <w:lang w:val="en-US"/>
        </w:rPr>
      </w:pPr>
      <w:r>
        <w:rPr>
          <w:rFonts w:hint="eastAsia"/>
          <w:lang w:val="en-US"/>
        </w:rPr>
        <w:t>在完成初步成果和征求意见的基础上，梳理出规划编制的几个重大问题，包括如何确定城市发展方向，如何组织交通路网体系，如何优化土地功能结构，如何提升用地集约水平，如何改善城区风貌等，组织专家和技术骨干进行深入研究，进一步确定建设用地空间布局，明确各类设施的配套要求，着力提升规划科学性和针对性。</w:t>
      </w:r>
    </w:p>
    <w:p w14:paraId="3C0D116D">
      <w:pPr>
        <w:pStyle w:val="5"/>
        <w:numPr>
          <w:ilvl w:val="0"/>
          <w:numId w:val="6"/>
        </w:numPr>
        <w:bidi w:val="0"/>
        <w:rPr>
          <w:rFonts w:hint="eastAsia"/>
        </w:rPr>
      </w:pPr>
      <w:r>
        <w:rPr>
          <w:rFonts w:hint="eastAsia"/>
        </w:rPr>
        <w:t>编制规划初步成果</w:t>
      </w:r>
    </w:p>
    <w:p w14:paraId="5043EAE5">
      <w:pPr>
        <w:widowControl/>
        <w:spacing w:after="166"/>
        <w:ind w:firstLine="500"/>
        <w:jc w:val="left"/>
        <w:rPr>
          <w:lang w:val="en-US"/>
        </w:rPr>
      </w:pPr>
      <w:r>
        <w:rPr>
          <w:rFonts w:hint="eastAsia"/>
          <w:lang w:val="en-US"/>
        </w:rPr>
        <w:t>参考《内蒙古自治区镇区国土空间详细规划编制规程》，基于重大问题研究结论，拟定规划方案，确定规划指标体系和强制性内容，提出开发建设管控要求，形成</w:t>
      </w:r>
      <w:r>
        <w:rPr>
          <w:rFonts w:hint="eastAsia"/>
        </w:rPr>
        <w:t>《包头市白云鄂博矿区城区</w:t>
      </w:r>
      <w:r>
        <w:rPr>
          <w:rFonts w:hint="eastAsia"/>
          <w:lang w:val="en-US"/>
        </w:rPr>
        <w:t>国土空间</w:t>
      </w:r>
      <w:r>
        <w:rPr>
          <w:rFonts w:hint="eastAsia"/>
        </w:rPr>
        <w:t>详细规划》</w:t>
      </w:r>
      <w:r>
        <w:rPr>
          <w:rFonts w:hint="eastAsia"/>
          <w:lang w:val="en-US"/>
        </w:rPr>
        <w:t>规划文本征求意见稿、规划说明、规划图件、规划公示版。</w:t>
      </w:r>
    </w:p>
    <w:p w14:paraId="68B943E4">
      <w:pPr>
        <w:pStyle w:val="5"/>
        <w:numPr>
          <w:ilvl w:val="0"/>
          <w:numId w:val="6"/>
        </w:numPr>
        <w:bidi w:val="0"/>
      </w:pPr>
      <w:r>
        <w:rPr>
          <w:rFonts w:hint="eastAsia"/>
          <w:lang w:val="en-US" w:eastAsia="zh-CN"/>
        </w:rPr>
        <w:t>持续</w:t>
      </w:r>
      <w:r>
        <w:rPr>
          <w:rFonts w:hint="eastAsia"/>
        </w:rPr>
        <w:t>完善深化</w:t>
      </w:r>
    </w:p>
    <w:p w14:paraId="26F5C1BA">
      <w:pPr>
        <w:widowControl/>
        <w:spacing w:after="166"/>
        <w:ind w:firstLine="500"/>
        <w:jc w:val="both"/>
        <w:rPr>
          <w:lang w:val="en-US"/>
        </w:rPr>
      </w:pPr>
      <w:r>
        <w:rPr>
          <w:rFonts w:hint="eastAsia"/>
          <w:highlight w:val="none"/>
          <w:lang w:val="en-US" w:eastAsia="zh-CN"/>
        </w:rPr>
        <w:t>持续与自然资源厅编制中的“</w:t>
      </w:r>
      <w:r>
        <w:rPr>
          <w:rFonts w:hint="eastAsia"/>
          <w:highlight w:val="none"/>
          <w:lang w:val="en-US"/>
        </w:rPr>
        <w:t>内蒙古自治区</w:t>
      </w:r>
      <w:r>
        <w:rPr>
          <w:rFonts w:hint="eastAsia"/>
          <w:highlight w:val="none"/>
          <w:lang w:val="en-US" w:eastAsia="zh-CN"/>
        </w:rPr>
        <w:t>城区</w:t>
      </w:r>
      <w:r>
        <w:rPr>
          <w:rFonts w:hint="eastAsia"/>
          <w:highlight w:val="none"/>
          <w:lang w:val="en-US"/>
        </w:rPr>
        <w:t>国土空间详细规划编制规程</w:t>
      </w:r>
      <w:r>
        <w:rPr>
          <w:rFonts w:hint="eastAsia"/>
          <w:highlight w:val="none"/>
          <w:lang w:val="en-US" w:eastAsia="zh-CN"/>
        </w:rPr>
        <w:t>”保持对标，落实</w:t>
      </w:r>
      <w:r>
        <w:rPr>
          <w:rFonts w:hint="eastAsia"/>
          <w:highlight w:val="none"/>
          <w:lang w:val="en-US"/>
        </w:rPr>
        <w:t>新要求</w:t>
      </w:r>
      <w:r>
        <w:rPr>
          <w:rFonts w:hint="eastAsia"/>
          <w:highlight w:val="none"/>
          <w:lang w:val="en-US" w:eastAsia="zh-CN"/>
        </w:rPr>
        <w:t>并</w:t>
      </w:r>
      <w:r>
        <w:rPr>
          <w:rFonts w:hint="eastAsia"/>
          <w:highlight w:val="none"/>
          <w:lang w:val="en-US"/>
        </w:rPr>
        <w:t>持续完善</w:t>
      </w:r>
      <w:r>
        <w:rPr>
          <w:rFonts w:hint="eastAsia"/>
          <w:highlight w:val="none"/>
          <w:lang w:val="en-US" w:eastAsia="zh-CN"/>
        </w:rPr>
        <w:t>规划成果</w:t>
      </w:r>
      <w:r>
        <w:rPr>
          <w:rFonts w:hint="eastAsia"/>
          <w:lang w:val="en-US"/>
        </w:rPr>
        <w:t>。</w:t>
      </w:r>
    </w:p>
    <w:p w14:paraId="5439BEC4">
      <w:pPr>
        <w:pStyle w:val="3"/>
        <w:numPr>
          <w:ilvl w:val="1"/>
          <w:numId w:val="5"/>
        </w:numPr>
        <w:spacing w:before="166" w:after="166"/>
        <w:ind w:left="575"/>
      </w:pPr>
      <w:r>
        <w:rPr>
          <w:rFonts w:hint="eastAsia"/>
        </w:rPr>
        <w:t>数据采用</w:t>
      </w:r>
    </w:p>
    <w:p w14:paraId="40A141FB">
      <w:pPr>
        <w:spacing w:after="166"/>
        <w:ind w:firstLine="500"/>
      </w:pPr>
      <w:r>
        <w:rPr>
          <w:rFonts w:hint="eastAsia"/>
        </w:rPr>
        <w:t>在第三次国土调查（白云鄂博矿区2020年国土变更调查成果）的基础上，按照国土空间用地用海分类标准，以国土调查、地籍调查、不动产登记等法定数据为基础，结合地形图、影像图，制作统一工作底图。</w:t>
      </w:r>
    </w:p>
    <w:p w14:paraId="3E2EA7E4">
      <w:pPr>
        <w:widowControl/>
        <w:spacing w:after="166"/>
        <w:ind w:firstLine="500"/>
        <w:jc w:val="both"/>
        <w:rPr>
          <w:lang w:val="en-US"/>
        </w:rPr>
      </w:pPr>
      <w:r>
        <w:rPr>
          <w:rFonts w:hint="eastAsia"/>
        </w:rPr>
        <w:t>统一采用2000国家大地坐标系、1985国家高程基准、高斯-克吕格3</w:t>
      </w:r>
      <w:r>
        <w:rPr>
          <w:rFonts w:hint="eastAsia"/>
          <w:lang w:val="en-US"/>
        </w:rPr>
        <w:t>°</w:t>
      </w:r>
      <w:r>
        <w:rPr>
          <w:rFonts w:hint="eastAsia"/>
        </w:rPr>
        <w:t>带投影作为空间定位基础。收集各部门提供的自然地理、自然资源、生态环境、经济产业、人口社会、历史文化、基础设施、城市建设、区域协调、灾害风险、</w:t>
      </w:r>
      <w:r>
        <w:rPr>
          <w:rFonts w:hint="eastAsia"/>
          <w:lang w:val="en-US"/>
        </w:rPr>
        <w:t>用地审批、土地供应</w:t>
      </w:r>
      <w:r>
        <w:rPr>
          <w:rFonts w:hint="eastAsia"/>
        </w:rPr>
        <w:t>等数据和资料，加强基础数据分析。</w:t>
      </w:r>
    </w:p>
    <w:p w14:paraId="4021F50A">
      <w:pPr>
        <w:widowControl/>
        <w:spacing w:after="166"/>
        <w:ind w:firstLine="500"/>
        <w:jc w:val="left"/>
        <w:rPr>
          <w:rFonts w:ascii="宋体" w:hAnsi="宋体" w:cs="宋体"/>
          <w:lang w:val="en-US" w:bidi="ar"/>
        </w:rPr>
      </w:pPr>
    </w:p>
    <w:p w14:paraId="3BFD48DE">
      <w:pPr>
        <w:spacing w:after="166"/>
        <w:ind w:firstLine="960"/>
        <w:rPr>
          <w:rFonts w:ascii="黑体" w:hAnsi="黑体" w:eastAsia="黑体"/>
          <w:sz w:val="48"/>
          <w:szCs w:val="48"/>
          <w:lang w:val="en-US"/>
        </w:rPr>
      </w:pPr>
      <w:r>
        <w:drawing>
          <wp:inline distT="0" distB="0" distL="114300" distR="114300">
            <wp:extent cx="5336540" cy="2828290"/>
            <wp:effectExtent l="0" t="0" r="16510" b="10160"/>
            <wp:docPr id="4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7"/>
                    <pic:cNvPicPr>
                      <a:picLocks noChangeAspect="1"/>
                    </pic:cNvPicPr>
                  </pic:nvPicPr>
                  <pic:blipFill>
                    <a:blip r:embed="rId12"/>
                    <a:stretch>
                      <a:fillRect/>
                    </a:stretch>
                  </pic:blipFill>
                  <pic:spPr>
                    <a:xfrm>
                      <a:off x="0" y="0"/>
                      <a:ext cx="5336540" cy="2828290"/>
                    </a:xfrm>
                    <a:prstGeom prst="rect">
                      <a:avLst/>
                    </a:prstGeom>
                  </pic:spPr>
                </pic:pic>
              </a:graphicData>
            </a:graphic>
          </wp:inline>
        </w:drawing>
      </w:r>
    </w:p>
    <w:p w14:paraId="38837307">
      <w:pPr>
        <w:pStyle w:val="268"/>
        <w:spacing w:after="166"/>
        <w:rPr>
          <w:rFonts w:hint="default" w:eastAsia="黑体"/>
          <w:lang w:val="en-US" w:eastAsia="zh-CN"/>
        </w:rPr>
      </w:pPr>
      <w:r>
        <w:rPr>
          <w:rFonts w:hint="eastAsia"/>
        </w:rPr>
        <w:t>图</w:t>
      </w:r>
      <w:r>
        <w:rPr>
          <w:rFonts w:hint="eastAsia"/>
          <w:lang w:val="en-US" w:eastAsia="zh-CN"/>
        </w:rPr>
        <w:t>1</w:t>
      </w:r>
      <w:r>
        <w:rPr>
          <w:rFonts w:hint="eastAsia"/>
        </w:rPr>
        <w:t>-</w:t>
      </w:r>
      <w:r>
        <w:rPr>
          <w:rFonts w:hint="eastAsia"/>
          <w:lang w:val="en-US" w:eastAsia="zh-CN"/>
        </w:rPr>
        <w:t>2</w:t>
      </w:r>
      <w:r>
        <w:rPr>
          <w:rFonts w:hint="eastAsia"/>
          <w:lang w:val="en-US"/>
        </w:rPr>
        <w:t xml:space="preserve">  </w:t>
      </w:r>
      <w:r>
        <w:rPr>
          <w:rFonts w:hint="eastAsia"/>
          <w:lang w:val="en-US" w:eastAsia="zh-CN"/>
        </w:rPr>
        <w:t>详细规划在国土空间规划体系中的地位和作用</w:t>
      </w:r>
    </w:p>
    <w:p w14:paraId="29C023E1">
      <w:pPr>
        <w:spacing w:after="166"/>
        <w:ind w:firstLine="960"/>
        <w:rPr>
          <w:rFonts w:ascii="黑体" w:hAnsi="黑体" w:eastAsia="黑体"/>
          <w:sz w:val="48"/>
          <w:szCs w:val="48"/>
          <w:lang w:val="en-US"/>
        </w:rPr>
      </w:pPr>
      <w:r>
        <w:rPr>
          <w:rFonts w:hint="eastAsia" w:ascii="黑体" w:hAnsi="黑体" w:eastAsia="黑体"/>
          <w:sz w:val="48"/>
          <w:szCs w:val="48"/>
          <w:lang w:val="en-US"/>
        </w:rPr>
        <w:br w:type="page"/>
      </w:r>
    </w:p>
    <w:p w14:paraId="0B5C35ED">
      <w:pPr>
        <w:pStyle w:val="2"/>
        <w:numPr>
          <w:ilvl w:val="0"/>
          <w:numId w:val="5"/>
        </w:numPr>
      </w:pPr>
      <w:bookmarkStart w:id="2" w:name="_Toc10064"/>
      <w:r>
        <w:rPr>
          <w:rFonts w:hint="eastAsia"/>
        </w:rPr>
        <w:t>现状分析</w:t>
      </w:r>
      <w:bookmarkEnd w:id="2"/>
    </w:p>
    <w:p w14:paraId="4AD75009">
      <w:pPr>
        <w:pStyle w:val="3"/>
        <w:numPr>
          <w:ilvl w:val="1"/>
          <w:numId w:val="5"/>
        </w:numPr>
        <w:spacing w:before="166" w:after="166"/>
        <w:ind w:hanging="575"/>
      </w:pPr>
      <w:r>
        <w:rPr>
          <w:rFonts w:hint="eastAsia"/>
        </w:rPr>
        <w:t>行政区划</w:t>
      </w:r>
    </w:p>
    <w:p w14:paraId="7EACDC25">
      <w:pPr>
        <w:spacing w:after="166"/>
        <w:ind w:firstLine="500"/>
      </w:pPr>
      <w:r>
        <w:rPr>
          <w:rFonts w:hint="eastAsia"/>
        </w:rPr>
        <w:t>白云鄂博矿区下辖通阳道街道（</w:t>
      </w:r>
      <w:r>
        <w:rPr>
          <w:rFonts w:hint="eastAsia"/>
          <w:lang w:val="en-US"/>
        </w:rPr>
        <w:t>祥云社区、星光社区</w:t>
      </w:r>
      <w:r>
        <w:rPr>
          <w:rFonts w:hint="eastAsia"/>
        </w:rPr>
        <w:t>）和矿山路街道（</w:t>
      </w:r>
      <w:r>
        <w:rPr>
          <w:rFonts w:hint="eastAsia"/>
          <w:lang w:val="en-US"/>
        </w:rPr>
        <w:t>宝山社区、百灵社区</w:t>
      </w:r>
      <w:r>
        <w:rPr>
          <w:rFonts w:hint="eastAsia"/>
        </w:rPr>
        <w:t>），在两个街道以外未细分街道</w:t>
      </w:r>
      <w:r>
        <w:rPr>
          <w:rFonts w:hint="eastAsia"/>
          <w:lang w:val="en-US" w:eastAsia="zh-CN"/>
        </w:rPr>
        <w:t>级</w:t>
      </w:r>
      <w:r>
        <w:rPr>
          <w:rFonts w:hint="eastAsia"/>
        </w:rPr>
        <w:t>行政边界。</w:t>
      </w:r>
    </w:p>
    <w:p w14:paraId="6F8DAB77">
      <w:pPr>
        <w:spacing w:after="0" w:afterLines="0"/>
        <w:ind w:firstLine="0" w:firstLineChars="0"/>
      </w:pPr>
      <w:r>
        <w:rPr>
          <w:rFonts w:hint="eastAsia"/>
        </w:rPr>
        <w:drawing>
          <wp:inline distT="0" distB="0" distL="0" distR="0">
            <wp:extent cx="5274310" cy="5697855"/>
            <wp:effectExtent l="0" t="0" r="2540" b="1714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3"/>
                    <a:srcRect b="23505"/>
                    <a:stretch>
                      <a:fillRect/>
                    </a:stretch>
                  </pic:blipFill>
                  <pic:spPr>
                    <a:xfrm>
                      <a:off x="0" y="0"/>
                      <a:ext cx="5274310" cy="5698273"/>
                    </a:xfrm>
                    <a:prstGeom prst="rect">
                      <a:avLst/>
                    </a:prstGeom>
                    <a:noFill/>
                    <a:ln>
                      <a:noFill/>
                    </a:ln>
                  </pic:spPr>
                </pic:pic>
              </a:graphicData>
            </a:graphic>
          </wp:inline>
        </w:drawing>
      </w:r>
    </w:p>
    <w:p w14:paraId="70933D05">
      <w:pPr>
        <w:pStyle w:val="268"/>
        <w:spacing w:after="166"/>
        <w:rPr>
          <w:lang w:val="en-US"/>
        </w:rPr>
      </w:pPr>
      <w:r>
        <w:rPr>
          <w:rFonts w:hint="eastAsia"/>
        </w:rPr>
        <w:t>图2-1</w:t>
      </w:r>
      <w:r>
        <w:rPr>
          <w:rFonts w:hint="eastAsia"/>
          <w:lang w:val="en-US"/>
        </w:rPr>
        <w:t xml:space="preserve">  </w:t>
      </w:r>
      <w:r>
        <w:rPr>
          <w:rFonts w:hint="eastAsia"/>
        </w:rPr>
        <w:t>白云鄂博矿区</w:t>
      </w:r>
      <w:r>
        <w:rPr>
          <w:rFonts w:hint="eastAsia"/>
          <w:lang w:val="en-US"/>
        </w:rPr>
        <w:t>社区边界图</w:t>
      </w:r>
    </w:p>
    <w:p w14:paraId="50D06710">
      <w:pPr>
        <w:pStyle w:val="3"/>
        <w:numPr>
          <w:ilvl w:val="1"/>
          <w:numId w:val="5"/>
        </w:numPr>
        <w:spacing w:before="166" w:after="166"/>
        <w:ind w:hanging="575"/>
      </w:pPr>
      <w:r>
        <w:rPr>
          <w:rFonts w:hint="eastAsia"/>
        </w:rPr>
        <w:t>区位条件</w:t>
      </w:r>
    </w:p>
    <w:p w14:paraId="32E2146E">
      <w:pPr>
        <w:spacing w:after="166"/>
        <w:ind w:firstLine="500"/>
      </w:pPr>
      <w:r>
        <w:t>白云鄂博矿区</w:t>
      </w:r>
      <w:r>
        <w:rPr>
          <w:rFonts w:hint="eastAsia"/>
        </w:rPr>
        <w:t>属内蒙古自治区包头市所辖，位于包头市城区北部，与达尔罕茂明安联合旗相邻，东邻巴音敖包苏木，西南与新宝力格苏木环接，北连红旗牧场。白云鄂博矿区区位条件优越，位于连接中蒙跨境经济合作区、中蒙合作工业园区的重要通道，是连接包头市与蒙古国通道上的必经节点，与达茂旗的百灵庙镇、固阳县的金山镇构成山北地区协同发展的“金三角”。</w:t>
      </w:r>
    </w:p>
    <w:p w14:paraId="7C9CC716">
      <w:pPr>
        <w:pStyle w:val="13"/>
        <w:spacing w:after="166"/>
        <w:ind w:firstLineChars="175"/>
        <w:jc w:val="center"/>
      </w:pPr>
      <w:r>
        <w:drawing>
          <wp:inline distT="0" distB="0" distL="0" distR="0">
            <wp:extent cx="5269865" cy="2854960"/>
            <wp:effectExtent l="0" t="0" r="6985" b="254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14"/>
                    <a:srcRect/>
                    <a:stretch>
                      <a:fillRect/>
                    </a:stretch>
                  </pic:blipFill>
                  <pic:spPr>
                    <a:xfrm>
                      <a:off x="0" y="0"/>
                      <a:ext cx="5270400" cy="2855555"/>
                    </a:xfrm>
                    <a:prstGeom prst="rect">
                      <a:avLst/>
                    </a:prstGeom>
                    <a:noFill/>
                  </pic:spPr>
                </pic:pic>
              </a:graphicData>
            </a:graphic>
          </wp:inline>
        </w:drawing>
      </w:r>
    </w:p>
    <w:p w14:paraId="43A90394">
      <w:pPr>
        <w:pStyle w:val="117"/>
        <w:spacing w:before="166"/>
      </w:pPr>
      <w:r>
        <w:rPr>
          <w:rFonts w:hint="eastAsia"/>
        </w:rPr>
        <w:t>图2-</w:t>
      </w:r>
      <w:r>
        <w:t>2</w:t>
      </w:r>
      <w:r>
        <w:rPr>
          <w:rFonts w:hint="eastAsia"/>
        </w:rPr>
        <w:t xml:space="preserve">  白云鄂博矿区在呼包鄂榆城市群区位图       </w:t>
      </w:r>
      <w:r>
        <w:t xml:space="preserve"> </w:t>
      </w:r>
      <w:r>
        <w:rPr>
          <w:rFonts w:hint="eastAsia"/>
        </w:rPr>
        <w:t>图2-</w:t>
      </w:r>
      <w:r>
        <w:t>3</w:t>
      </w:r>
      <w:r>
        <w:rPr>
          <w:rFonts w:hint="eastAsia"/>
        </w:rPr>
        <w:t xml:space="preserve">  白云鄂博矿区在包头市区位图</w:t>
      </w:r>
    </w:p>
    <w:p w14:paraId="0082BB43">
      <w:pPr>
        <w:spacing w:after="166"/>
        <w:ind w:firstLine="500"/>
      </w:pPr>
      <w:r>
        <w:rPr>
          <w:rFonts w:hint="eastAsia"/>
        </w:rPr>
        <w:t>本次规划范围位于</w:t>
      </w:r>
      <w:r>
        <w:rPr>
          <w:rFonts w:hint="eastAsia"/>
          <w:lang w:val="en-US"/>
        </w:rPr>
        <w:t>白云鄂博矿区</w:t>
      </w:r>
      <w:r>
        <w:rPr>
          <w:rFonts w:hint="eastAsia"/>
        </w:rPr>
        <w:t>的</w:t>
      </w:r>
      <w:r>
        <w:rPr>
          <w:rFonts w:hint="eastAsia"/>
          <w:lang w:val="en-US"/>
        </w:rPr>
        <w:t>中</w:t>
      </w:r>
      <w:r>
        <w:rPr>
          <w:rFonts w:hint="eastAsia"/>
        </w:rPr>
        <w:t>部，是</w:t>
      </w:r>
      <w:r>
        <w:rPr>
          <w:rFonts w:hint="eastAsia"/>
          <w:lang w:val="en-US"/>
        </w:rPr>
        <w:t>区</w:t>
      </w:r>
      <w:r>
        <w:rPr>
          <w:rFonts w:hint="eastAsia"/>
        </w:rPr>
        <w:t>人民政府所在地，</w:t>
      </w:r>
      <w:r>
        <w:rPr>
          <w:rFonts w:hint="eastAsia"/>
          <w:lang w:val="en-US"/>
        </w:rPr>
        <w:t>南</w:t>
      </w:r>
      <w:r>
        <w:rPr>
          <w:rFonts w:hint="eastAsia"/>
        </w:rPr>
        <w:t>侧紧邻</w:t>
      </w:r>
      <w:r>
        <w:rPr>
          <w:rFonts w:hint="eastAsia"/>
          <w:lang w:val="en-US"/>
        </w:rPr>
        <w:t>国道</w:t>
      </w:r>
      <w:r>
        <w:rPr>
          <w:rFonts w:hint="eastAsia"/>
          <w:lang w:val="en-US" w:eastAsia="zh-CN"/>
        </w:rPr>
        <w:t>G</w:t>
      </w:r>
      <w:r>
        <w:rPr>
          <w:rFonts w:hint="eastAsia"/>
          <w:lang w:val="en-US"/>
        </w:rPr>
        <w:t>335</w:t>
      </w:r>
      <w:r>
        <w:rPr>
          <w:rFonts w:hint="eastAsia"/>
        </w:rPr>
        <w:t>，交通区位条件较好。</w:t>
      </w:r>
    </w:p>
    <w:p w14:paraId="56207615">
      <w:pPr>
        <w:pStyle w:val="3"/>
        <w:numPr>
          <w:ilvl w:val="1"/>
          <w:numId w:val="5"/>
        </w:numPr>
        <w:spacing w:before="166" w:after="166"/>
        <w:ind w:hanging="575"/>
      </w:pPr>
      <w:r>
        <w:rPr>
          <w:rFonts w:hint="eastAsia"/>
        </w:rPr>
        <w:t>地形特征</w:t>
      </w:r>
    </w:p>
    <w:p w14:paraId="2333B645">
      <w:pPr>
        <w:spacing w:after="166"/>
        <w:ind w:firstLine="500"/>
        <w:rPr>
          <w:rFonts w:hint="eastAsia"/>
          <w:lang w:val="en-US"/>
        </w:rPr>
      </w:pPr>
      <w:r>
        <w:rPr>
          <w:rFonts w:hint="eastAsia"/>
          <w:lang w:val="en-US"/>
        </w:rPr>
        <w:t>现状基地较为平坦，地形整体呈现南高北低的特征，最高点位于规划范围西侧的缓坡处，高程达到1615米，最低点位于规划范围东北侧，高程1595米。最高高程与最低高程相差20米，规划范围内整体高差变化较小，用地平整适宜建设。</w:t>
      </w:r>
    </w:p>
    <w:p w14:paraId="15276625">
      <w:pPr>
        <w:spacing w:after="166"/>
        <w:ind w:firstLine="500"/>
        <w:jc w:val="center"/>
      </w:pPr>
      <w:r>
        <w:drawing>
          <wp:inline distT="0" distB="0" distL="114300" distR="114300">
            <wp:extent cx="4074160" cy="3248025"/>
            <wp:effectExtent l="0" t="0" r="0" b="9525"/>
            <wp:docPr id="7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
                    <pic:cNvPicPr>
                      <a:picLocks noChangeAspect="1"/>
                    </pic:cNvPicPr>
                  </pic:nvPicPr>
                  <pic:blipFill>
                    <a:blip r:embed="rId15"/>
                    <a:srcRect l="8487" t="3972" r="7378" b="6562"/>
                    <a:stretch>
                      <a:fillRect/>
                    </a:stretch>
                  </pic:blipFill>
                  <pic:spPr>
                    <a:xfrm>
                      <a:off x="0" y="0"/>
                      <a:ext cx="4074160" cy="3248025"/>
                    </a:xfrm>
                    <a:prstGeom prst="rect">
                      <a:avLst/>
                    </a:prstGeom>
                    <a:noFill/>
                    <a:ln>
                      <a:noFill/>
                    </a:ln>
                  </pic:spPr>
                </pic:pic>
              </a:graphicData>
            </a:graphic>
          </wp:inline>
        </w:drawing>
      </w:r>
    </w:p>
    <w:p w14:paraId="02C3A251">
      <w:pPr>
        <w:spacing w:after="166"/>
        <w:ind w:firstLine="500"/>
        <w:jc w:val="center"/>
        <w:rPr>
          <w:rFonts w:hint="eastAsia" w:ascii="Times New Roman" w:hAnsi="Times New Roman" w:eastAsia="黑体" w:cs="Times New Roman"/>
          <w:color w:val="000000"/>
          <w:kern w:val="0"/>
          <w:sz w:val="20"/>
          <w:szCs w:val="25"/>
          <w:lang w:val="en-US" w:eastAsia="zh-CN" w:bidi="ar-SA"/>
        </w:rPr>
      </w:pPr>
      <w:r>
        <w:rPr>
          <w:rFonts w:hint="eastAsia" w:eastAsia="黑体" w:cs="Times New Roman"/>
          <w:color w:val="000000"/>
          <w:kern w:val="0"/>
          <w:sz w:val="20"/>
          <w:szCs w:val="25"/>
          <w:lang w:val="en-US" w:eastAsia="zh-CN" w:bidi="ar-SA"/>
        </w:rPr>
        <w:t xml:space="preserve">图2-4 </w:t>
      </w:r>
      <w:r>
        <w:rPr>
          <w:rFonts w:hint="eastAsia" w:ascii="Times New Roman" w:hAnsi="Times New Roman" w:eastAsia="黑体" w:cs="Times New Roman"/>
          <w:color w:val="000000"/>
          <w:kern w:val="0"/>
          <w:sz w:val="20"/>
          <w:szCs w:val="25"/>
          <w:lang w:val="en-US" w:eastAsia="zh-CN" w:bidi="ar-SA"/>
        </w:rPr>
        <w:t>现状地形高程分析图</w:t>
      </w:r>
    </w:p>
    <w:p w14:paraId="185E164A">
      <w:pPr>
        <w:pStyle w:val="3"/>
        <w:numPr>
          <w:ilvl w:val="1"/>
          <w:numId w:val="5"/>
        </w:numPr>
        <w:spacing w:before="166" w:after="166"/>
        <w:ind w:hanging="575"/>
      </w:pPr>
      <w:r>
        <w:rPr>
          <w:rFonts w:hint="eastAsia"/>
        </w:rPr>
        <w:t>现状土地使用</w:t>
      </w:r>
    </w:p>
    <w:p w14:paraId="300CE3DC">
      <w:pPr>
        <w:spacing w:after="166"/>
        <w:ind w:firstLine="500"/>
        <w:rPr>
          <w:lang w:val="en-US"/>
        </w:rPr>
      </w:pPr>
      <w:r>
        <w:rPr>
          <w:rFonts w:hint="eastAsia"/>
          <w:lang w:val="en-US"/>
        </w:rPr>
        <w:t>总量层面，现状土地以建设用地为主，有少量草地、林地等农用地和空闲地、裸土地等未利用地分布，总面积639.47公顷。农用地用地面积36.11公顷，其中草地占比超过九成，主要分布于规划范围南部与矿山公园东南侧。未利用地9.13公顷，四个社区均有分布，再就业市场西侧、矿山公园东南侧分别存在一处面积最大的空闲地和裸土地。建设用地面积594.22公顷，整体城区建设基本成形，以居住用地、绿地与开敞空间用地为主。人均层面，人均建设用地面积为261.99平方米，高于国家及内蒙古地区用地标准，从用地结构比例来看，存在部分用地构成不合理的问题。具体来看：</w:t>
      </w:r>
    </w:p>
    <w:p w14:paraId="0B8DDF82">
      <w:pPr>
        <w:spacing w:after="166"/>
        <w:ind w:firstLine="500"/>
        <w:rPr>
          <w:lang w:val="en-US"/>
        </w:rPr>
      </w:pPr>
      <w:r>
        <w:rPr>
          <w:rFonts w:hint="eastAsia"/>
          <w:lang w:val="en-US"/>
        </w:rPr>
        <w:t>居住用地占城市建设用地比例为32.69%，符合国家标准。根据具体使用情况可将现状居住区分为三类，一类为城市早期开发阶段铁矿等主导建设的职工宿舍、职工公寓；一类为近些年新建的商品住房小区；第三类为老棚户区拆迁后的遗留空地，有待开发利用。</w:t>
      </w:r>
    </w:p>
    <w:p w14:paraId="52F4B4A7">
      <w:pPr>
        <w:spacing w:after="166"/>
        <w:ind w:firstLine="500"/>
        <w:rPr>
          <w:lang w:val="en-US"/>
        </w:rPr>
      </w:pPr>
      <w:r>
        <w:rPr>
          <w:rFonts w:hint="eastAsia"/>
          <w:lang w:val="en-US"/>
        </w:rPr>
        <w:t>绿地与开敞空间用地占城市建设用地比例为27.72%，超过《城市用地分类与规划建设用地标准》（GB50137-2011）中的“10-15%”规定。目前公园绿地中矿山公园、湿地公园等依托旧矿坑改造修复形成的生态公园占比较高，其他类型的公园较少。</w:t>
      </w:r>
    </w:p>
    <w:p w14:paraId="1A012D3C">
      <w:pPr>
        <w:spacing w:after="166"/>
        <w:ind w:firstLine="500"/>
        <w:rPr>
          <w:lang w:val="en-US"/>
        </w:rPr>
      </w:pPr>
      <w:r>
        <w:rPr>
          <w:rFonts w:hint="eastAsia"/>
          <w:lang w:val="en-US"/>
        </w:rPr>
        <w:t>公共管理与公共服务用地占城市建设用地比例为10.53%，同样超过标准要求范围。现状公共管理与公共服务设施位置分布较为分散，部分沿矿山路分布、部分靠近区政府分布、部分沿白云鄂博大街分布。</w:t>
      </w:r>
    </w:p>
    <w:p w14:paraId="498E7671">
      <w:pPr>
        <w:spacing w:after="166"/>
        <w:ind w:firstLine="500"/>
        <w:rPr>
          <w:lang w:val="en-US"/>
        </w:rPr>
      </w:pPr>
      <w:r>
        <w:rPr>
          <w:rFonts w:hint="eastAsia"/>
          <w:lang w:val="en-US"/>
        </w:rPr>
        <w:t>公路用地、城镇村道路用地和交通场站用地占城市建设用地比例为9.37%，低于标准要求范围。主要问题在于城市支路的缺少，这也导致了商业街延主干路以两层皮模式发展的现象。</w:t>
      </w:r>
    </w:p>
    <w:p w14:paraId="36A21B47">
      <w:pPr>
        <w:spacing w:after="166"/>
        <w:ind w:firstLine="500"/>
        <w:rPr>
          <w:lang w:val="en-US"/>
        </w:rPr>
      </w:pPr>
      <w:r>
        <w:rPr>
          <w:rFonts w:hint="eastAsia"/>
          <w:lang w:val="en-US"/>
        </w:rPr>
        <w:t>工业用地占城市建设用地比例为3.47%，原因在于白云矿区是工矿城市，存在独立的两处工业园区，城区中仅有少数工业用地分布，且基本位于城区边缘位置。</w:t>
      </w:r>
    </w:p>
    <w:p w14:paraId="7D3EA2C8">
      <w:pPr>
        <w:pStyle w:val="117"/>
        <w:bidi w:val="0"/>
      </w:pPr>
      <w:r>
        <w:rPr>
          <w:rFonts w:hint="eastAsia"/>
        </w:rPr>
        <w:t>表2-1  现状用地汇总表</w:t>
      </w:r>
    </w:p>
    <w:tbl>
      <w:tblPr>
        <w:tblStyle w:val="36"/>
        <w:tblpPr w:leftFromText="180" w:rightFromText="180" w:vertAnchor="text" w:horzAnchor="page" w:tblpX="1758" w:tblpY="85"/>
        <w:tblOverlap w:val="never"/>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30"/>
        <w:gridCol w:w="3422"/>
        <w:gridCol w:w="1999"/>
        <w:gridCol w:w="1668"/>
      </w:tblGrid>
      <w:tr w14:paraId="5A222C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2847" w:type="pct"/>
            <w:gridSpan w:val="2"/>
            <w:vMerge w:val="restart"/>
            <w:shd w:val="clear" w:color="auto" w:fill="auto"/>
            <w:noWrap/>
            <w:vAlign w:val="center"/>
          </w:tcPr>
          <w:p w14:paraId="6F6F6988">
            <w:pPr>
              <w:pStyle w:val="115"/>
              <w:bidi w:val="0"/>
              <w:jc w:val="center"/>
            </w:pPr>
            <w:r>
              <w:rPr>
                <w:rFonts w:hint="eastAsia"/>
              </w:rPr>
              <w:t>用地用海分类</w:t>
            </w:r>
          </w:p>
        </w:tc>
        <w:tc>
          <w:tcPr>
            <w:tcW w:w="2152" w:type="pct"/>
            <w:gridSpan w:val="2"/>
            <w:shd w:val="clear" w:color="auto" w:fill="auto"/>
            <w:noWrap/>
            <w:vAlign w:val="center"/>
          </w:tcPr>
          <w:p w14:paraId="088270C1">
            <w:pPr>
              <w:pStyle w:val="115"/>
              <w:bidi w:val="0"/>
              <w:jc w:val="center"/>
            </w:pPr>
            <w:r>
              <w:rPr>
                <w:rFonts w:hint="eastAsia"/>
              </w:rPr>
              <w:t>基期年</w:t>
            </w:r>
          </w:p>
        </w:tc>
      </w:tr>
      <w:tr w14:paraId="740357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2847" w:type="pct"/>
            <w:gridSpan w:val="2"/>
            <w:vMerge w:val="continue"/>
            <w:shd w:val="clear" w:color="auto" w:fill="auto"/>
            <w:noWrap/>
            <w:vAlign w:val="center"/>
          </w:tcPr>
          <w:p w14:paraId="7B7C2B37">
            <w:pPr>
              <w:pStyle w:val="115"/>
              <w:bidi w:val="0"/>
              <w:jc w:val="center"/>
            </w:pPr>
          </w:p>
        </w:tc>
        <w:tc>
          <w:tcPr>
            <w:tcW w:w="1173" w:type="pct"/>
            <w:shd w:val="clear" w:color="auto" w:fill="auto"/>
            <w:noWrap/>
            <w:vAlign w:val="center"/>
          </w:tcPr>
          <w:p w14:paraId="045FA4CB">
            <w:pPr>
              <w:pStyle w:val="115"/>
              <w:bidi w:val="0"/>
              <w:jc w:val="center"/>
            </w:pPr>
            <w:r>
              <w:rPr>
                <w:rFonts w:hint="eastAsia"/>
              </w:rPr>
              <w:t>面积（公顷）</w:t>
            </w:r>
          </w:p>
        </w:tc>
        <w:tc>
          <w:tcPr>
            <w:tcW w:w="978" w:type="pct"/>
            <w:shd w:val="clear" w:color="auto" w:fill="auto"/>
            <w:noWrap/>
            <w:vAlign w:val="center"/>
          </w:tcPr>
          <w:p w14:paraId="09FADB1B">
            <w:pPr>
              <w:pStyle w:val="115"/>
              <w:bidi w:val="0"/>
              <w:jc w:val="center"/>
            </w:pPr>
            <w:r>
              <w:rPr>
                <w:rFonts w:hint="eastAsia"/>
              </w:rPr>
              <w:t>比重（%）</w:t>
            </w:r>
          </w:p>
        </w:tc>
      </w:tr>
      <w:tr w14:paraId="0D4A7E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39" w:type="pct"/>
            <w:vMerge w:val="restart"/>
            <w:shd w:val="clear" w:color="auto" w:fill="auto"/>
            <w:noWrap/>
            <w:vAlign w:val="center"/>
          </w:tcPr>
          <w:p w14:paraId="5C0F5E5B">
            <w:pPr>
              <w:pStyle w:val="115"/>
              <w:bidi w:val="0"/>
              <w:jc w:val="center"/>
            </w:pPr>
            <w:r>
              <w:rPr>
                <w:rFonts w:hint="eastAsia"/>
              </w:rPr>
              <w:t>农用地</w:t>
            </w:r>
          </w:p>
        </w:tc>
        <w:tc>
          <w:tcPr>
            <w:tcW w:w="2008" w:type="pct"/>
            <w:shd w:val="clear" w:color="auto" w:fill="auto"/>
            <w:noWrap/>
            <w:vAlign w:val="center"/>
          </w:tcPr>
          <w:p w14:paraId="4C845CDC">
            <w:pPr>
              <w:pStyle w:val="115"/>
              <w:bidi w:val="0"/>
              <w:jc w:val="center"/>
            </w:pPr>
            <w:r>
              <w:rPr>
                <w:rFonts w:hint="eastAsia"/>
              </w:rPr>
              <w:t>林地</w:t>
            </w:r>
          </w:p>
        </w:tc>
        <w:tc>
          <w:tcPr>
            <w:tcW w:w="1173" w:type="pct"/>
            <w:shd w:val="clear" w:color="auto" w:fill="auto"/>
            <w:noWrap/>
            <w:vAlign w:val="center"/>
          </w:tcPr>
          <w:p w14:paraId="5CABFF2F">
            <w:pPr>
              <w:pStyle w:val="115"/>
              <w:bidi w:val="0"/>
              <w:jc w:val="center"/>
            </w:pPr>
            <w:r>
              <w:t>2.51</w:t>
            </w:r>
          </w:p>
        </w:tc>
        <w:tc>
          <w:tcPr>
            <w:tcW w:w="978" w:type="pct"/>
            <w:shd w:val="clear" w:color="auto" w:fill="auto"/>
            <w:noWrap/>
            <w:vAlign w:val="center"/>
          </w:tcPr>
          <w:p w14:paraId="219F740A">
            <w:pPr>
              <w:pStyle w:val="115"/>
              <w:bidi w:val="0"/>
              <w:jc w:val="center"/>
            </w:pPr>
            <w:r>
              <w:t>0.39</w:t>
            </w:r>
          </w:p>
        </w:tc>
      </w:tr>
      <w:tr w14:paraId="16982E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39" w:type="pct"/>
            <w:vMerge w:val="continue"/>
            <w:shd w:val="clear" w:color="auto" w:fill="auto"/>
            <w:noWrap/>
            <w:vAlign w:val="center"/>
          </w:tcPr>
          <w:p w14:paraId="012671BE">
            <w:pPr>
              <w:pStyle w:val="115"/>
              <w:bidi w:val="0"/>
              <w:jc w:val="center"/>
            </w:pPr>
          </w:p>
        </w:tc>
        <w:tc>
          <w:tcPr>
            <w:tcW w:w="2008" w:type="pct"/>
            <w:shd w:val="clear" w:color="auto" w:fill="auto"/>
            <w:noWrap/>
            <w:vAlign w:val="center"/>
          </w:tcPr>
          <w:p w14:paraId="2152DC07">
            <w:pPr>
              <w:pStyle w:val="115"/>
              <w:bidi w:val="0"/>
              <w:jc w:val="center"/>
            </w:pPr>
            <w:r>
              <w:rPr>
                <w:rFonts w:hint="eastAsia"/>
              </w:rPr>
              <w:t>草地</w:t>
            </w:r>
          </w:p>
        </w:tc>
        <w:tc>
          <w:tcPr>
            <w:tcW w:w="1173" w:type="pct"/>
            <w:shd w:val="clear" w:color="auto" w:fill="auto"/>
            <w:noWrap/>
            <w:vAlign w:val="center"/>
          </w:tcPr>
          <w:p w14:paraId="75A3E3EF">
            <w:pPr>
              <w:pStyle w:val="115"/>
              <w:bidi w:val="0"/>
              <w:jc w:val="center"/>
            </w:pPr>
            <w:r>
              <w:t>33.29</w:t>
            </w:r>
          </w:p>
        </w:tc>
        <w:tc>
          <w:tcPr>
            <w:tcW w:w="978" w:type="pct"/>
            <w:shd w:val="clear" w:color="auto" w:fill="auto"/>
            <w:noWrap/>
            <w:vAlign w:val="center"/>
          </w:tcPr>
          <w:p w14:paraId="3B8A73EC">
            <w:pPr>
              <w:pStyle w:val="115"/>
              <w:bidi w:val="0"/>
              <w:jc w:val="center"/>
            </w:pPr>
            <w:r>
              <w:t>5.21</w:t>
            </w:r>
          </w:p>
        </w:tc>
      </w:tr>
      <w:tr w14:paraId="0100D2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39" w:type="pct"/>
            <w:vMerge w:val="continue"/>
            <w:shd w:val="clear" w:color="auto" w:fill="auto"/>
            <w:noWrap/>
            <w:vAlign w:val="center"/>
          </w:tcPr>
          <w:p w14:paraId="138B2CE7">
            <w:pPr>
              <w:pStyle w:val="115"/>
              <w:bidi w:val="0"/>
              <w:jc w:val="center"/>
            </w:pPr>
          </w:p>
        </w:tc>
        <w:tc>
          <w:tcPr>
            <w:tcW w:w="2008" w:type="pct"/>
            <w:shd w:val="clear" w:color="auto" w:fill="auto"/>
            <w:noWrap/>
            <w:vAlign w:val="center"/>
          </w:tcPr>
          <w:p w14:paraId="38A757B0">
            <w:pPr>
              <w:pStyle w:val="115"/>
              <w:bidi w:val="0"/>
              <w:jc w:val="center"/>
            </w:pPr>
            <w:r>
              <w:rPr>
                <w:rFonts w:hint="eastAsia"/>
              </w:rPr>
              <w:t>农业设施建设用地</w:t>
            </w:r>
          </w:p>
        </w:tc>
        <w:tc>
          <w:tcPr>
            <w:tcW w:w="1173" w:type="pct"/>
            <w:shd w:val="clear" w:color="auto" w:fill="auto"/>
            <w:noWrap/>
            <w:vAlign w:val="center"/>
          </w:tcPr>
          <w:p w14:paraId="69C2A486">
            <w:pPr>
              <w:pStyle w:val="115"/>
              <w:bidi w:val="0"/>
              <w:jc w:val="center"/>
            </w:pPr>
            <w:r>
              <w:t>0.07</w:t>
            </w:r>
          </w:p>
        </w:tc>
        <w:tc>
          <w:tcPr>
            <w:tcW w:w="978" w:type="pct"/>
            <w:shd w:val="clear" w:color="auto" w:fill="auto"/>
            <w:noWrap/>
            <w:vAlign w:val="center"/>
          </w:tcPr>
          <w:p w14:paraId="52947C17">
            <w:pPr>
              <w:pStyle w:val="115"/>
              <w:bidi w:val="0"/>
              <w:jc w:val="center"/>
            </w:pPr>
            <w:r>
              <w:t>0.01</w:t>
            </w:r>
          </w:p>
        </w:tc>
      </w:tr>
      <w:tr w14:paraId="39C23A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39" w:type="pct"/>
            <w:vMerge w:val="continue"/>
            <w:shd w:val="clear" w:color="auto" w:fill="auto"/>
            <w:noWrap/>
            <w:vAlign w:val="center"/>
          </w:tcPr>
          <w:p w14:paraId="784CB93C">
            <w:pPr>
              <w:pStyle w:val="115"/>
              <w:bidi w:val="0"/>
              <w:jc w:val="center"/>
            </w:pPr>
          </w:p>
        </w:tc>
        <w:tc>
          <w:tcPr>
            <w:tcW w:w="2008" w:type="pct"/>
            <w:shd w:val="clear" w:color="auto" w:fill="auto"/>
            <w:noWrap/>
            <w:vAlign w:val="center"/>
          </w:tcPr>
          <w:p w14:paraId="3570B2A5">
            <w:pPr>
              <w:pStyle w:val="115"/>
              <w:bidi w:val="0"/>
              <w:jc w:val="center"/>
            </w:pPr>
            <w:r>
              <w:rPr>
                <w:rFonts w:hint="eastAsia"/>
              </w:rPr>
              <w:t>坑塘水面</w:t>
            </w:r>
          </w:p>
        </w:tc>
        <w:tc>
          <w:tcPr>
            <w:tcW w:w="1173" w:type="pct"/>
            <w:shd w:val="clear" w:color="auto" w:fill="auto"/>
            <w:noWrap/>
            <w:vAlign w:val="center"/>
          </w:tcPr>
          <w:p w14:paraId="4550E356">
            <w:pPr>
              <w:pStyle w:val="115"/>
              <w:bidi w:val="0"/>
              <w:jc w:val="center"/>
            </w:pPr>
            <w:r>
              <w:t>0.25</w:t>
            </w:r>
          </w:p>
        </w:tc>
        <w:tc>
          <w:tcPr>
            <w:tcW w:w="978" w:type="pct"/>
            <w:shd w:val="clear" w:color="auto" w:fill="auto"/>
            <w:noWrap/>
            <w:vAlign w:val="center"/>
          </w:tcPr>
          <w:p w14:paraId="7B074F22">
            <w:pPr>
              <w:pStyle w:val="115"/>
              <w:bidi w:val="0"/>
              <w:jc w:val="center"/>
            </w:pPr>
            <w:r>
              <w:t>0.04</w:t>
            </w:r>
          </w:p>
        </w:tc>
      </w:tr>
      <w:tr w14:paraId="3C9A34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39" w:type="pct"/>
            <w:vMerge w:val="continue"/>
            <w:shd w:val="clear" w:color="auto" w:fill="auto"/>
            <w:noWrap/>
            <w:vAlign w:val="center"/>
          </w:tcPr>
          <w:p w14:paraId="2F2DF5D9">
            <w:pPr>
              <w:pStyle w:val="115"/>
              <w:bidi w:val="0"/>
              <w:jc w:val="center"/>
            </w:pPr>
          </w:p>
        </w:tc>
        <w:tc>
          <w:tcPr>
            <w:tcW w:w="2008" w:type="pct"/>
            <w:shd w:val="clear" w:color="auto" w:fill="auto"/>
            <w:noWrap/>
            <w:vAlign w:val="center"/>
          </w:tcPr>
          <w:p w14:paraId="30941941">
            <w:pPr>
              <w:pStyle w:val="115"/>
              <w:bidi w:val="0"/>
              <w:jc w:val="center"/>
            </w:pPr>
            <w:r>
              <w:rPr>
                <w:rFonts w:hint="eastAsia"/>
              </w:rPr>
              <w:t>合计</w:t>
            </w:r>
          </w:p>
        </w:tc>
        <w:tc>
          <w:tcPr>
            <w:tcW w:w="1173" w:type="pct"/>
            <w:shd w:val="clear" w:color="auto" w:fill="auto"/>
            <w:noWrap/>
            <w:vAlign w:val="center"/>
          </w:tcPr>
          <w:p w14:paraId="4DCB6BAA">
            <w:pPr>
              <w:pStyle w:val="115"/>
              <w:bidi w:val="0"/>
              <w:jc w:val="center"/>
            </w:pPr>
            <w:r>
              <w:t>36.11</w:t>
            </w:r>
          </w:p>
        </w:tc>
        <w:tc>
          <w:tcPr>
            <w:tcW w:w="978" w:type="pct"/>
            <w:shd w:val="clear" w:color="auto" w:fill="auto"/>
            <w:noWrap/>
            <w:vAlign w:val="center"/>
          </w:tcPr>
          <w:p w14:paraId="5FD23A3D">
            <w:pPr>
              <w:pStyle w:val="115"/>
              <w:bidi w:val="0"/>
              <w:jc w:val="center"/>
            </w:pPr>
            <w:r>
              <w:t>5.65</w:t>
            </w:r>
          </w:p>
        </w:tc>
      </w:tr>
      <w:tr w14:paraId="70DC8F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39" w:type="pct"/>
            <w:vMerge w:val="restart"/>
            <w:shd w:val="clear" w:color="auto" w:fill="auto"/>
            <w:noWrap/>
            <w:vAlign w:val="center"/>
          </w:tcPr>
          <w:p w14:paraId="68110B5E">
            <w:pPr>
              <w:pStyle w:val="115"/>
              <w:bidi w:val="0"/>
              <w:jc w:val="center"/>
            </w:pPr>
            <w:r>
              <w:rPr>
                <w:rFonts w:hint="eastAsia"/>
              </w:rPr>
              <w:t>建设用地</w:t>
            </w:r>
          </w:p>
        </w:tc>
        <w:tc>
          <w:tcPr>
            <w:tcW w:w="2008" w:type="pct"/>
            <w:shd w:val="clear" w:color="auto" w:fill="auto"/>
            <w:noWrap/>
            <w:vAlign w:val="center"/>
          </w:tcPr>
          <w:p w14:paraId="17226E15">
            <w:pPr>
              <w:pStyle w:val="115"/>
              <w:bidi w:val="0"/>
              <w:jc w:val="center"/>
            </w:pPr>
            <w:r>
              <w:rPr>
                <w:rFonts w:hint="eastAsia"/>
              </w:rPr>
              <w:t>居住用地</w:t>
            </w:r>
          </w:p>
        </w:tc>
        <w:tc>
          <w:tcPr>
            <w:tcW w:w="1173" w:type="pct"/>
            <w:shd w:val="clear" w:color="auto" w:fill="auto"/>
            <w:noWrap/>
            <w:vAlign w:val="center"/>
          </w:tcPr>
          <w:p w14:paraId="57262292">
            <w:pPr>
              <w:pStyle w:val="115"/>
              <w:bidi w:val="0"/>
              <w:jc w:val="center"/>
            </w:pPr>
            <w:r>
              <w:t>194.23</w:t>
            </w:r>
          </w:p>
        </w:tc>
        <w:tc>
          <w:tcPr>
            <w:tcW w:w="978" w:type="pct"/>
            <w:shd w:val="clear" w:color="auto" w:fill="auto"/>
            <w:noWrap/>
            <w:vAlign w:val="center"/>
          </w:tcPr>
          <w:p w14:paraId="32619B2F">
            <w:pPr>
              <w:pStyle w:val="115"/>
              <w:bidi w:val="0"/>
              <w:jc w:val="center"/>
            </w:pPr>
            <w:r>
              <w:t>30.37</w:t>
            </w:r>
          </w:p>
        </w:tc>
      </w:tr>
      <w:tr w14:paraId="01AF3A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39" w:type="pct"/>
            <w:vMerge w:val="continue"/>
            <w:shd w:val="clear" w:color="auto" w:fill="auto"/>
            <w:noWrap/>
            <w:vAlign w:val="center"/>
          </w:tcPr>
          <w:p w14:paraId="545B4863">
            <w:pPr>
              <w:pStyle w:val="115"/>
              <w:bidi w:val="0"/>
              <w:jc w:val="center"/>
            </w:pPr>
          </w:p>
        </w:tc>
        <w:tc>
          <w:tcPr>
            <w:tcW w:w="2008" w:type="pct"/>
            <w:shd w:val="clear" w:color="auto" w:fill="auto"/>
            <w:noWrap/>
            <w:vAlign w:val="center"/>
          </w:tcPr>
          <w:p w14:paraId="02D76D9F">
            <w:pPr>
              <w:pStyle w:val="115"/>
              <w:bidi w:val="0"/>
              <w:jc w:val="center"/>
            </w:pPr>
            <w:r>
              <w:rPr>
                <w:rFonts w:hint="eastAsia"/>
              </w:rPr>
              <w:t>公共管理与公共服务用地</w:t>
            </w:r>
          </w:p>
        </w:tc>
        <w:tc>
          <w:tcPr>
            <w:tcW w:w="1173" w:type="pct"/>
            <w:shd w:val="clear" w:color="auto" w:fill="auto"/>
            <w:noWrap/>
            <w:vAlign w:val="center"/>
          </w:tcPr>
          <w:p w14:paraId="1CBBD814">
            <w:pPr>
              <w:pStyle w:val="115"/>
              <w:bidi w:val="0"/>
              <w:jc w:val="center"/>
            </w:pPr>
            <w:r>
              <w:t>62.56</w:t>
            </w:r>
          </w:p>
        </w:tc>
        <w:tc>
          <w:tcPr>
            <w:tcW w:w="978" w:type="pct"/>
            <w:shd w:val="clear" w:color="auto" w:fill="auto"/>
            <w:noWrap/>
            <w:vAlign w:val="center"/>
          </w:tcPr>
          <w:p w14:paraId="75C6B40B">
            <w:pPr>
              <w:pStyle w:val="115"/>
              <w:bidi w:val="0"/>
              <w:jc w:val="center"/>
            </w:pPr>
            <w:r>
              <w:t>9.78</w:t>
            </w:r>
          </w:p>
        </w:tc>
      </w:tr>
      <w:tr w14:paraId="7DC554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39" w:type="pct"/>
            <w:vMerge w:val="continue"/>
            <w:shd w:val="clear" w:color="auto" w:fill="auto"/>
            <w:noWrap/>
            <w:vAlign w:val="center"/>
          </w:tcPr>
          <w:p w14:paraId="00935722">
            <w:pPr>
              <w:pStyle w:val="115"/>
              <w:bidi w:val="0"/>
              <w:jc w:val="center"/>
            </w:pPr>
          </w:p>
        </w:tc>
        <w:tc>
          <w:tcPr>
            <w:tcW w:w="2008" w:type="pct"/>
            <w:shd w:val="clear" w:color="auto" w:fill="auto"/>
            <w:noWrap/>
            <w:vAlign w:val="center"/>
          </w:tcPr>
          <w:p w14:paraId="034D2633">
            <w:pPr>
              <w:pStyle w:val="115"/>
              <w:bidi w:val="0"/>
              <w:jc w:val="center"/>
            </w:pPr>
            <w:r>
              <w:rPr>
                <w:rFonts w:hint="eastAsia"/>
              </w:rPr>
              <w:t>商业服务业用地</w:t>
            </w:r>
          </w:p>
        </w:tc>
        <w:tc>
          <w:tcPr>
            <w:tcW w:w="1173" w:type="pct"/>
            <w:shd w:val="clear" w:color="auto" w:fill="auto"/>
            <w:noWrap/>
            <w:vAlign w:val="center"/>
          </w:tcPr>
          <w:p w14:paraId="48736F2B">
            <w:pPr>
              <w:pStyle w:val="115"/>
              <w:bidi w:val="0"/>
              <w:jc w:val="center"/>
            </w:pPr>
            <w:r>
              <w:t>56.36</w:t>
            </w:r>
          </w:p>
        </w:tc>
        <w:tc>
          <w:tcPr>
            <w:tcW w:w="978" w:type="pct"/>
            <w:shd w:val="clear" w:color="auto" w:fill="auto"/>
            <w:noWrap/>
            <w:vAlign w:val="center"/>
          </w:tcPr>
          <w:p w14:paraId="1C7EA288">
            <w:pPr>
              <w:pStyle w:val="115"/>
              <w:bidi w:val="0"/>
              <w:jc w:val="center"/>
            </w:pPr>
            <w:r>
              <w:t>8.81</w:t>
            </w:r>
          </w:p>
        </w:tc>
      </w:tr>
      <w:tr w14:paraId="368B9A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39" w:type="pct"/>
            <w:vMerge w:val="continue"/>
            <w:shd w:val="clear" w:color="auto" w:fill="auto"/>
            <w:noWrap/>
            <w:vAlign w:val="center"/>
          </w:tcPr>
          <w:p w14:paraId="53081131">
            <w:pPr>
              <w:pStyle w:val="115"/>
              <w:bidi w:val="0"/>
              <w:jc w:val="center"/>
            </w:pPr>
          </w:p>
        </w:tc>
        <w:tc>
          <w:tcPr>
            <w:tcW w:w="2008" w:type="pct"/>
            <w:shd w:val="clear" w:color="auto" w:fill="auto"/>
            <w:noWrap/>
            <w:vAlign w:val="center"/>
          </w:tcPr>
          <w:p w14:paraId="7D9AA027">
            <w:pPr>
              <w:pStyle w:val="115"/>
              <w:bidi w:val="0"/>
              <w:jc w:val="center"/>
            </w:pPr>
            <w:r>
              <w:rPr>
                <w:rFonts w:hint="eastAsia"/>
              </w:rPr>
              <w:t>工业用地</w:t>
            </w:r>
          </w:p>
        </w:tc>
        <w:tc>
          <w:tcPr>
            <w:tcW w:w="1173" w:type="pct"/>
            <w:shd w:val="clear" w:color="auto" w:fill="auto"/>
            <w:noWrap/>
            <w:vAlign w:val="center"/>
          </w:tcPr>
          <w:p w14:paraId="69302493">
            <w:pPr>
              <w:pStyle w:val="115"/>
              <w:bidi w:val="0"/>
              <w:jc w:val="center"/>
            </w:pPr>
            <w:r>
              <w:t>20.61</w:t>
            </w:r>
          </w:p>
        </w:tc>
        <w:tc>
          <w:tcPr>
            <w:tcW w:w="978" w:type="pct"/>
            <w:shd w:val="clear" w:color="auto" w:fill="auto"/>
            <w:noWrap/>
            <w:vAlign w:val="center"/>
          </w:tcPr>
          <w:p w14:paraId="6E57B684">
            <w:pPr>
              <w:pStyle w:val="115"/>
              <w:bidi w:val="0"/>
              <w:jc w:val="center"/>
            </w:pPr>
            <w:r>
              <w:t>3.22</w:t>
            </w:r>
          </w:p>
        </w:tc>
      </w:tr>
      <w:tr w14:paraId="100322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39" w:type="pct"/>
            <w:vMerge w:val="continue"/>
            <w:shd w:val="clear" w:color="auto" w:fill="auto"/>
            <w:noWrap/>
            <w:vAlign w:val="center"/>
          </w:tcPr>
          <w:p w14:paraId="356DB216">
            <w:pPr>
              <w:pStyle w:val="115"/>
              <w:bidi w:val="0"/>
              <w:jc w:val="center"/>
            </w:pPr>
          </w:p>
        </w:tc>
        <w:tc>
          <w:tcPr>
            <w:tcW w:w="2008" w:type="pct"/>
            <w:shd w:val="clear" w:color="auto" w:fill="auto"/>
            <w:noWrap/>
            <w:vAlign w:val="center"/>
          </w:tcPr>
          <w:p w14:paraId="34CF06EC">
            <w:pPr>
              <w:pStyle w:val="115"/>
              <w:bidi w:val="0"/>
              <w:jc w:val="center"/>
            </w:pPr>
            <w:r>
              <w:rPr>
                <w:rFonts w:hint="eastAsia"/>
              </w:rPr>
              <w:t>采矿用地</w:t>
            </w:r>
          </w:p>
        </w:tc>
        <w:tc>
          <w:tcPr>
            <w:tcW w:w="1173" w:type="pct"/>
            <w:shd w:val="clear" w:color="auto" w:fill="auto"/>
            <w:noWrap/>
            <w:vAlign w:val="center"/>
          </w:tcPr>
          <w:p w14:paraId="59BFD18A">
            <w:pPr>
              <w:pStyle w:val="115"/>
              <w:bidi w:val="0"/>
              <w:jc w:val="center"/>
            </w:pPr>
            <w:r>
              <w:t>0.02</w:t>
            </w:r>
          </w:p>
        </w:tc>
        <w:tc>
          <w:tcPr>
            <w:tcW w:w="978" w:type="pct"/>
            <w:shd w:val="clear" w:color="auto" w:fill="auto"/>
            <w:noWrap/>
            <w:vAlign w:val="center"/>
          </w:tcPr>
          <w:p w14:paraId="31B42317">
            <w:pPr>
              <w:pStyle w:val="115"/>
              <w:bidi w:val="0"/>
              <w:jc w:val="center"/>
            </w:pPr>
            <w:r>
              <w:t>0.00</w:t>
            </w:r>
          </w:p>
        </w:tc>
      </w:tr>
      <w:tr w14:paraId="2A7B54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39" w:type="pct"/>
            <w:vMerge w:val="continue"/>
            <w:shd w:val="clear" w:color="auto" w:fill="auto"/>
            <w:noWrap/>
            <w:vAlign w:val="center"/>
          </w:tcPr>
          <w:p w14:paraId="52EBED1A">
            <w:pPr>
              <w:pStyle w:val="115"/>
              <w:bidi w:val="0"/>
              <w:jc w:val="center"/>
            </w:pPr>
          </w:p>
        </w:tc>
        <w:tc>
          <w:tcPr>
            <w:tcW w:w="2008" w:type="pct"/>
            <w:shd w:val="clear" w:color="auto" w:fill="auto"/>
            <w:noWrap/>
            <w:vAlign w:val="center"/>
          </w:tcPr>
          <w:p w14:paraId="465E1A35">
            <w:pPr>
              <w:pStyle w:val="115"/>
              <w:bidi w:val="0"/>
              <w:jc w:val="center"/>
            </w:pPr>
            <w:r>
              <w:rPr>
                <w:rFonts w:hint="eastAsia"/>
              </w:rPr>
              <w:t>仓储用地</w:t>
            </w:r>
          </w:p>
        </w:tc>
        <w:tc>
          <w:tcPr>
            <w:tcW w:w="1173" w:type="pct"/>
            <w:shd w:val="clear" w:color="auto" w:fill="auto"/>
            <w:noWrap/>
            <w:vAlign w:val="center"/>
          </w:tcPr>
          <w:p w14:paraId="0D9F8910">
            <w:pPr>
              <w:pStyle w:val="115"/>
              <w:bidi w:val="0"/>
              <w:jc w:val="center"/>
            </w:pPr>
            <w:r>
              <w:t>0.00</w:t>
            </w:r>
          </w:p>
        </w:tc>
        <w:tc>
          <w:tcPr>
            <w:tcW w:w="978" w:type="pct"/>
            <w:shd w:val="clear" w:color="auto" w:fill="auto"/>
            <w:noWrap/>
            <w:vAlign w:val="center"/>
          </w:tcPr>
          <w:p w14:paraId="67F4A3B6">
            <w:pPr>
              <w:pStyle w:val="115"/>
              <w:bidi w:val="0"/>
              <w:jc w:val="center"/>
            </w:pPr>
            <w:r>
              <w:t>0.00</w:t>
            </w:r>
          </w:p>
        </w:tc>
      </w:tr>
      <w:tr w14:paraId="63F66F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39" w:type="pct"/>
            <w:vMerge w:val="continue"/>
            <w:shd w:val="clear" w:color="auto" w:fill="auto"/>
            <w:noWrap/>
            <w:vAlign w:val="center"/>
          </w:tcPr>
          <w:p w14:paraId="293B1664">
            <w:pPr>
              <w:pStyle w:val="115"/>
              <w:bidi w:val="0"/>
              <w:jc w:val="center"/>
            </w:pPr>
          </w:p>
        </w:tc>
        <w:tc>
          <w:tcPr>
            <w:tcW w:w="2008" w:type="pct"/>
            <w:shd w:val="clear" w:color="auto" w:fill="auto"/>
            <w:noWrap/>
            <w:vAlign w:val="center"/>
          </w:tcPr>
          <w:p w14:paraId="1AF0AC12">
            <w:pPr>
              <w:pStyle w:val="115"/>
              <w:bidi w:val="0"/>
              <w:jc w:val="center"/>
            </w:pPr>
            <w:r>
              <w:rPr>
                <w:rFonts w:hint="eastAsia"/>
              </w:rPr>
              <w:t>铁路用地</w:t>
            </w:r>
          </w:p>
        </w:tc>
        <w:tc>
          <w:tcPr>
            <w:tcW w:w="1173" w:type="pct"/>
            <w:shd w:val="clear" w:color="auto" w:fill="auto"/>
            <w:noWrap/>
            <w:vAlign w:val="center"/>
          </w:tcPr>
          <w:p w14:paraId="1FE83838">
            <w:pPr>
              <w:pStyle w:val="115"/>
              <w:bidi w:val="0"/>
              <w:jc w:val="center"/>
            </w:pPr>
            <w:r>
              <w:t>27.01</w:t>
            </w:r>
          </w:p>
        </w:tc>
        <w:tc>
          <w:tcPr>
            <w:tcW w:w="978" w:type="pct"/>
            <w:shd w:val="clear" w:color="auto" w:fill="auto"/>
            <w:noWrap/>
            <w:vAlign w:val="center"/>
          </w:tcPr>
          <w:p w14:paraId="02E92039">
            <w:pPr>
              <w:pStyle w:val="115"/>
              <w:bidi w:val="0"/>
              <w:jc w:val="center"/>
            </w:pPr>
            <w:r>
              <w:t>4.22</w:t>
            </w:r>
          </w:p>
        </w:tc>
      </w:tr>
      <w:tr w14:paraId="360700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39" w:type="pct"/>
            <w:vMerge w:val="continue"/>
            <w:shd w:val="clear" w:color="auto" w:fill="auto"/>
            <w:noWrap/>
            <w:vAlign w:val="center"/>
          </w:tcPr>
          <w:p w14:paraId="4E5CB48B">
            <w:pPr>
              <w:pStyle w:val="115"/>
              <w:bidi w:val="0"/>
              <w:jc w:val="center"/>
            </w:pPr>
          </w:p>
        </w:tc>
        <w:tc>
          <w:tcPr>
            <w:tcW w:w="2008" w:type="pct"/>
            <w:shd w:val="clear" w:color="auto" w:fill="auto"/>
            <w:noWrap/>
            <w:vAlign w:val="center"/>
          </w:tcPr>
          <w:p w14:paraId="6B6A8222">
            <w:pPr>
              <w:pStyle w:val="115"/>
              <w:bidi w:val="0"/>
              <w:jc w:val="center"/>
            </w:pPr>
            <w:r>
              <w:rPr>
                <w:rFonts w:hint="eastAsia"/>
              </w:rPr>
              <w:t>公路用地</w:t>
            </w:r>
          </w:p>
        </w:tc>
        <w:tc>
          <w:tcPr>
            <w:tcW w:w="1173" w:type="pct"/>
            <w:shd w:val="clear" w:color="auto" w:fill="auto"/>
            <w:noWrap/>
            <w:vAlign w:val="center"/>
          </w:tcPr>
          <w:p w14:paraId="2950C8B7">
            <w:pPr>
              <w:pStyle w:val="115"/>
              <w:bidi w:val="0"/>
              <w:jc w:val="center"/>
            </w:pPr>
            <w:r>
              <w:t>10.36</w:t>
            </w:r>
          </w:p>
        </w:tc>
        <w:tc>
          <w:tcPr>
            <w:tcW w:w="978" w:type="pct"/>
            <w:shd w:val="clear" w:color="auto" w:fill="auto"/>
            <w:noWrap/>
            <w:vAlign w:val="center"/>
          </w:tcPr>
          <w:p w14:paraId="29080D5B">
            <w:pPr>
              <w:pStyle w:val="115"/>
              <w:bidi w:val="0"/>
              <w:jc w:val="center"/>
            </w:pPr>
            <w:r>
              <w:t>1.62</w:t>
            </w:r>
          </w:p>
        </w:tc>
      </w:tr>
      <w:tr w14:paraId="1D4928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170" w:hRule="atLeast"/>
        </w:trPr>
        <w:tc>
          <w:tcPr>
            <w:tcW w:w="839" w:type="pct"/>
            <w:vMerge w:val="continue"/>
            <w:shd w:val="clear" w:color="auto" w:fill="auto"/>
            <w:noWrap/>
            <w:vAlign w:val="center"/>
          </w:tcPr>
          <w:p w14:paraId="753BA14B">
            <w:pPr>
              <w:pStyle w:val="115"/>
              <w:bidi w:val="0"/>
              <w:jc w:val="center"/>
            </w:pPr>
          </w:p>
        </w:tc>
        <w:tc>
          <w:tcPr>
            <w:tcW w:w="2008" w:type="pct"/>
            <w:shd w:val="clear" w:color="auto" w:fill="auto"/>
            <w:noWrap/>
            <w:vAlign w:val="center"/>
          </w:tcPr>
          <w:p w14:paraId="5AFD0913">
            <w:pPr>
              <w:pStyle w:val="115"/>
              <w:bidi w:val="0"/>
              <w:jc w:val="center"/>
            </w:pPr>
            <w:r>
              <w:rPr>
                <w:rFonts w:hint="eastAsia"/>
              </w:rPr>
              <w:t>城镇村道路用地</w:t>
            </w:r>
          </w:p>
        </w:tc>
        <w:tc>
          <w:tcPr>
            <w:tcW w:w="1173" w:type="pct"/>
            <w:shd w:val="clear" w:color="auto" w:fill="auto"/>
            <w:noWrap/>
            <w:vAlign w:val="center"/>
          </w:tcPr>
          <w:p w14:paraId="19BAA648">
            <w:pPr>
              <w:pStyle w:val="115"/>
              <w:bidi w:val="0"/>
              <w:jc w:val="center"/>
            </w:pPr>
            <w:r>
              <w:t>39.29</w:t>
            </w:r>
          </w:p>
        </w:tc>
        <w:tc>
          <w:tcPr>
            <w:tcW w:w="978" w:type="pct"/>
            <w:shd w:val="clear" w:color="auto" w:fill="auto"/>
            <w:noWrap/>
            <w:vAlign w:val="center"/>
          </w:tcPr>
          <w:p w14:paraId="51CCD9BA">
            <w:pPr>
              <w:pStyle w:val="115"/>
              <w:bidi w:val="0"/>
              <w:jc w:val="center"/>
            </w:pPr>
            <w:r>
              <w:t>6.14</w:t>
            </w:r>
          </w:p>
        </w:tc>
      </w:tr>
      <w:tr w14:paraId="255643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39" w:type="pct"/>
            <w:vMerge w:val="continue"/>
            <w:shd w:val="clear" w:color="auto" w:fill="auto"/>
            <w:noWrap/>
            <w:vAlign w:val="center"/>
          </w:tcPr>
          <w:p w14:paraId="3B6693AD">
            <w:pPr>
              <w:pStyle w:val="115"/>
              <w:bidi w:val="0"/>
              <w:jc w:val="center"/>
            </w:pPr>
          </w:p>
        </w:tc>
        <w:tc>
          <w:tcPr>
            <w:tcW w:w="2008" w:type="pct"/>
            <w:shd w:val="clear" w:color="auto" w:fill="auto"/>
            <w:noWrap/>
            <w:vAlign w:val="center"/>
          </w:tcPr>
          <w:p w14:paraId="188EB667">
            <w:pPr>
              <w:pStyle w:val="115"/>
              <w:bidi w:val="0"/>
              <w:jc w:val="center"/>
            </w:pPr>
            <w:r>
              <w:t>交通场站用地</w:t>
            </w:r>
          </w:p>
        </w:tc>
        <w:tc>
          <w:tcPr>
            <w:tcW w:w="1173" w:type="pct"/>
            <w:shd w:val="clear" w:color="auto" w:fill="auto"/>
            <w:noWrap/>
            <w:vAlign w:val="center"/>
          </w:tcPr>
          <w:p w14:paraId="220FC862">
            <w:pPr>
              <w:pStyle w:val="115"/>
              <w:bidi w:val="0"/>
              <w:jc w:val="center"/>
            </w:pPr>
            <w:r>
              <w:t>6.02</w:t>
            </w:r>
          </w:p>
        </w:tc>
        <w:tc>
          <w:tcPr>
            <w:tcW w:w="978" w:type="pct"/>
            <w:shd w:val="clear" w:color="auto" w:fill="auto"/>
            <w:noWrap/>
            <w:vAlign w:val="center"/>
          </w:tcPr>
          <w:p w14:paraId="7F9693FB">
            <w:pPr>
              <w:pStyle w:val="115"/>
              <w:bidi w:val="0"/>
              <w:jc w:val="center"/>
            </w:pPr>
            <w:r>
              <w:t>0.94</w:t>
            </w:r>
          </w:p>
        </w:tc>
      </w:tr>
      <w:tr w14:paraId="5D5DB3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39" w:type="pct"/>
            <w:vMerge w:val="continue"/>
            <w:shd w:val="clear" w:color="auto" w:fill="auto"/>
            <w:noWrap/>
            <w:vAlign w:val="center"/>
          </w:tcPr>
          <w:p w14:paraId="27E23CBD">
            <w:pPr>
              <w:pStyle w:val="115"/>
              <w:bidi w:val="0"/>
              <w:jc w:val="center"/>
            </w:pPr>
          </w:p>
        </w:tc>
        <w:tc>
          <w:tcPr>
            <w:tcW w:w="2008" w:type="pct"/>
            <w:shd w:val="clear" w:color="auto" w:fill="auto"/>
            <w:noWrap/>
            <w:vAlign w:val="center"/>
          </w:tcPr>
          <w:p w14:paraId="036CD0C4">
            <w:pPr>
              <w:pStyle w:val="115"/>
              <w:bidi w:val="0"/>
              <w:jc w:val="center"/>
            </w:pPr>
            <w:r>
              <w:rPr>
                <w:rFonts w:hint="eastAsia"/>
              </w:rPr>
              <w:t>公用设施用地</w:t>
            </w:r>
          </w:p>
        </w:tc>
        <w:tc>
          <w:tcPr>
            <w:tcW w:w="1173" w:type="pct"/>
            <w:shd w:val="clear" w:color="auto" w:fill="auto"/>
            <w:noWrap/>
            <w:vAlign w:val="center"/>
          </w:tcPr>
          <w:p w14:paraId="2FFEE054">
            <w:pPr>
              <w:pStyle w:val="115"/>
              <w:bidi w:val="0"/>
              <w:jc w:val="center"/>
            </w:pPr>
            <w:r>
              <w:t>12.03</w:t>
            </w:r>
          </w:p>
        </w:tc>
        <w:tc>
          <w:tcPr>
            <w:tcW w:w="978" w:type="pct"/>
            <w:shd w:val="clear" w:color="auto" w:fill="auto"/>
            <w:noWrap/>
            <w:vAlign w:val="center"/>
          </w:tcPr>
          <w:p w14:paraId="79DA58DE">
            <w:pPr>
              <w:pStyle w:val="115"/>
              <w:bidi w:val="0"/>
              <w:jc w:val="center"/>
            </w:pPr>
            <w:r>
              <w:t>1.88</w:t>
            </w:r>
          </w:p>
        </w:tc>
      </w:tr>
      <w:tr w14:paraId="189CF4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39" w:type="pct"/>
            <w:vMerge w:val="continue"/>
            <w:shd w:val="clear" w:color="auto" w:fill="auto"/>
            <w:noWrap/>
            <w:vAlign w:val="center"/>
          </w:tcPr>
          <w:p w14:paraId="6066731A">
            <w:pPr>
              <w:pStyle w:val="115"/>
              <w:bidi w:val="0"/>
              <w:jc w:val="center"/>
            </w:pPr>
          </w:p>
        </w:tc>
        <w:tc>
          <w:tcPr>
            <w:tcW w:w="2008" w:type="pct"/>
            <w:shd w:val="clear" w:color="auto" w:fill="auto"/>
            <w:noWrap/>
            <w:vAlign w:val="center"/>
          </w:tcPr>
          <w:p w14:paraId="507EC021">
            <w:pPr>
              <w:pStyle w:val="115"/>
              <w:bidi w:val="0"/>
              <w:jc w:val="center"/>
            </w:pPr>
            <w:r>
              <w:rPr>
                <w:rFonts w:hint="eastAsia"/>
              </w:rPr>
              <w:t>绿地与开敞空间用地</w:t>
            </w:r>
          </w:p>
        </w:tc>
        <w:tc>
          <w:tcPr>
            <w:tcW w:w="1173" w:type="pct"/>
            <w:shd w:val="clear" w:color="auto" w:fill="auto"/>
            <w:noWrap/>
            <w:vAlign w:val="center"/>
          </w:tcPr>
          <w:p w14:paraId="347528BB">
            <w:pPr>
              <w:pStyle w:val="115"/>
              <w:bidi w:val="0"/>
              <w:jc w:val="center"/>
            </w:pPr>
            <w:r>
              <w:t>164.72</w:t>
            </w:r>
          </w:p>
        </w:tc>
        <w:tc>
          <w:tcPr>
            <w:tcW w:w="978" w:type="pct"/>
            <w:shd w:val="clear" w:color="auto" w:fill="auto"/>
            <w:noWrap/>
            <w:vAlign w:val="center"/>
          </w:tcPr>
          <w:p w14:paraId="34341A47">
            <w:pPr>
              <w:pStyle w:val="115"/>
              <w:bidi w:val="0"/>
              <w:jc w:val="center"/>
            </w:pPr>
            <w:r>
              <w:t>25.76</w:t>
            </w:r>
          </w:p>
        </w:tc>
      </w:tr>
      <w:tr w14:paraId="3E388B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39" w:type="pct"/>
            <w:vMerge w:val="continue"/>
            <w:shd w:val="clear" w:color="auto" w:fill="auto"/>
            <w:noWrap/>
            <w:vAlign w:val="center"/>
          </w:tcPr>
          <w:p w14:paraId="4AFCAB10">
            <w:pPr>
              <w:pStyle w:val="115"/>
              <w:bidi w:val="0"/>
              <w:jc w:val="center"/>
            </w:pPr>
          </w:p>
        </w:tc>
        <w:tc>
          <w:tcPr>
            <w:tcW w:w="2008" w:type="pct"/>
            <w:shd w:val="clear" w:color="auto" w:fill="auto"/>
            <w:noWrap/>
            <w:vAlign w:val="center"/>
          </w:tcPr>
          <w:p w14:paraId="0A5B1170">
            <w:pPr>
              <w:pStyle w:val="115"/>
              <w:bidi w:val="0"/>
              <w:jc w:val="center"/>
            </w:pPr>
            <w:r>
              <w:rPr>
                <w:rFonts w:hint="eastAsia"/>
              </w:rPr>
              <w:t>特殊用地</w:t>
            </w:r>
          </w:p>
        </w:tc>
        <w:tc>
          <w:tcPr>
            <w:tcW w:w="1173" w:type="pct"/>
            <w:shd w:val="clear" w:color="auto" w:fill="auto"/>
            <w:noWrap/>
            <w:vAlign w:val="center"/>
          </w:tcPr>
          <w:p w14:paraId="693F7801">
            <w:pPr>
              <w:pStyle w:val="115"/>
              <w:bidi w:val="0"/>
              <w:jc w:val="center"/>
            </w:pPr>
            <w:r>
              <w:t>1.02</w:t>
            </w:r>
          </w:p>
        </w:tc>
        <w:tc>
          <w:tcPr>
            <w:tcW w:w="978" w:type="pct"/>
            <w:shd w:val="clear" w:color="auto" w:fill="auto"/>
            <w:noWrap/>
            <w:vAlign w:val="center"/>
          </w:tcPr>
          <w:p w14:paraId="12ED6A2E">
            <w:pPr>
              <w:pStyle w:val="115"/>
              <w:bidi w:val="0"/>
              <w:jc w:val="center"/>
            </w:pPr>
            <w:r>
              <w:t>0.16</w:t>
            </w:r>
          </w:p>
        </w:tc>
      </w:tr>
      <w:tr w14:paraId="7F3C44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39" w:type="pct"/>
            <w:vMerge w:val="continue"/>
            <w:shd w:val="clear" w:color="auto" w:fill="auto"/>
            <w:noWrap/>
            <w:vAlign w:val="center"/>
          </w:tcPr>
          <w:p w14:paraId="61C1C82F">
            <w:pPr>
              <w:pStyle w:val="115"/>
              <w:bidi w:val="0"/>
              <w:jc w:val="center"/>
            </w:pPr>
          </w:p>
        </w:tc>
        <w:tc>
          <w:tcPr>
            <w:tcW w:w="2008" w:type="pct"/>
            <w:shd w:val="clear" w:color="auto" w:fill="auto"/>
            <w:noWrap/>
            <w:vAlign w:val="center"/>
          </w:tcPr>
          <w:p w14:paraId="50924E3F">
            <w:pPr>
              <w:pStyle w:val="115"/>
              <w:bidi w:val="0"/>
              <w:jc w:val="center"/>
            </w:pPr>
            <w:r>
              <w:rPr>
                <w:rFonts w:hint="eastAsia"/>
              </w:rPr>
              <w:t>合计</w:t>
            </w:r>
          </w:p>
        </w:tc>
        <w:tc>
          <w:tcPr>
            <w:tcW w:w="1173" w:type="pct"/>
            <w:shd w:val="clear" w:color="auto" w:fill="auto"/>
            <w:noWrap/>
            <w:vAlign w:val="center"/>
          </w:tcPr>
          <w:p w14:paraId="6F9BEA71">
            <w:pPr>
              <w:pStyle w:val="115"/>
              <w:bidi w:val="0"/>
              <w:jc w:val="center"/>
            </w:pPr>
            <w:r>
              <w:t>594.22</w:t>
            </w:r>
          </w:p>
        </w:tc>
        <w:tc>
          <w:tcPr>
            <w:tcW w:w="978" w:type="pct"/>
            <w:shd w:val="clear" w:color="auto" w:fill="auto"/>
            <w:noWrap/>
            <w:vAlign w:val="center"/>
          </w:tcPr>
          <w:p w14:paraId="346F2ABB">
            <w:pPr>
              <w:pStyle w:val="115"/>
              <w:bidi w:val="0"/>
              <w:jc w:val="center"/>
            </w:pPr>
            <w:r>
              <w:t>92.92</w:t>
            </w:r>
          </w:p>
        </w:tc>
      </w:tr>
      <w:tr w14:paraId="2D9440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39" w:type="pct"/>
            <w:vMerge w:val="restart"/>
            <w:shd w:val="clear" w:color="auto" w:fill="auto"/>
            <w:noWrap/>
            <w:vAlign w:val="center"/>
          </w:tcPr>
          <w:p w14:paraId="527F2D80">
            <w:pPr>
              <w:pStyle w:val="115"/>
              <w:bidi w:val="0"/>
              <w:jc w:val="center"/>
            </w:pPr>
            <w:r>
              <w:rPr>
                <w:rFonts w:hint="eastAsia"/>
              </w:rPr>
              <w:t>未利用地</w:t>
            </w:r>
          </w:p>
        </w:tc>
        <w:tc>
          <w:tcPr>
            <w:tcW w:w="2008" w:type="pct"/>
            <w:shd w:val="clear" w:color="auto" w:fill="auto"/>
            <w:noWrap/>
            <w:vAlign w:val="center"/>
          </w:tcPr>
          <w:p w14:paraId="4AB2EF7D">
            <w:pPr>
              <w:pStyle w:val="115"/>
              <w:bidi w:val="0"/>
              <w:jc w:val="center"/>
            </w:pPr>
            <w:r>
              <w:t>空闲地</w:t>
            </w:r>
          </w:p>
        </w:tc>
        <w:tc>
          <w:tcPr>
            <w:tcW w:w="1173" w:type="pct"/>
            <w:shd w:val="clear" w:color="auto" w:fill="auto"/>
            <w:noWrap/>
            <w:vAlign w:val="center"/>
          </w:tcPr>
          <w:p w14:paraId="588CE0B5">
            <w:pPr>
              <w:pStyle w:val="115"/>
              <w:bidi w:val="0"/>
              <w:jc w:val="center"/>
            </w:pPr>
            <w:r>
              <w:t>6.47</w:t>
            </w:r>
          </w:p>
        </w:tc>
        <w:tc>
          <w:tcPr>
            <w:tcW w:w="978" w:type="pct"/>
            <w:shd w:val="clear" w:color="auto" w:fill="auto"/>
            <w:noWrap/>
            <w:vAlign w:val="center"/>
          </w:tcPr>
          <w:p w14:paraId="66FB5E1C">
            <w:pPr>
              <w:pStyle w:val="115"/>
              <w:bidi w:val="0"/>
              <w:jc w:val="center"/>
            </w:pPr>
            <w:r>
              <w:t>1.01</w:t>
            </w:r>
          </w:p>
        </w:tc>
      </w:tr>
      <w:tr w14:paraId="2A2C7F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39" w:type="pct"/>
            <w:vMerge w:val="continue"/>
            <w:shd w:val="clear" w:color="auto" w:fill="auto"/>
            <w:noWrap/>
            <w:vAlign w:val="center"/>
          </w:tcPr>
          <w:p w14:paraId="2AB01871">
            <w:pPr>
              <w:pStyle w:val="115"/>
              <w:bidi w:val="0"/>
              <w:jc w:val="center"/>
            </w:pPr>
          </w:p>
        </w:tc>
        <w:tc>
          <w:tcPr>
            <w:tcW w:w="2008" w:type="pct"/>
            <w:shd w:val="clear" w:color="auto" w:fill="auto"/>
            <w:noWrap/>
            <w:vAlign w:val="center"/>
          </w:tcPr>
          <w:p w14:paraId="1CF56AFE">
            <w:pPr>
              <w:pStyle w:val="115"/>
              <w:bidi w:val="0"/>
              <w:jc w:val="center"/>
            </w:pPr>
            <w:r>
              <w:t>裸土地</w:t>
            </w:r>
          </w:p>
        </w:tc>
        <w:tc>
          <w:tcPr>
            <w:tcW w:w="1173" w:type="pct"/>
            <w:shd w:val="clear" w:color="auto" w:fill="auto"/>
            <w:noWrap/>
            <w:vAlign w:val="center"/>
          </w:tcPr>
          <w:p w14:paraId="2F7AA671">
            <w:pPr>
              <w:pStyle w:val="115"/>
              <w:bidi w:val="0"/>
              <w:jc w:val="center"/>
            </w:pPr>
            <w:r>
              <w:t>2.66</w:t>
            </w:r>
          </w:p>
        </w:tc>
        <w:tc>
          <w:tcPr>
            <w:tcW w:w="978" w:type="pct"/>
            <w:shd w:val="clear" w:color="auto" w:fill="auto"/>
            <w:noWrap/>
            <w:vAlign w:val="center"/>
          </w:tcPr>
          <w:p w14:paraId="20028408">
            <w:pPr>
              <w:pStyle w:val="115"/>
              <w:bidi w:val="0"/>
              <w:jc w:val="center"/>
            </w:pPr>
            <w:r>
              <w:t>0.42</w:t>
            </w:r>
          </w:p>
        </w:tc>
      </w:tr>
      <w:tr w14:paraId="26C209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839" w:type="pct"/>
            <w:vMerge w:val="continue"/>
            <w:shd w:val="clear" w:color="auto" w:fill="auto"/>
            <w:noWrap/>
            <w:vAlign w:val="center"/>
          </w:tcPr>
          <w:p w14:paraId="6285487D">
            <w:pPr>
              <w:pStyle w:val="115"/>
              <w:bidi w:val="0"/>
              <w:jc w:val="center"/>
            </w:pPr>
          </w:p>
        </w:tc>
        <w:tc>
          <w:tcPr>
            <w:tcW w:w="2008" w:type="pct"/>
            <w:shd w:val="clear" w:color="auto" w:fill="auto"/>
            <w:noWrap/>
            <w:vAlign w:val="center"/>
          </w:tcPr>
          <w:p w14:paraId="51F503F3">
            <w:pPr>
              <w:pStyle w:val="115"/>
              <w:bidi w:val="0"/>
              <w:jc w:val="center"/>
            </w:pPr>
            <w:r>
              <w:rPr>
                <w:rFonts w:hint="eastAsia"/>
              </w:rPr>
              <w:t>合计</w:t>
            </w:r>
          </w:p>
        </w:tc>
        <w:tc>
          <w:tcPr>
            <w:tcW w:w="1173" w:type="pct"/>
            <w:shd w:val="clear" w:color="auto" w:fill="auto"/>
            <w:noWrap/>
            <w:vAlign w:val="center"/>
          </w:tcPr>
          <w:p w14:paraId="1E3CD4D5">
            <w:pPr>
              <w:pStyle w:val="115"/>
              <w:bidi w:val="0"/>
              <w:jc w:val="center"/>
            </w:pPr>
            <w:r>
              <w:t>9.13</w:t>
            </w:r>
          </w:p>
        </w:tc>
        <w:tc>
          <w:tcPr>
            <w:tcW w:w="978" w:type="pct"/>
            <w:shd w:val="clear" w:color="auto" w:fill="auto"/>
            <w:noWrap/>
            <w:vAlign w:val="center"/>
          </w:tcPr>
          <w:p w14:paraId="2080CF87">
            <w:pPr>
              <w:pStyle w:val="115"/>
              <w:bidi w:val="0"/>
              <w:jc w:val="center"/>
            </w:pPr>
            <w:r>
              <w:t>1.43</w:t>
            </w:r>
          </w:p>
        </w:tc>
      </w:tr>
      <w:tr w14:paraId="4AEDF6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2847" w:type="pct"/>
            <w:gridSpan w:val="2"/>
            <w:shd w:val="clear" w:color="auto" w:fill="auto"/>
            <w:noWrap/>
            <w:vAlign w:val="center"/>
          </w:tcPr>
          <w:p w14:paraId="0CDE3E01">
            <w:pPr>
              <w:pStyle w:val="115"/>
              <w:bidi w:val="0"/>
              <w:jc w:val="center"/>
            </w:pPr>
            <w:r>
              <w:rPr>
                <w:rFonts w:hint="eastAsia"/>
              </w:rPr>
              <w:t>合计</w:t>
            </w:r>
          </w:p>
        </w:tc>
        <w:tc>
          <w:tcPr>
            <w:tcW w:w="1173" w:type="pct"/>
            <w:shd w:val="clear" w:color="auto" w:fill="auto"/>
            <w:noWrap/>
            <w:vAlign w:val="center"/>
          </w:tcPr>
          <w:p w14:paraId="4E82365F">
            <w:pPr>
              <w:pStyle w:val="115"/>
              <w:bidi w:val="0"/>
              <w:jc w:val="center"/>
            </w:pPr>
            <w:r>
              <w:t>639.47</w:t>
            </w:r>
          </w:p>
        </w:tc>
        <w:tc>
          <w:tcPr>
            <w:tcW w:w="978" w:type="pct"/>
            <w:shd w:val="clear" w:color="auto" w:fill="auto"/>
            <w:noWrap/>
            <w:vAlign w:val="center"/>
          </w:tcPr>
          <w:p w14:paraId="27616FE9">
            <w:pPr>
              <w:pStyle w:val="115"/>
              <w:bidi w:val="0"/>
              <w:jc w:val="center"/>
            </w:pPr>
            <w:r>
              <w:t>100.00</w:t>
            </w:r>
          </w:p>
        </w:tc>
      </w:tr>
    </w:tbl>
    <w:p w14:paraId="67AFA56B">
      <w:pPr>
        <w:widowControl/>
        <w:topLinePunct w:val="0"/>
        <w:adjustRightInd/>
        <w:snapToGrid/>
        <w:spacing w:after="0" w:afterLines="0"/>
        <w:ind w:firstLine="0" w:firstLineChars="0"/>
        <w:jc w:val="left"/>
      </w:pPr>
    </w:p>
    <w:p w14:paraId="30A5B5D2">
      <w:pPr>
        <w:widowControl/>
        <w:topLinePunct w:val="0"/>
        <w:adjustRightInd/>
        <w:snapToGrid/>
        <w:spacing w:after="0" w:afterLines="0"/>
        <w:ind w:firstLine="0" w:firstLineChars="0"/>
        <w:jc w:val="left"/>
      </w:pPr>
      <w:r>
        <w:drawing>
          <wp:inline distT="0" distB="0" distL="114300" distR="114300">
            <wp:extent cx="5411470" cy="4082415"/>
            <wp:effectExtent l="0" t="0" r="0" b="13335"/>
            <wp:docPr id="1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4"/>
                    <pic:cNvPicPr>
                      <a:picLocks noChangeAspect="1"/>
                    </pic:cNvPicPr>
                  </pic:nvPicPr>
                  <pic:blipFill>
                    <a:blip r:embed="rId16"/>
                    <a:stretch>
                      <a:fillRect/>
                    </a:stretch>
                  </pic:blipFill>
                  <pic:spPr>
                    <a:xfrm>
                      <a:off x="0" y="0"/>
                      <a:ext cx="5411470" cy="4082415"/>
                    </a:xfrm>
                    <a:prstGeom prst="rect">
                      <a:avLst/>
                    </a:prstGeom>
                    <a:noFill/>
                    <a:ln>
                      <a:noFill/>
                    </a:ln>
                  </pic:spPr>
                </pic:pic>
              </a:graphicData>
            </a:graphic>
          </wp:inline>
        </w:drawing>
      </w:r>
    </w:p>
    <w:p w14:paraId="659FBD36">
      <w:pPr>
        <w:spacing w:after="166"/>
        <w:ind w:firstLine="500"/>
        <w:jc w:val="center"/>
        <w:rPr>
          <w:rFonts w:hint="default"/>
          <w:lang w:val="en-US"/>
        </w:rPr>
      </w:pPr>
      <w:r>
        <w:rPr>
          <w:rFonts w:hint="eastAsia" w:eastAsia="黑体" w:cs="Times New Roman"/>
          <w:color w:val="000000"/>
          <w:kern w:val="0"/>
          <w:sz w:val="20"/>
          <w:szCs w:val="25"/>
          <w:lang w:val="en-US" w:eastAsia="zh-CN" w:bidi="ar-SA"/>
        </w:rPr>
        <w:t>图2-5 白云鄂博矿区城区土地利用现状图</w:t>
      </w:r>
    </w:p>
    <w:p w14:paraId="318C4F70">
      <w:pPr>
        <w:pStyle w:val="3"/>
        <w:numPr>
          <w:ilvl w:val="1"/>
          <w:numId w:val="5"/>
        </w:numPr>
        <w:spacing w:before="166" w:after="166"/>
        <w:ind w:hanging="575"/>
        <w:rPr>
          <w:rFonts w:hint="eastAsia"/>
        </w:rPr>
      </w:pPr>
      <w:r>
        <w:rPr>
          <w:rFonts w:hint="eastAsia"/>
          <w:lang w:val="en-US" w:eastAsia="zh-CN"/>
        </w:rPr>
        <w:t>现状</w:t>
      </w:r>
      <w:r>
        <w:rPr>
          <w:rFonts w:hint="eastAsia"/>
        </w:rPr>
        <w:t>道路交通</w:t>
      </w:r>
    </w:p>
    <w:p w14:paraId="2131222A">
      <w:pPr>
        <w:spacing w:after="166"/>
        <w:ind w:firstLine="500"/>
      </w:pPr>
      <w:r>
        <w:rPr>
          <w:rFonts w:hint="eastAsia"/>
          <w:lang w:val="en-US"/>
        </w:rPr>
        <w:t>规划范围基本形成</w:t>
      </w:r>
      <w:r>
        <w:rPr>
          <w:rFonts w:hint="eastAsia"/>
        </w:rPr>
        <w:t>“六横七纵”的城市干路网结构，城市路网以横平竖纵的方格网形式布局为主</w:t>
      </w:r>
      <w:r>
        <w:rPr>
          <w:rFonts w:hint="eastAsia"/>
          <w:lang w:val="en-US"/>
        </w:rPr>
        <w:t>，矿山路、稀土大街、白云鄂博大街等规划范围内的主要道路已建成，原控规中划定的白云鄂博大街南侧其他城市道路尚未建设完成。道路质量</w:t>
      </w:r>
      <w:r>
        <w:rPr>
          <w:rFonts w:hint="eastAsia"/>
        </w:rPr>
        <w:t>以稀土大街为界，南侧道路质量较好，北侧建设年代较早，路面宽度、道路景观均较南侧差。</w:t>
      </w:r>
    </w:p>
    <w:p w14:paraId="2FEA9806">
      <w:pPr>
        <w:pStyle w:val="13"/>
        <w:spacing w:after="0" w:afterLines="0"/>
        <w:ind w:firstLine="0" w:firstLineChars="0"/>
      </w:pPr>
      <w:r>
        <w:rPr>
          <w:lang w:val="en-US"/>
        </w:rPr>
        <w:drawing>
          <wp:inline distT="0" distB="0" distL="0" distR="0">
            <wp:extent cx="5273675" cy="2590165"/>
            <wp:effectExtent l="0" t="0" r="3175" b="63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17"/>
                    <a:srcRect/>
                    <a:stretch>
                      <a:fillRect/>
                    </a:stretch>
                  </pic:blipFill>
                  <pic:spPr>
                    <a:xfrm>
                      <a:off x="0" y="0"/>
                      <a:ext cx="5274000" cy="2590448"/>
                    </a:xfrm>
                    <a:prstGeom prst="rect">
                      <a:avLst/>
                    </a:prstGeom>
                    <a:noFill/>
                  </pic:spPr>
                </pic:pic>
              </a:graphicData>
            </a:graphic>
          </wp:inline>
        </w:drawing>
      </w:r>
    </w:p>
    <w:p w14:paraId="6FFB1FF7">
      <w:pPr>
        <w:pStyle w:val="268"/>
        <w:spacing w:after="166"/>
      </w:pPr>
      <w:r>
        <w:rPr>
          <w:rFonts w:hint="eastAsia"/>
        </w:rPr>
        <w:t>图2-</w:t>
      </w:r>
      <w:r>
        <w:rPr>
          <w:rFonts w:hint="eastAsia"/>
          <w:lang w:val="en-US" w:eastAsia="zh-CN"/>
        </w:rPr>
        <w:t>6</w:t>
      </w:r>
      <w:r>
        <w:t xml:space="preserve">  </w:t>
      </w:r>
      <w:r>
        <w:rPr>
          <w:rFonts w:hint="eastAsia"/>
        </w:rPr>
        <w:t>白云鄂博矿区部分道路现状质量情况</w:t>
      </w:r>
    </w:p>
    <w:p w14:paraId="4A638867">
      <w:pPr>
        <w:pStyle w:val="13"/>
        <w:spacing w:after="166"/>
        <w:ind w:firstLine="480"/>
        <w:rPr>
          <w:rFonts w:hint="eastAsia"/>
          <w:lang w:val="zh-CN" w:bidi="ar-SA"/>
        </w:rPr>
      </w:pPr>
    </w:p>
    <w:p w14:paraId="47E1B66B">
      <w:pPr>
        <w:pStyle w:val="3"/>
        <w:numPr>
          <w:ilvl w:val="1"/>
          <w:numId w:val="5"/>
        </w:numPr>
        <w:spacing w:before="166" w:after="166"/>
        <w:ind w:hanging="575"/>
        <w:rPr>
          <w:rFonts w:hint="eastAsia"/>
          <w:lang w:val="en-US" w:eastAsia="zh-CN"/>
        </w:rPr>
      </w:pPr>
      <w:r>
        <w:rPr>
          <w:rFonts w:hint="eastAsia"/>
          <w:lang w:val="en-US" w:eastAsia="zh-CN"/>
        </w:rPr>
        <w:t>现状公共服务设施</w:t>
      </w:r>
    </w:p>
    <w:p w14:paraId="430C7AD3">
      <w:pPr>
        <w:spacing w:after="166"/>
        <w:ind w:firstLine="500"/>
        <w:rPr>
          <w:lang w:val="en-US"/>
        </w:rPr>
      </w:pPr>
      <w:r>
        <w:rPr>
          <w:rFonts w:hint="eastAsia"/>
          <w:lang w:val="en-US"/>
        </w:rPr>
        <w:t>目前，规划范围公共管理与公共服务用地</w:t>
      </w:r>
      <w:r>
        <w:rPr>
          <w:lang w:val="en-US"/>
        </w:rPr>
        <w:t>62.56</w:t>
      </w:r>
      <w:r>
        <w:rPr>
          <w:rFonts w:hint="eastAsia"/>
          <w:lang w:val="en-US"/>
        </w:rPr>
        <w:t>公顷，各类公共服务设施均有分布。</w:t>
      </w:r>
    </w:p>
    <w:p w14:paraId="5A56268E">
      <w:pPr>
        <w:pStyle w:val="5"/>
        <w:numPr>
          <w:ilvl w:val="0"/>
          <w:numId w:val="7"/>
        </w:numPr>
        <w:spacing w:after="166"/>
        <w:rPr>
          <w:rFonts w:hint="eastAsia"/>
        </w:rPr>
      </w:pPr>
      <w:r>
        <w:rPr>
          <w:rFonts w:hint="eastAsia"/>
        </w:rPr>
        <w:t>文化设施</w:t>
      </w:r>
    </w:p>
    <w:p w14:paraId="12446D4C">
      <w:pPr>
        <w:spacing w:after="166"/>
        <w:ind w:firstLine="500"/>
        <w:rPr>
          <w:lang w:val="en-US"/>
        </w:rPr>
      </w:pPr>
      <w:r>
        <w:rPr>
          <w:rFonts w:hint="eastAsia"/>
          <w:lang w:val="en-US"/>
        </w:rPr>
        <w:t>现状文化用地面积为2.57公顷，现状文化设施包括区文化艺术中心1个，区图书馆1个，草原英雄小姐妹事迹展览馆1个，铁矿少年宫1个。以地区级文化设施为主，缺少社区文化设施。</w:t>
      </w:r>
    </w:p>
    <w:p w14:paraId="6F6F43BC">
      <w:pPr>
        <w:pStyle w:val="5"/>
        <w:numPr>
          <w:ilvl w:val="0"/>
          <w:numId w:val="7"/>
        </w:numPr>
        <w:spacing w:after="166"/>
        <w:rPr>
          <w:rFonts w:hint="eastAsia"/>
        </w:rPr>
      </w:pPr>
      <w:r>
        <w:rPr>
          <w:rFonts w:hint="eastAsia"/>
        </w:rPr>
        <w:t>教育设施</w:t>
      </w:r>
    </w:p>
    <w:p w14:paraId="17B08356">
      <w:pPr>
        <w:spacing w:after="166"/>
        <w:ind w:firstLine="500"/>
        <w:rPr>
          <w:lang w:val="en-US"/>
        </w:rPr>
      </w:pPr>
      <w:r>
        <w:rPr>
          <w:rFonts w:hint="eastAsia"/>
          <w:lang w:val="en-US"/>
        </w:rPr>
        <w:t>现状教育用地面积为25.73公顷，现状教育设施2所幼儿园、</w:t>
      </w:r>
      <w:r>
        <w:rPr>
          <w:lang w:val="en-US"/>
        </w:rPr>
        <w:t>1</w:t>
      </w:r>
      <w:r>
        <w:rPr>
          <w:rFonts w:hint="eastAsia"/>
          <w:lang w:val="en-US"/>
        </w:rPr>
        <w:t>所中学和3所小学以及1所职业高级中学。</w:t>
      </w:r>
    </w:p>
    <w:p w14:paraId="66D17799">
      <w:pPr>
        <w:pStyle w:val="5"/>
        <w:numPr>
          <w:ilvl w:val="0"/>
          <w:numId w:val="7"/>
        </w:numPr>
        <w:spacing w:after="166"/>
        <w:rPr>
          <w:rFonts w:hint="eastAsia"/>
        </w:rPr>
      </w:pPr>
      <w:r>
        <w:rPr>
          <w:rFonts w:hint="eastAsia"/>
        </w:rPr>
        <w:t>体育设施</w:t>
      </w:r>
    </w:p>
    <w:p w14:paraId="38038F94">
      <w:pPr>
        <w:spacing w:after="166"/>
        <w:ind w:firstLine="500"/>
        <w:rPr>
          <w:lang w:val="en-US"/>
        </w:rPr>
      </w:pPr>
      <w:r>
        <w:rPr>
          <w:rFonts w:hint="eastAsia"/>
          <w:lang w:val="en-US"/>
        </w:rPr>
        <w:t>现状体育设施用地面积为0.34公顷，有全民健身中心1处、铁矿康体中心1处，社区体育设施配置较为不足，体育设施设施体系还需完善。</w:t>
      </w:r>
    </w:p>
    <w:p w14:paraId="7D927CC8">
      <w:pPr>
        <w:pStyle w:val="5"/>
        <w:numPr>
          <w:ilvl w:val="0"/>
          <w:numId w:val="7"/>
        </w:numPr>
        <w:spacing w:after="166"/>
        <w:rPr>
          <w:rFonts w:hint="eastAsia"/>
        </w:rPr>
      </w:pPr>
      <w:r>
        <w:rPr>
          <w:rFonts w:hint="eastAsia"/>
        </w:rPr>
        <w:t>医疗卫生设施</w:t>
      </w:r>
    </w:p>
    <w:p w14:paraId="23C6BCFC">
      <w:pPr>
        <w:spacing w:after="166"/>
        <w:ind w:firstLine="500"/>
        <w:rPr>
          <w:lang w:val="en-US"/>
        </w:rPr>
      </w:pPr>
      <w:r>
        <w:rPr>
          <w:rFonts w:hint="eastAsia"/>
          <w:lang w:val="en-US"/>
        </w:rPr>
        <w:t>现状医疗卫生用地面积为4.48公顷，现状卫生资源总量基本适应人口的服务需求，有中医蒙医医院1所，通阳道街道配有社区卫生服务中心。</w:t>
      </w:r>
    </w:p>
    <w:p w14:paraId="12E97A55">
      <w:pPr>
        <w:pStyle w:val="5"/>
        <w:numPr>
          <w:ilvl w:val="0"/>
          <w:numId w:val="7"/>
        </w:numPr>
        <w:spacing w:after="166"/>
        <w:rPr>
          <w:rFonts w:hint="eastAsia"/>
        </w:rPr>
      </w:pPr>
      <w:r>
        <w:rPr>
          <w:rFonts w:hint="eastAsia"/>
        </w:rPr>
        <w:t>社会福利设施</w:t>
      </w:r>
    </w:p>
    <w:p w14:paraId="668303F9">
      <w:pPr>
        <w:spacing w:after="166"/>
        <w:ind w:firstLine="500"/>
        <w:rPr>
          <w:lang w:val="en-US"/>
        </w:rPr>
      </w:pPr>
      <w:r>
        <w:rPr>
          <w:rFonts w:hint="eastAsia"/>
          <w:lang w:val="en-US"/>
        </w:rPr>
        <w:t>现状老年人社会福利用地2.41公顷，有1处山外山幸福养老院和1处惠德健康养老产业园，总体可满足社会需求，可进一步提升和完善设施。现状残疾人社会福利用地0.09公顷，包含通阳道残疾人党群服务站1处。</w:t>
      </w:r>
    </w:p>
    <w:p w14:paraId="4CDB990F">
      <w:pPr>
        <w:pStyle w:val="13"/>
        <w:spacing w:after="166"/>
        <w:ind w:firstLine="480"/>
        <w:rPr>
          <w:rFonts w:hint="eastAsia"/>
          <w:lang w:val="en-US"/>
        </w:rPr>
      </w:pPr>
    </w:p>
    <w:p w14:paraId="46F8C524">
      <w:pPr>
        <w:pStyle w:val="13"/>
        <w:spacing w:after="166"/>
        <w:ind w:firstLine="0" w:firstLineChars="0"/>
        <w:rPr>
          <w:lang w:val="en-US" w:bidi="ar"/>
        </w:rPr>
      </w:pPr>
      <w:r>
        <w:drawing>
          <wp:inline distT="0" distB="0" distL="0" distR="0">
            <wp:extent cx="5274310" cy="4368165"/>
            <wp:effectExtent l="0" t="0" r="2540" b="13335"/>
            <wp:docPr id="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pic:cNvPicPr>
                      <a:picLocks noChangeAspect="1"/>
                    </pic:cNvPicPr>
                  </pic:nvPicPr>
                  <pic:blipFill>
                    <a:blip r:embed="rId18"/>
                    <a:stretch>
                      <a:fillRect/>
                    </a:stretch>
                  </pic:blipFill>
                  <pic:spPr>
                    <a:xfrm>
                      <a:off x="0" y="0"/>
                      <a:ext cx="5274310" cy="4368165"/>
                    </a:xfrm>
                    <a:prstGeom prst="rect">
                      <a:avLst/>
                    </a:prstGeom>
                  </pic:spPr>
                </pic:pic>
              </a:graphicData>
            </a:graphic>
          </wp:inline>
        </w:drawing>
      </w:r>
    </w:p>
    <w:p w14:paraId="7F3A1202">
      <w:pPr>
        <w:pStyle w:val="268"/>
        <w:spacing w:after="166"/>
        <w:rPr>
          <w:lang w:val="en-US" w:bidi="ar"/>
        </w:rPr>
      </w:pPr>
      <w:r>
        <w:rPr>
          <w:rFonts w:hint="eastAsia"/>
          <w:lang w:val="en-US" w:bidi="ar"/>
        </w:rPr>
        <w:t>图2-</w:t>
      </w:r>
      <w:r>
        <w:rPr>
          <w:lang w:val="en-US" w:bidi="ar"/>
        </w:rPr>
        <w:t>5</w:t>
      </w:r>
      <w:r>
        <w:rPr>
          <w:rFonts w:hint="eastAsia"/>
          <w:lang w:val="en-US" w:bidi="ar"/>
        </w:rPr>
        <w:t xml:space="preserve">  白云鄂博矿区城区公共服务设施现状分布图</w:t>
      </w:r>
    </w:p>
    <w:p w14:paraId="161A4A0C">
      <w:pPr>
        <w:spacing w:after="166"/>
        <w:ind w:firstLine="500"/>
        <w:rPr>
          <w:rFonts w:hint="eastAsia"/>
          <w:lang w:val="en-US" w:bidi="ar"/>
        </w:rPr>
      </w:pPr>
    </w:p>
    <w:p w14:paraId="55606B90">
      <w:pPr>
        <w:widowControl/>
        <w:topLinePunct w:val="0"/>
        <w:adjustRightInd/>
        <w:snapToGrid/>
        <w:spacing w:after="0" w:afterLines="0"/>
        <w:ind w:firstLine="0" w:firstLineChars="0"/>
        <w:jc w:val="left"/>
        <w:rPr>
          <w:rFonts w:ascii="黑体" w:hAnsi="黑体" w:eastAsia="黑体" w:cs="黑体"/>
          <w:bCs/>
          <w:sz w:val="28"/>
          <w:szCs w:val="28"/>
          <w:lang w:val="en-US"/>
        </w:rPr>
      </w:pPr>
      <w:r>
        <w:br w:type="page"/>
      </w:r>
    </w:p>
    <w:p w14:paraId="250C0955">
      <w:pPr>
        <w:pStyle w:val="3"/>
        <w:numPr>
          <w:ilvl w:val="1"/>
          <w:numId w:val="5"/>
        </w:numPr>
        <w:spacing w:before="166" w:after="166"/>
        <w:ind w:hanging="575"/>
        <w:rPr>
          <w:rFonts w:hint="eastAsia"/>
          <w:lang w:val="en-US" w:eastAsia="zh-CN"/>
        </w:rPr>
      </w:pPr>
      <w:r>
        <w:rPr>
          <w:rFonts w:hint="eastAsia"/>
          <w:lang w:val="en-US" w:eastAsia="zh-CN"/>
        </w:rPr>
        <w:t>现状市政公用设施</w:t>
      </w:r>
    </w:p>
    <w:p w14:paraId="675CC290">
      <w:pPr>
        <w:spacing w:after="166"/>
        <w:ind w:firstLine="500"/>
        <w:rPr>
          <w:lang w:val="en-US"/>
        </w:rPr>
      </w:pPr>
      <w:r>
        <w:rPr>
          <w:rFonts w:hint="eastAsia"/>
          <w:lang w:val="en-US"/>
        </w:rPr>
        <w:t>目前，规划范围内公用设施用地</w:t>
      </w:r>
      <w:r>
        <w:rPr>
          <w:lang w:val="en-US"/>
        </w:rPr>
        <w:t>12.03</w:t>
      </w:r>
      <w:r>
        <w:rPr>
          <w:rFonts w:hint="eastAsia"/>
          <w:lang w:val="en-US"/>
        </w:rPr>
        <w:t>公顷，规划范围内无大型独立占地的供水设施、排水设施、供电设施，现有公用设施包括供热设施、燃气设施、通信设施、环卫设施和消防设施等。现状市政基础设施基本能满足现状需求，普遍存在设施建设标准不高、管网建设不足、布局不完善等问题。</w:t>
      </w:r>
    </w:p>
    <w:p w14:paraId="66F31DD8">
      <w:pPr>
        <w:spacing w:after="166"/>
        <w:ind w:firstLine="500"/>
        <w:rPr>
          <w:lang w:val="en-US"/>
        </w:rPr>
      </w:pPr>
      <w:r>
        <w:rPr>
          <w:rFonts w:hint="eastAsia"/>
          <w:lang w:val="en-US"/>
        </w:rPr>
        <w:t>其中，供热设施有金源热力、十二号楼锅炉房和中浩热力站；环卫设施有垃圾转运站1处，与铁矿消防大队相邻；消防设施包括铁矿消防大队和区消防大队。</w:t>
      </w:r>
    </w:p>
    <w:p w14:paraId="4043F0B2">
      <w:pPr>
        <w:pStyle w:val="13"/>
        <w:spacing w:after="166"/>
        <w:ind w:firstLine="480"/>
        <w:rPr>
          <w:rFonts w:hint="eastAsia"/>
          <w:lang w:val="en-US"/>
        </w:rPr>
      </w:pPr>
    </w:p>
    <w:p w14:paraId="5AE33C6A">
      <w:pPr>
        <w:pStyle w:val="13"/>
        <w:spacing w:after="166"/>
        <w:ind w:firstLine="0" w:firstLineChars="0"/>
        <w:rPr>
          <w:lang w:val="en-US" w:bidi="ar"/>
        </w:rPr>
      </w:pPr>
      <w:r>
        <w:drawing>
          <wp:inline distT="0" distB="0" distL="0" distR="0">
            <wp:extent cx="5274310" cy="4368165"/>
            <wp:effectExtent l="0" t="0" r="2540" b="13335"/>
            <wp:docPr id="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
                    <pic:cNvPicPr>
                      <a:picLocks noChangeAspect="1"/>
                    </pic:cNvPicPr>
                  </pic:nvPicPr>
                  <pic:blipFill>
                    <a:blip r:embed="rId19"/>
                    <a:stretch>
                      <a:fillRect/>
                    </a:stretch>
                  </pic:blipFill>
                  <pic:spPr>
                    <a:xfrm>
                      <a:off x="0" y="0"/>
                      <a:ext cx="5274310" cy="4368165"/>
                    </a:xfrm>
                    <a:prstGeom prst="rect">
                      <a:avLst/>
                    </a:prstGeom>
                  </pic:spPr>
                </pic:pic>
              </a:graphicData>
            </a:graphic>
          </wp:inline>
        </w:drawing>
      </w:r>
    </w:p>
    <w:p w14:paraId="0020F6C9">
      <w:pPr>
        <w:pStyle w:val="268"/>
        <w:spacing w:after="166"/>
        <w:ind w:firstLine="500"/>
        <w:rPr>
          <w:lang w:val="en-US" w:bidi="ar"/>
        </w:rPr>
      </w:pPr>
      <w:r>
        <w:rPr>
          <w:rFonts w:hint="eastAsia"/>
          <w:lang w:val="en-US" w:bidi="ar"/>
        </w:rPr>
        <w:t>图2-</w:t>
      </w:r>
      <w:r>
        <w:rPr>
          <w:lang w:val="en-US" w:bidi="ar"/>
        </w:rPr>
        <w:t>6</w:t>
      </w:r>
      <w:r>
        <w:rPr>
          <w:rFonts w:hint="eastAsia"/>
          <w:lang w:val="en-US" w:bidi="ar"/>
        </w:rPr>
        <w:t xml:space="preserve">  白云鄂博矿区城区市政公用设施现状分布图</w:t>
      </w:r>
    </w:p>
    <w:p w14:paraId="016EF05E">
      <w:pPr>
        <w:pStyle w:val="13"/>
        <w:widowControl/>
        <w:spacing w:after="166"/>
        <w:ind w:firstLine="0" w:firstLineChars="0"/>
        <w:jc w:val="left"/>
        <w:rPr>
          <w:rFonts w:hint="eastAsia" w:ascii="宋体" w:hAnsi="宋体" w:cs="宋体"/>
          <w:u w:val="single"/>
          <w:lang w:val="en-US" w:bidi="ar"/>
        </w:rPr>
      </w:pPr>
    </w:p>
    <w:p w14:paraId="093F92FF">
      <w:pPr>
        <w:widowControl/>
        <w:topLinePunct w:val="0"/>
        <w:adjustRightInd/>
        <w:snapToGrid/>
        <w:spacing w:after="0" w:afterLines="0"/>
        <w:ind w:firstLine="0" w:firstLineChars="0"/>
        <w:jc w:val="left"/>
        <w:rPr>
          <w:rFonts w:ascii="黑体" w:hAnsi="黑体" w:eastAsia="黑体" w:cs="黑体"/>
          <w:bCs/>
          <w:sz w:val="28"/>
          <w:szCs w:val="28"/>
          <w:lang w:val="en-US"/>
        </w:rPr>
      </w:pPr>
      <w:r>
        <w:br w:type="page"/>
      </w:r>
    </w:p>
    <w:p w14:paraId="0ECF818B">
      <w:pPr>
        <w:pStyle w:val="3"/>
        <w:numPr>
          <w:ilvl w:val="1"/>
          <w:numId w:val="5"/>
        </w:numPr>
        <w:spacing w:before="166" w:after="166"/>
        <w:ind w:hanging="575"/>
      </w:pPr>
      <w:r>
        <w:rPr>
          <w:rFonts w:hint="eastAsia"/>
        </w:rPr>
        <w:t>现状</w:t>
      </w:r>
      <w:r>
        <w:rPr>
          <w:rFonts w:hint="eastAsia"/>
          <w:lang w:val="en-US" w:eastAsia="zh-CN"/>
        </w:rPr>
        <w:t>建设</w:t>
      </w:r>
    </w:p>
    <w:p w14:paraId="339EA571">
      <w:pPr>
        <w:pStyle w:val="4"/>
        <w:numPr>
          <w:ilvl w:val="2"/>
          <w:numId w:val="5"/>
        </w:numPr>
        <w:spacing w:before="332" w:after="166"/>
        <w:rPr>
          <w:lang w:val="en-US"/>
        </w:rPr>
      </w:pPr>
      <w:r>
        <w:rPr>
          <w:rFonts w:hint="eastAsia"/>
          <w:lang w:val="en-US"/>
        </w:rPr>
        <w:t>建筑高度</w:t>
      </w:r>
    </w:p>
    <w:p w14:paraId="63AB4A02">
      <w:pPr>
        <w:spacing w:after="166"/>
        <w:ind w:firstLine="500"/>
        <w:rPr>
          <w:lang w:val="en-US"/>
        </w:rPr>
      </w:pPr>
      <w:r>
        <w:rPr>
          <w:rFonts w:hint="eastAsia"/>
          <w:lang w:val="en-US"/>
        </w:rPr>
        <w:t>规划范围内的建筑主要是住宅、商业建筑、公共服务建筑和厂房，整体建筑以1-6层为主，年代较为久远的住宅多为1-3层，部分商品住房和公共建筑层数为4-6层，少数商业建筑达到7-8层。</w:t>
      </w:r>
    </w:p>
    <w:p w14:paraId="753F88F5">
      <w:pPr>
        <w:pStyle w:val="13"/>
        <w:spacing w:after="0" w:afterLines="0"/>
        <w:ind w:firstLine="0" w:firstLineChars="0"/>
        <w:jc w:val="both"/>
        <w:rPr>
          <w:highlight w:val="yellow"/>
          <w:lang w:val="en-US"/>
        </w:rPr>
      </w:pPr>
      <w:r>
        <w:drawing>
          <wp:inline distT="0" distB="0" distL="114300" distR="114300">
            <wp:extent cx="5271770" cy="4366260"/>
            <wp:effectExtent l="0" t="0" r="5080" b="15240"/>
            <wp:docPr id="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pic:cNvPicPr>
                      <a:picLocks noChangeAspect="1"/>
                    </pic:cNvPicPr>
                  </pic:nvPicPr>
                  <pic:blipFill>
                    <a:blip r:embed="rId20"/>
                    <a:stretch>
                      <a:fillRect/>
                    </a:stretch>
                  </pic:blipFill>
                  <pic:spPr>
                    <a:xfrm>
                      <a:off x="0" y="0"/>
                      <a:ext cx="5271770" cy="4366260"/>
                    </a:xfrm>
                    <a:prstGeom prst="rect">
                      <a:avLst/>
                    </a:prstGeom>
                    <a:noFill/>
                    <a:ln>
                      <a:noFill/>
                    </a:ln>
                  </pic:spPr>
                </pic:pic>
              </a:graphicData>
            </a:graphic>
          </wp:inline>
        </w:drawing>
      </w:r>
    </w:p>
    <w:p w14:paraId="5F4B0689">
      <w:pPr>
        <w:pStyle w:val="268"/>
        <w:spacing w:after="166"/>
        <w:rPr>
          <w:lang w:val="en-US"/>
        </w:rPr>
      </w:pPr>
      <w:r>
        <w:rPr>
          <w:rFonts w:hint="eastAsia"/>
        </w:rPr>
        <w:t>图2-</w:t>
      </w:r>
      <w:r>
        <w:t>7</w:t>
      </w:r>
      <w:r>
        <w:rPr>
          <w:rFonts w:hint="eastAsia"/>
          <w:lang w:val="en-US"/>
        </w:rPr>
        <w:t xml:space="preserve">  </w:t>
      </w:r>
      <w:r>
        <w:rPr>
          <w:rFonts w:hint="eastAsia"/>
        </w:rPr>
        <w:t>白云鄂博矿区现状建筑高度</w:t>
      </w:r>
      <w:r>
        <w:rPr>
          <w:rFonts w:hint="eastAsia"/>
          <w:lang w:val="en-US"/>
        </w:rPr>
        <w:t>分布图</w:t>
      </w:r>
    </w:p>
    <w:p w14:paraId="7BD4175F">
      <w:pPr>
        <w:pStyle w:val="4"/>
        <w:numPr>
          <w:ilvl w:val="2"/>
          <w:numId w:val="5"/>
        </w:numPr>
        <w:spacing w:before="332" w:after="166"/>
        <w:rPr>
          <w:lang w:val="en-US"/>
        </w:rPr>
      </w:pPr>
      <w:r>
        <w:rPr>
          <w:rFonts w:hint="eastAsia"/>
          <w:lang w:val="en-US"/>
        </w:rPr>
        <w:t>建筑质量</w:t>
      </w:r>
    </w:p>
    <w:p w14:paraId="42501F4A">
      <w:pPr>
        <w:spacing w:after="166"/>
        <w:ind w:firstLine="500"/>
        <w:rPr>
          <w:lang w:val="en-US"/>
        </w:rPr>
      </w:pPr>
      <w:r>
        <w:rPr>
          <w:rFonts w:hint="eastAsia"/>
          <w:lang w:val="en-US"/>
        </w:rPr>
        <w:t>建筑质量总体与建筑年代保持一致。现状主要公共设施类建筑和近年新建的住宅建筑、商业建筑质量较好；</w:t>
      </w:r>
      <w:r>
        <w:rPr>
          <w:lang w:val="en-US"/>
        </w:rPr>
        <w:t>部分</w:t>
      </w:r>
      <w:r>
        <w:rPr>
          <w:rFonts w:hint="eastAsia"/>
          <w:lang w:val="en-US"/>
        </w:rPr>
        <w:t>职工宿舍、职工公寓</w:t>
      </w:r>
      <w:r>
        <w:rPr>
          <w:lang w:val="en-US"/>
        </w:rPr>
        <w:t>因建筑年代较早</w:t>
      </w:r>
      <w:r>
        <w:rPr>
          <w:rFonts w:hint="eastAsia"/>
          <w:lang w:val="en-US"/>
        </w:rPr>
        <w:t>，存在</w:t>
      </w:r>
      <w:r>
        <w:rPr>
          <w:lang w:val="en-US"/>
        </w:rPr>
        <w:t>年久失修</w:t>
      </w:r>
      <w:r>
        <w:rPr>
          <w:rFonts w:hint="eastAsia"/>
          <w:lang w:val="en-US"/>
        </w:rPr>
        <w:t>的情况，相对</w:t>
      </w:r>
      <w:r>
        <w:rPr>
          <w:lang w:val="en-US"/>
        </w:rPr>
        <w:t>建筑较差。</w:t>
      </w:r>
    </w:p>
    <w:p w14:paraId="4BDA69C7">
      <w:pPr>
        <w:pStyle w:val="13"/>
        <w:spacing w:after="0" w:afterLines="0"/>
        <w:ind w:firstLine="0" w:firstLineChars="0"/>
        <w:rPr>
          <w:lang w:val="en-US"/>
        </w:rPr>
      </w:pPr>
      <w:r>
        <w:rPr>
          <w:rFonts w:ascii="宋体" w:hAnsi="宋体"/>
          <w:sz w:val="24"/>
          <w:szCs w:val="20"/>
        </w:rPr>
        <w:drawing>
          <wp:inline distT="0" distB="0" distL="114300" distR="114300">
            <wp:extent cx="5253990" cy="3940175"/>
            <wp:effectExtent l="0" t="0" r="3810" b="3175"/>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21"/>
                    <a:srcRect t="-1" b="-1011"/>
                    <a:stretch>
                      <a:fillRect/>
                    </a:stretch>
                  </pic:blipFill>
                  <pic:spPr>
                    <a:xfrm>
                      <a:off x="0" y="0"/>
                      <a:ext cx="5254625" cy="3940902"/>
                    </a:xfrm>
                    <a:prstGeom prst="rect">
                      <a:avLst/>
                    </a:prstGeom>
                    <a:noFill/>
                    <a:ln>
                      <a:noFill/>
                    </a:ln>
                  </pic:spPr>
                </pic:pic>
              </a:graphicData>
            </a:graphic>
          </wp:inline>
        </w:drawing>
      </w:r>
    </w:p>
    <w:p w14:paraId="66361EA5">
      <w:pPr>
        <w:pStyle w:val="268"/>
        <w:spacing w:after="166"/>
        <w:rPr>
          <w:lang w:val="en-US"/>
        </w:rPr>
      </w:pPr>
      <w:r>
        <w:rPr>
          <w:rFonts w:hint="eastAsia"/>
        </w:rPr>
        <w:t>图2-</w:t>
      </w:r>
      <w:r>
        <w:rPr>
          <w:lang w:val="en-US"/>
        </w:rPr>
        <w:t>8</w:t>
      </w:r>
      <w:r>
        <w:rPr>
          <w:rFonts w:hint="eastAsia"/>
          <w:lang w:val="en-US"/>
        </w:rPr>
        <w:t xml:space="preserve">  </w:t>
      </w:r>
      <w:r>
        <w:rPr>
          <w:rFonts w:hint="eastAsia"/>
        </w:rPr>
        <w:t>白云鄂博矿区现状建筑</w:t>
      </w:r>
      <w:r>
        <w:rPr>
          <w:rFonts w:hint="eastAsia"/>
          <w:lang w:val="en-US"/>
        </w:rPr>
        <w:t>质量情况</w:t>
      </w:r>
    </w:p>
    <w:p w14:paraId="22F86803">
      <w:pPr>
        <w:spacing w:after="166"/>
        <w:ind w:firstLine="500"/>
        <w:rPr>
          <w:rFonts w:hint="eastAsia"/>
          <w:lang w:val="en-US"/>
        </w:rPr>
      </w:pPr>
    </w:p>
    <w:p w14:paraId="1D8FE854">
      <w:pPr>
        <w:pStyle w:val="3"/>
        <w:numPr>
          <w:ilvl w:val="1"/>
          <w:numId w:val="5"/>
        </w:numPr>
        <w:spacing w:before="166" w:after="166"/>
        <w:ind w:left="573" w:hanging="573"/>
      </w:pPr>
      <w:r>
        <w:rPr>
          <w:rFonts w:hint="eastAsia"/>
        </w:rPr>
        <w:t>现状主要问题</w:t>
      </w:r>
    </w:p>
    <w:p w14:paraId="2956D4AB">
      <w:pPr>
        <w:pStyle w:val="5"/>
        <w:numPr>
          <w:ilvl w:val="0"/>
          <w:numId w:val="8"/>
        </w:numPr>
        <w:spacing w:after="166"/>
        <w:rPr>
          <w:rFonts w:hint="eastAsia"/>
        </w:rPr>
      </w:pPr>
      <w:r>
        <w:rPr>
          <w:rFonts w:hint="eastAsia"/>
        </w:rPr>
        <w:t>城市发展方向：发展方向与结构亟待优化</w:t>
      </w:r>
    </w:p>
    <w:p w14:paraId="687872CB">
      <w:pPr>
        <w:spacing w:after="166"/>
        <w:ind w:firstLine="500"/>
        <w:rPr>
          <w:rFonts w:hint="eastAsia"/>
          <w:lang w:val="en-US"/>
        </w:rPr>
      </w:pPr>
      <w:r>
        <w:rPr>
          <w:rFonts w:hint="eastAsia"/>
          <w:lang w:val="en-US"/>
        </w:rPr>
        <w:t>上轮控规空间发展策略为“北退、南进、东创、西居”，规划适度隔离生产空间与生态空间，规划将城区大规模向南扩张并进行更新改造，同时提升创新、商业等城市第三产业功能，但实际实施中规划空间发展策略未得到有效落实。同时，城镇开发边界的约束作用使得城区增量空间受限。</w:t>
      </w:r>
    </w:p>
    <w:p w14:paraId="3CFD0227">
      <w:pPr>
        <w:spacing w:after="166"/>
        <w:ind w:left="0" w:leftChars="0" w:firstLine="0" w:firstLineChars="0"/>
      </w:pPr>
      <w:r>
        <w:drawing>
          <wp:inline distT="0" distB="0" distL="114300" distR="114300">
            <wp:extent cx="5263515" cy="3108960"/>
            <wp:effectExtent l="0" t="0" r="13335" b="15240"/>
            <wp:docPr id="15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5"/>
                    <pic:cNvPicPr>
                      <a:picLocks noChangeAspect="1"/>
                    </pic:cNvPicPr>
                  </pic:nvPicPr>
                  <pic:blipFill>
                    <a:blip r:embed="rId22"/>
                    <a:stretch>
                      <a:fillRect/>
                    </a:stretch>
                  </pic:blipFill>
                  <pic:spPr>
                    <a:xfrm>
                      <a:off x="0" y="0"/>
                      <a:ext cx="5263515" cy="3108960"/>
                    </a:xfrm>
                    <a:prstGeom prst="rect">
                      <a:avLst/>
                    </a:prstGeom>
                    <a:noFill/>
                    <a:ln>
                      <a:noFill/>
                    </a:ln>
                  </pic:spPr>
                </pic:pic>
              </a:graphicData>
            </a:graphic>
          </wp:inline>
        </w:drawing>
      </w:r>
    </w:p>
    <w:p w14:paraId="22F76B49">
      <w:pPr>
        <w:pStyle w:val="268"/>
        <w:spacing w:after="166"/>
        <w:rPr>
          <w:rFonts w:hint="default" w:eastAsia="黑体"/>
          <w:lang w:val="en-US" w:eastAsia="zh-CN"/>
        </w:rPr>
      </w:pPr>
      <w:r>
        <w:rPr>
          <w:rFonts w:hint="eastAsia"/>
        </w:rPr>
        <w:t>图2-</w:t>
      </w:r>
      <w:r>
        <w:rPr>
          <w:rFonts w:hint="eastAsia"/>
          <w:lang w:val="en-US" w:eastAsia="zh-CN"/>
        </w:rPr>
        <w:t>9</w:t>
      </w:r>
      <w:r>
        <w:rPr>
          <w:rFonts w:hint="eastAsia"/>
          <w:lang w:val="en-US"/>
        </w:rPr>
        <w:t xml:space="preserve">  </w:t>
      </w:r>
      <w:r>
        <w:rPr>
          <w:rFonts w:hint="eastAsia"/>
          <w:lang w:val="en-US" w:eastAsia="zh-CN"/>
        </w:rPr>
        <w:t>城镇开发边界增量分布（左）和城镇开发边界、十四五管控线关系示意图</w:t>
      </w:r>
    </w:p>
    <w:p w14:paraId="016CF10E">
      <w:pPr>
        <w:pStyle w:val="5"/>
        <w:numPr>
          <w:ilvl w:val="0"/>
          <w:numId w:val="8"/>
        </w:numPr>
        <w:spacing w:after="166"/>
        <w:rPr>
          <w:rFonts w:hint="eastAsia"/>
        </w:rPr>
      </w:pPr>
      <w:r>
        <w:rPr>
          <w:rFonts w:hint="eastAsia"/>
        </w:rPr>
        <w:t>交通路网体系：路网结构和交通组织待提升</w:t>
      </w:r>
    </w:p>
    <w:p w14:paraId="18AA3D79">
      <w:pPr>
        <w:spacing w:after="166"/>
        <w:ind w:firstLine="500"/>
        <w:rPr>
          <w:rFonts w:hint="eastAsia"/>
          <w:lang w:val="en-US"/>
        </w:rPr>
      </w:pPr>
      <w:r>
        <w:rPr>
          <w:rFonts w:hint="eastAsia"/>
          <w:lang w:val="en-US"/>
        </w:rPr>
        <w:t>现状交通路网在道路线型基本吻合上轮控规，有部分有偏差的道路走向也与规划道路基本一致。根据问卷调查结果，从实际交通体验看，2/3居民认为交通畅通，21%则认为早晚高峰有拥堵，反映出道路体系存在有效供给不足的问题。</w:t>
      </w:r>
    </w:p>
    <w:p w14:paraId="1223838F">
      <w:pPr>
        <w:spacing w:after="166"/>
        <w:ind w:firstLine="500"/>
      </w:pPr>
      <w:r>
        <w:drawing>
          <wp:inline distT="0" distB="0" distL="114300" distR="114300">
            <wp:extent cx="5144135" cy="3068955"/>
            <wp:effectExtent l="0" t="0" r="12065" b="4445"/>
            <wp:docPr id="1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3"/>
                    <pic:cNvPicPr>
                      <a:picLocks noChangeAspect="1"/>
                    </pic:cNvPicPr>
                  </pic:nvPicPr>
                  <pic:blipFill>
                    <a:blip r:embed="rId23"/>
                    <a:stretch>
                      <a:fillRect/>
                    </a:stretch>
                  </pic:blipFill>
                  <pic:spPr>
                    <a:xfrm>
                      <a:off x="0" y="0"/>
                      <a:ext cx="5144135" cy="3068955"/>
                    </a:xfrm>
                    <a:prstGeom prst="rect">
                      <a:avLst/>
                    </a:prstGeom>
                    <a:noFill/>
                    <a:ln>
                      <a:noFill/>
                    </a:ln>
                  </pic:spPr>
                </pic:pic>
              </a:graphicData>
            </a:graphic>
          </wp:inline>
        </w:drawing>
      </w:r>
    </w:p>
    <w:p w14:paraId="5FA7407E">
      <w:pPr>
        <w:pStyle w:val="268"/>
        <w:spacing w:after="166"/>
        <w:rPr>
          <w:rFonts w:hint="eastAsia"/>
          <w:lang w:val="en-US"/>
        </w:rPr>
      </w:pPr>
      <w:r>
        <w:rPr>
          <w:rFonts w:hint="eastAsia"/>
          <w:lang w:val="en-US" w:eastAsia="zh-CN"/>
        </w:rPr>
        <w:t xml:space="preserve">图2-10 </w:t>
      </w:r>
      <w:r>
        <w:rPr>
          <w:rFonts w:hint="eastAsia"/>
          <w:lang w:val="en-US"/>
        </w:rPr>
        <w:t>现状道路线型与</w:t>
      </w:r>
      <w:r>
        <w:rPr>
          <w:rFonts w:hint="eastAsia"/>
          <w:lang w:val="en-US" w:eastAsia="zh-CN"/>
        </w:rPr>
        <w:t>上轮控制性详细规划</w:t>
      </w:r>
      <w:r>
        <w:rPr>
          <w:rFonts w:hint="eastAsia"/>
          <w:lang w:val="en-US"/>
        </w:rPr>
        <w:t>对比图</w:t>
      </w:r>
    </w:p>
    <w:p w14:paraId="36605461">
      <w:pPr>
        <w:spacing w:after="166"/>
        <w:ind w:firstLine="500"/>
        <w:rPr>
          <w:rFonts w:hint="eastAsia"/>
          <w:lang w:val="en-US"/>
        </w:rPr>
      </w:pPr>
    </w:p>
    <w:p w14:paraId="6FE9EF63">
      <w:pPr>
        <w:spacing w:after="166"/>
        <w:ind w:firstLine="500"/>
      </w:pPr>
      <w:r>
        <w:drawing>
          <wp:inline distT="0" distB="0" distL="114300" distR="114300">
            <wp:extent cx="5265420" cy="3200400"/>
            <wp:effectExtent l="0" t="0" r="17780" b="0"/>
            <wp:docPr id="1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
                    <pic:cNvPicPr>
                      <a:picLocks noChangeAspect="1"/>
                    </pic:cNvPicPr>
                  </pic:nvPicPr>
                  <pic:blipFill>
                    <a:blip r:embed="rId24"/>
                    <a:stretch>
                      <a:fillRect/>
                    </a:stretch>
                  </pic:blipFill>
                  <pic:spPr>
                    <a:xfrm>
                      <a:off x="0" y="0"/>
                      <a:ext cx="5265420" cy="3200400"/>
                    </a:xfrm>
                    <a:prstGeom prst="rect">
                      <a:avLst/>
                    </a:prstGeom>
                    <a:noFill/>
                    <a:ln>
                      <a:noFill/>
                    </a:ln>
                  </pic:spPr>
                </pic:pic>
              </a:graphicData>
            </a:graphic>
          </wp:inline>
        </w:drawing>
      </w:r>
    </w:p>
    <w:p w14:paraId="7681703B">
      <w:pPr>
        <w:pStyle w:val="268"/>
        <w:spacing w:after="166"/>
        <w:rPr>
          <w:rFonts w:hint="eastAsia"/>
          <w:lang w:val="en-US"/>
        </w:rPr>
      </w:pPr>
      <w:r>
        <w:rPr>
          <w:rFonts w:hint="eastAsia"/>
          <w:lang w:val="en-US" w:eastAsia="zh-CN"/>
        </w:rPr>
        <w:t>图2-11 现状道路断面宽度与上轮控制性详细规划对比图</w:t>
      </w:r>
    </w:p>
    <w:p w14:paraId="60DB5FB8">
      <w:pPr>
        <w:spacing w:after="166"/>
        <w:ind w:firstLine="500"/>
        <w:rPr>
          <w:lang w:val="en-US"/>
        </w:rPr>
      </w:pPr>
      <w:r>
        <w:rPr>
          <w:rFonts w:hint="eastAsia"/>
          <w:lang w:val="en-US"/>
        </w:rPr>
        <w:t>城区整体道路网密度为4.3km/km</w:t>
      </w:r>
      <w:r>
        <w:rPr>
          <w:rFonts w:hint="eastAsia"/>
          <w:vertAlign w:val="superscript"/>
          <w:lang w:val="en-US"/>
        </w:rPr>
        <w:t>2</w:t>
      </w:r>
      <w:r>
        <w:rPr>
          <w:rFonts w:hint="eastAsia"/>
          <w:lang w:val="en-US"/>
        </w:rPr>
        <w:t>，与国标的建成区路网密度指标8km/km²的目标距离较远。在结构上，主干路：次干路：支路为1:0.8:1，与理想的“正三角”(主干路＜次干路＜支路）结构仍有差距，次支路网相对不足，内部交通组织有待提升。</w:t>
      </w:r>
    </w:p>
    <w:p w14:paraId="1EBF39A1">
      <w:pPr>
        <w:pStyle w:val="5"/>
        <w:numPr>
          <w:ilvl w:val="0"/>
          <w:numId w:val="8"/>
        </w:numPr>
        <w:spacing w:after="166"/>
        <w:rPr>
          <w:rFonts w:hint="eastAsia"/>
        </w:rPr>
      </w:pPr>
      <w:r>
        <w:rPr>
          <w:rFonts w:hint="eastAsia"/>
        </w:rPr>
        <w:t>土地功能结构：功能供给对城市支撑不足</w:t>
      </w:r>
    </w:p>
    <w:p w14:paraId="354FC943">
      <w:pPr>
        <w:spacing w:after="166"/>
        <w:ind w:firstLine="500"/>
        <w:rPr>
          <w:rFonts w:hint="eastAsia"/>
          <w:lang w:val="en-US"/>
        </w:rPr>
      </w:pPr>
      <w:r>
        <w:rPr>
          <w:rFonts w:hint="eastAsia"/>
          <w:lang w:val="en-US"/>
        </w:rPr>
        <w:t>现状为人服务空间品质不高。公共服务设施现状类型较完备，空间分布偏向旧城区，均衡性有待进一步提升。商业体系缺乏层次性，现有商业空间难以与居民需求匹配。</w:t>
      </w:r>
    </w:p>
    <w:p w14:paraId="0497CE97">
      <w:pPr>
        <w:spacing w:after="166"/>
        <w:ind w:left="0" w:leftChars="0" w:firstLine="0" w:firstLineChars="0"/>
      </w:pPr>
      <w:r>
        <w:drawing>
          <wp:inline distT="0" distB="0" distL="114300" distR="114300">
            <wp:extent cx="5391150" cy="3194050"/>
            <wp:effectExtent l="0" t="0" r="0" b="6350"/>
            <wp:docPr id="15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6"/>
                    <pic:cNvPicPr>
                      <a:picLocks noChangeAspect="1"/>
                    </pic:cNvPicPr>
                  </pic:nvPicPr>
                  <pic:blipFill>
                    <a:blip r:embed="rId25"/>
                    <a:stretch>
                      <a:fillRect/>
                    </a:stretch>
                  </pic:blipFill>
                  <pic:spPr>
                    <a:xfrm>
                      <a:off x="0" y="0"/>
                      <a:ext cx="5391150" cy="3194050"/>
                    </a:xfrm>
                    <a:prstGeom prst="rect">
                      <a:avLst/>
                    </a:prstGeom>
                    <a:noFill/>
                    <a:ln>
                      <a:noFill/>
                    </a:ln>
                  </pic:spPr>
                </pic:pic>
              </a:graphicData>
            </a:graphic>
          </wp:inline>
        </w:drawing>
      </w:r>
    </w:p>
    <w:p w14:paraId="337D6D4C">
      <w:pPr>
        <w:pStyle w:val="268"/>
        <w:spacing w:after="166"/>
        <w:rPr>
          <w:rFonts w:hint="default" w:eastAsia="黑体"/>
          <w:lang w:val="en-US" w:eastAsia="zh-CN"/>
        </w:rPr>
      </w:pPr>
      <w:r>
        <w:rPr>
          <w:rFonts w:hint="eastAsia"/>
        </w:rPr>
        <w:t>图2-</w:t>
      </w:r>
      <w:r>
        <w:rPr>
          <w:rFonts w:hint="eastAsia"/>
          <w:lang w:val="en-US" w:eastAsia="zh-CN"/>
        </w:rPr>
        <w:t>12</w:t>
      </w:r>
      <w:r>
        <w:rPr>
          <w:rFonts w:hint="eastAsia"/>
          <w:lang w:val="en-US"/>
        </w:rPr>
        <w:t xml:space="preserve">  </w:t>
      </w:r>
      <w:r>
        <w:rPr>
          <w:rFonts w:hint="eastAsia"/>
          <w:lang w:val="en-US" w:eastAsia="zh-CN"/>
        </w:rPr>
        <w:t>城区现状商业业态分布示意图</w:t>
      </w:r>
    </w:p>
    <w:p w14:paraId="1CAA1F5A">
      <w:pPr>
        <w:spacing w:after="166"/>
        <w:ind w:firstLine="500"/>
        <w:rPr>
          <w:rFonts w:hint="eastAsia"/>
          <w:lang w:val="en-US"/>
        </w:rPr>
      </w:pPr>
      <w:r>
        <w:rPr>
          <w:rFonts w:hint="eastAsia"/>
          <w:lang w:val="en-US"/>
        </w:rPr>
        <w:t>为产服务空间储备不足。生产相关的物流、公寓、办公服务配套不完备，对于新产业需求现有的服务配备储备不足以与之匹配。</w:t>
      </w:r>
    </w:p>
    <w:p w14:paraId="033459C7">
      <w:pPr>
        <w:spacing w:after="166"/>
        <w:ind w:left="0" w:leftChars="0" w:firstLine="0" w:firstLineChars="0"/>
      </w:pPr>
      <w:r>
        <w:drawing>
          <wp:inline distT="0" distB="0" distL="114300" distR="114300">
            <wp:extent cx="4559935" cy="3224530"/>
            <wp:effectExtent l="0" t="0" r="12065" b="13970"/>
            <wp:docPr id="17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7"/>
                    <pic:cNvPicPr>
                      <a:picLocks noChangeAspect="1"/>
                    </pic:cNvPicPr>
                  </pic:nvPicPr>
                  <pic:blipFill>
                    <a:blip r:embed="rId26"/>
                    <a:stretch>
                      <a:fillRect/>
                    </a:stretch>
                  </pic:blipFill>
                  <pic:spPr>
                    <a:xfrm>
                      <a:off x="0" y="0"/>
                      <a:ext cx="4559935" cy="3224530"/>
                    </a:xfrm>
                    <a:prstGeom prst="rect">
                      <a:avLst/>
                    </a:prstGeom>
                    <a:noFill/>
                    <a:ln>
                      <a:noFill/>
                    </a:ln>
                  </pic:spPr>
                </pic:pic>
              </a:graphicData>
            </a:graphic>
          </wp:inline>
        </w:drawing>
      </w:r>
    </w:p>
    <w:p w14:paraId="2E78638F">
      <w:pPr>
        <w:pStyle w:val="268"/>
        <w:spacing w:after="166"/>
        <w:rPr>
          <w:rFonts w:hint="eastAsia"/>
          <w:lang w:val="en-US"/>
        </w:rPr>
      </w:pPr>
      <w:r>
        <w:rPr>
          <w:rFonts w:hint="eastAsia"/>
        </w:rPr>
        <w:t>图2-</w:t>
      </w:r>
      <w:r>
        <w:rPr>
          <w:rFonts w:hint="eastAsia"/>
          <w:lang w:val="en-US" w:eastAsia="zh-CN"/>
        </w:rPr>
        <w:t>13</w:t>
      </w:r>
      <w:r>
        <w:rPr>
          <w:rFonts w:hint="eastAsia"/>
          <w:lang w:val="en-US"/>
        </w:rPr>
        <w:t xml:space="preserve">  </w:t>
      </w:r>
      <w:r>
        <w:rPr>
          <w:rFonts w:hint="eastAsia"/>
          <w:lang w:val="en-US" w:eastAsia="zh-CN"/>
        </w:rPr>
        <w:t>城区现状为产服务业态分布示意图</w:t>
      </w:r>
    </w:p>
    <w:p w14:paraId="12049DF6">
      <w:pPr>
        <w:pStyle w:val="5"/>
        <w:numPr>
          <w:ilvl w:val="0"/>
          <w:numId w:val="8"/>
        </w:numPr>
        <w:spacing w:after="166"/>
        <w:rPr>
          <w:rFonts w:hint="eastAsia"/>
        </w:rPr>
      </w:pPr>
      <w:r>
        <w:rPr>
          <w:rFonts w:hint="eastAsia"/>
        </w:rPr>
        <w:t>用地集约水平：土地使用效益与集约度低</w:t>
      </w:r>
    </w:p>
    <w:p w14:paraId="6E735F67">
      <w:pPr>
        <w:spacing w:after="166"/>
        <w:ind w:firstLine="500"/>
        <w:rPr>
          <w:rFonts w:hint="eastAsia"/>
          <w:lang w:val="en-US"/>
        </w:rPr>
      </w:pPr>
      <w:r>
        <w:rPr>
          <w:rFonts w:hint="eastAsia"/>
          <w:lang w:val="en-US"/>
        </w:rPr>
        <w:t>城区范围内，用地容积率位于0-2.21区间内，平均容积率为0.40；用地建筑密度位于0-96.87%区间内，平均建筑密度为20.24%；用地建筑层数位于1-8层，建筑高度位于3-32米范围内，平均建筑高度为5米。整体现状土地利用强度较低，且土地产出效益低，低效用地占比较高。</w:t>
      </w:r>
    </w:p>
    <w:p w14:paraId="76F9103F">
      <w:pPr>
        <w:spacing w:after="166"/>
        <w:ind w:left="0" w:leftChars="0" w:firstLine="0" w:firstLineChars="0"/>
      </w:pPr>
      <w:r>
        <w:drawing>
          <wp:inline distT="0" distB="0" distL="114300" distR="114300">
            <wp:extent cx="5273040" cy="3218815"/>
            <wp:effectExtent l="0" t="0" r="3810" b="635"/>
            <wp:docPr id="17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8"/>
                    <pic:cNvPicPr>
                      <a:picLocks noChangeAspect="1"/>
                    </pic:cNvPicPr>
                  </pic:nvPicPr>
                  <pic:blipFill>
                    <a:blip r:embed="rId27"/>
                    <a:stretch>
                      <a:fillRect/>
                    </a:stretch>
                  </pic:blipFill>
                  <pic:spPr>
                    <a:xfrm>
                      <a:off x="0" y="0"/>
                      <a:ext cx="5273040" cy="3218815"/>
                    </a:xfrm>
                    <a:prstGeom prst="rect">
                      <a:avLst/>
                    </a:prstGeom>
                    <a:noFill/>
                    <a:ln>
                      <a:noFill/>
                    </a:ln>
                  </pic:spPr>
                </pic:pic>
              </a:graphicData>
            </a:graphic>
          </wp:inline>
        </w:drawing>
      </w:r>
    </w:p>
    <w:p w14:paraId="6ABDA4B8">
      <w:pPr>
        <w:pStyle w:val="268"/>
        <w:spacing w:after="166"/>
        <w:rPr>
          <w:rFonts w:hint="eastAsia"/>
          <w:lang w:val="en-US" w:eastAsia="zh-CN"/>
        </w:rPr>
      </w:pPr>
      <w:r>
        <w:rPr>
          <w:rFonts w:hint="eastAsia"/>
        </w:rPr>
        <w:t>图2-</w:t>
      </w:r>
      <w:r>
        <w:rPr>
          <w:rFonts w:hint="eastAsia"/>
          <w:lang w:val="en-US" w:eastAsia="zh-CN"/>
        </w:rPr>
        <w:t>14</w:t>
      </w:r>
      <w:r>
        <w:rPr>
          <w:rFonts w:hint="eastAsia"/>
          <w:lang w:val="en-US"/>
        </w:rPr>
        <w:t xml:space="preserve">  </w:t>
      </w:r>
      <w:r>
        <w:rPr>
          <w:rFonts w:hint="eastAsia"/>
          <w:lang w:val="en-US" w:eastAsia="zh-CN"/>
        </w:rPr>
        <w:t>现状城区容积率分布图</w:t>
      </w:r>
    </w:p>
    <w:p w14:paraId="2DE17CC6">
      <w:pPr>
        <w:ind w:left="0" w:leftChars="0" w:firstLine="0" w:firstLineChars="0"/>
      </w:pPr>
      <w:r>
        <w:drawing>
          <wp:inline distT="0" distB="0" distL="114300" distR="114300">
            <wp:extent cx="5264785" cy="3250565"/>
            <wp:effectExtent l="0" t="0" r="12065" b="6985"/>
            <wp:docPr id="17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9"/>
                    <pic:cNvPicPr>
                      <a:picLocks noChangeAspect="1"/>
                    </pic:cNvPicPr>
                  </pic:nvPicPr>
                  <pic:blipFill>
                    <a:blip r:embed="rId28"/>
                    <a:stretch>
                      <a:fillRect/>
                    </a:stretch>
                  </pic:blipFill>
                  <pic:spPr>
                    <a:xfrm>
                      <a:off x="0" y="0"/>
                      <a:ext cx="5264785" cy="3250565"/>
                    </a:xfrm>
                    <a:prstGeom prst="rect">
                      <a:avLst/>
                    </a:prstGeom>
                    <a:noFill/>
                    <a:ln>
                      <a:noFill/>
                    </a:ln>
                  </pic:spPr>
                </pic:pic>
              </a:graphicData>
            </a:graphic>
          </wp:inline>
        </w:drawing>
      </w:r>
    </w:p>
    <w:p w14:paraId="01B240B3">
      <w:pPr>
        <w:pStyle w:val="268"/>
        <w:spacing w:after="166"/>
        <w:rPr>
          <w:rFonts w:hint="eastAsia"/>
          <w:lang w:val="en-US"/>
        </w:rPr>
      </w:pPr>
      <w:r>
        <w:rPr>
          <w:rFonts w:hint="eastAsia"/>
        </w:rPr>
        <w:t>图2-</w:t>
      </w:r>
      <w:r>
        <w:rPr>
          <w:rFonts w:hint="eastAsia"/>
          <w:lang w:val="en-US" w:eastAsia="zh-CN"/>
        </w:rPr>
        <w:t>15</w:t>
      </w:r>
      <w:r>
        <w:rPr>
          <w:rFonts w:hint="eastAsia"/>
          <w:lang w:val="en-US"/>
        </w:rPr>
        <w:t xml:space="preserve">  </w:t>
      </w:r>
      <w:r>
        <w:rPr>
          <w:rFonts w:hint="eastAsia"/>
          <w:lang w:val="en-US" w:eastAsia="zh-CN"/>
        </w:rPr>
        <w:t>现状城区建筑密度分布图</w:t>
      </w:r>
    </w:p>
    <w:p w14:paraId="3FD569E6">
      <w:pPr>
        <w:pStyle w:val="5"/>
        <w:numPr>
          <w:ilvl w:val="0"/>
          <w:numId w:val="8"/>
        </w:numPr>
        <w:spacing w:after="166"/>
        <w:rPr>
          <w:rFonts w:hint="eastAsia"/>
        </w:rPr>
      </w:pPr>
      <w:r>
        <w:rPr>
          <w:rFonts w:hint="eastAsia"/>
        </w:rPr>
        <w:t>城市风貌塑造：意向不凸显风貌不协调</w:t>
      </w:r>
    </w:p>
    <w:p w14:paraId="14930C9E">
      <w:pPr>
        <w:spacing w:after="166"/>
        <w:ind w:firstLine="500"/>
        <w:rPr>
          <w:rFonts w:hint="eastAsia"/>
          <w:lang w:val="en-US"/>
        </w:rPr>
      </w:pPr>
      <w:r>
        <w:rPr>
          <w:rFonts w:hint="eastAsia"/>
          <w:lang w:val="en-US"/>
        </w:rPr>
        <w:t>目前城区整体风貌协调度低，在建筑色彩、材质、配套、招贴、风格上缺少统一，城市意象不凸显。在空间高度上，城市天际线存在“一般高”、“一样齐”的特点，缺少错落与韵律，在空间感知上较为扁平化。</w:t>
      </w:r>
    </w:p>
    <w:p w14:paraId="48D761C4">
      <w:pPr>
        <w:spacing w:after="166"/>
        <w:ind w:left="0" w:leftChars="0" w:firstLine="0" w:firstLineChars="0"/>
      </w:pPr>
      <w:r>
        <w:drawing>
          <wp:inline distT="0" distB="0" distL="114300" distR="114300">
            <wp:extent cx="5292090" cy="3431540"/>
            <wp:effectExtent l="0" t="0" r="3810" b="16510"/>
            <wp:docPr id="17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2"/>
                    <pic:cNvPicPr>
                      <a:picLocks noChangeAspect="1"/>
                    </pic:cNvPicPr>
                  </pic:nvPicPr>
                  <pic:blipFill>
                    <a:blip r:embed="rId29"/>
                    <a:srcRect l="11478" r="11478"/>
                    <a:stretch>
                      <a:fillRect/>
                    </a:stretch>
                  </pic:blipFill>
                  <pic:spPr>
                    <a:xfrm>
                      <a:off x="0" y="0"/>
                      <a:ext cx="5292090" cy="3431540"/>
                    </a:xfrm>
                    <a:prstGeom prst="rect">
                      <a:avLst/>
                    </a:prstGeom>
                  </pic:spPr>
                </pic:pic>
              </a:graphicData>
            </a:graphic>
          </wp:inline>
        </w:drawing>
      </w:r>
    </w:p>
    <w:p w14:paraId="581426E8">
      <w:pPr>
        <w:pStyle w:val="268"/>
        <w:spacing w:after="166"/>
        <w:rPr>
          <w:rFonts w:hint="default"/>
          <w:lang w:val="en-US"/>
        </w:rPr>
      </w:pPr>
      <w:r>
        <w:rPr>
          <w:rFonts w:hint="eastAsia"/>
        </w:rPr>
        <w:t>图2-</w:t>
      </w:r>
      <w:r>
        <w:rPr>
          <w:rFonts w:hint="eastAsia"/>
          <w:lang w:val="en-US" w:eastAsia="zh-CN"/>
        </w:rPr>
        <w:t>16</w:t>
      </w:r>
      <w:r>
        <w:rPr>
          <w:rFonts w:hint="eastAsia"/>
          <w:lang w:val="en-US"/>
        </w:rPr>
        <w:t xml:space="preserve">  </w:t>
      </w:r>
      <w:r>
        <w:rPr>
          <w:rFonts w:hint="eastAsia"/>
          <w:lang w:val="en-US" w:eastAsia="zh-CN"/>
        </w:rPr>
        <w:t>现状城区实景三维示意图</w:t>
      </w:r>
    </w:p>
    <w:p w14:paraId="4A8678AA">
      <w:pPr>
        <w:spacing w:after="166"/>
        <w:ind w:left="0" w:leftChars="0" w:firstLine="0" w:firstLineChars="0"/>
        <w:rPr>
          <w:rFonts w:hint="eastAsia"/>
          <w:lang w:val="en-US"/>
        </w:rPr>
      </w:pPr>
    </w:p>
    <w:p w14:paraId="1058CF4E">
      <w:pPr>
        <w:pStyle w:val="13"/>
        <w:spacing w:after="0" w:afterLines="0"/>
        <w:ind w:firstLine="0" w:firstLineChars="0"/>
        <w:rPr>
          <w:lang w:val="en-US"/>
        </w:rPr>
      </w:pPr>
    </w:p>
    <w:p w14:paraId="20CB7DB0">
      <w:pPr>
        <w:pStyle w:val="13"/>
        <w:spacing w:after="0" w:afterLines="0"/>
        <w:ind w:firstLine="0" w:firstLineChars="0"/>
        <w:rPr>
          <w:lang w:val="en-US"/>
        </w:rPr>
      </w:pPr>
    </w:p>
    <w:p w14:paraId="1B8D63F0">
      <w:pPr>
        <w:pStyle w:val="13"/>
        <w:spacing w:after="0" w:afterLines="0"/>
        <w:ind w:firstLine="0" w:firstLineChars="0"/>
        <w:rPr>
          <w:rFonts w:hint="eastAsia"/>
          <w:lang w:val="en-US"/>
        </w:rPr>
      </w:pPr>
    </w:p>
    <w:p w14:paraId="3946F383">
      <w:pPr>
        <w:pStyle w:val="13"/>
        <w:spacing w:after="0" w:afterLines="0"/>
        <w:ind w:firstLine="0" w:firstLineChars="0"/>
      </w:pPr>
    </w:p>
    <w:p w14:paraId="6E7B775A">
      <w:pPr>
        <w:widowControl/>
        <w:topLinePunct w:val="0"/>
        <w:adjustRightInd/>
        <w:snapToGrid/>
        <w:spacing w:after="0" w:afterLines="0"/>
        <w:ind w:firstLine="0" w:firstLineChars="0"/>
        <w:jc w:val="left"/>
        <w:rPr>
          <w:rFonts w:eastAsia="黑体"/>
          <w:bCs/>
          <w:kern w:val="0"/>
          <w:sz w:val="20"/>
          <w:szCs w:val="22"/>
        </w:rPr>
      </w:pPr>
      <w:r>
        <w:rPr>
          <w:kern w:val="0"/>
          <w:sz w:val="20"/>
          <w:szCs w:val="22"/>
        </w:rPr>
        <w:br w:type="page"/>
      </w:r>
    </w:p>
    <w:p w14:paraId="3819044F">
      <w:pPr>
        <w:pStyle w:val="2"/>
        <w:numPr>
          <w:ilvl w:val="0"/>
          <w:numId w:val="5"/>
        </w:numPr>
      </w:pPr>
      <w:bookmarkStart w:id="3" w:name="_Toc6099"/>
      <w:r>
        <w:rPr>
          <w:rFonts w:hint="eastAsia"/>
        </w:rPr>
        <w:t>规划衔接传导</w:t>
      </w:r>
      <w:bookmarkEnd w:id="3"/>
    </w:p>
    <w:p w14:paraId="450106F8">
      <w:pPr>
        <w:pStyle w:val="3"/>
        <w:numPr>
          <w:ilvl w:val="1"/>
          <w:numId w:val="5"/>
        </w:numPr>
        <w:spacing w:before="166" w:after="166"/>
        <w:ind w:hanging="575"/>
      </w:pPr>
      <w:r>
        <w:rPr>
          <w:rFonts w:hint="eastAsia"/>
          <w:lang w:val="en-US" w:eastAsia="zh-CN"/>
        </w:rPr>
        <w:t>对</w:t>
      </w:r>
      <w:r>
        <w:rPr>
          <w:rFonts w:hint="eastAsia"/>
          <w:lang w:eastAsia="zh-CN"/>
        </w:rPr>
        <w:t>《</w:t>
      </w:r>
      <w:r>
        <w:rPr>
          <w:rFonts w:hint="eastAsia"/>
        </w:rPr>
        <w:t>包头市</w:t>
      </w:r>
      <w:r>
        <w:rPr>
          <w:rFonts w:hint="eastAsia"/>
          <w:lang w:val="en-US"/>
        </w:rPr>
        <w:t>白云鄂博矿区</w:t>
      </w:r>
      <w:r>
        <w:rPr>
          <w:rFonts w:hint="eastAsia"/>
        </w:rPr>
        <w:t>国土空间总体规划（2021-2035年）</w:t>
      </w:r>
      <w:r>
        <w:rPr>
          <w:rFonts w:hint="eastAsia"/>
          <w:lang w:eastAsia="zh-CN"/>
        </w:rPr>
        <w:t>》</w:t>
      </w:r>
      <w:r>
        <w:rPr>
          <w:rFonts w:hint="eastAsia"/>
          <w:lang w:val="en-US" w:eastAsia="zh-CN"/>
        </w:rPr>
        <w:t>的衔接传导</w:t>
      </w:r>
    </w:p>
    <w:p w14:paraId="5D67C9BC">
      <w:pPr>
        <w:spacing w:after="166"/>
        <w:ind w:firstLine="500"/>
      </w:pPr>
      <w:r>
        <w:rPr>
          <w:rFonts w:hint="eastAsia"/>
        </w:rPr>
        <w:t>充分落实上位国土空间总体规划及相关专项规划</w:t>
      </w:r>
      <w:r>
        <w:rPr>
          <w:rFonts w:hint="eastAsia"/>
          <w:lang w:val="en-US"/>
        </w:rPr>
        <w:t>确定的</w:t>
      </w:r>
      <w:r>
        <w:rPr>
          <w:rFonts w:hint="eastAsia"/>
        </w:rPr>
        <w:t>开发保护目标与总体格局、发展定位、区域协同、综合交通、设施布局、综合防灾、国土整治与生态修复等内容。衔接已有详细规划编制单元划定成果，落实单元层面的底线约束、规划指标、功能布局、设施配置以及开发强度、建筑高度、建筑密度分区等方面的传导内容。</w:t>
      </w:r>
    </w:p>
    <w:p w14:paraId="3C39D922">
      <w:pPr>
        <w:spacing w:after="166"/>
        <w:ind w:firstLine="500"/>
      </w:pPr>
      <w:r>
        <w:rPr>
          <w:rFonts w:hint="eastAsia"/>
        </w:rPr>
        <w:t>《包头市</w:t>
      </w:r>
      <w:r>
        <w:rPr>
          <w:rFonts w:hint="eastAsia"/>
          <w:lang w:val="en-US"/>
        </w:rPr>
        <w:t>白云鄂博矿区</w:t>
      </w:r>
      <w:r>
        <w:rPr>
          <w:rFonts w:hint="eastAsia"/>
        </w:rPr>
        <w:t>国土空间总体规划（2021-2035年）》（</w:t>
      </w:r>
      <w:r>
        <w:rPr>
          <w:rFonts w:hint="eastAsia"/>
          <w:lang w:val="en-US"/>
        </w:rPr>
        <w:t>以下简称“总体规划”</w:t>
      </w:r>
      <w:r>
        <w:rPr>
          <w:rFonts w:hint="eastAsia"/>
        </w:rPr>
        <w:t>）是本规划的直接上位依据。本规划严格按照</w:t>
      </w:r>
      <w:r>
        <w:rPr>
          <w:rFonts w:hint="eastAsia"/>
          <w:lang w:val="en-US"/>
        </w:rPr>
        <w:t>总体规划</w:t>
      </w:r>
      <w:r>
        <w:rPr>
          <w:rFonts w:hint="eastAsia"/>
        </w:rPr>
        <w:t>要求，严守生态保护红线面积、耕地保有量、永久基本农田保护面积、城镇开发边界扩展倍数、用水总量、以及资源保护和节约利用等目标指标要求，</w:t>
      </w:r>
      <w:r>
        <w:rPr>
          <w:rFonts w:hint="eastAsia"/>
          <w:lang w:val="en-US"/>
        </w:rPr>
        <w:t>落实</w:t>
      </w:r>
      <w:r>
        <w:rPr>
          <w:rFonts w:hint="eastAsia"/>
        </w:rPr>
        <w:t>细化</w:t>
      </w:r>
      <w:r>
        <w:rPr>
          <w:rFonts w:hint="eastAsia"/>
          <w:lang w:val="en-US"/>
        </w:rPr>
        <w:t>总体规划</w:t>
      </w:r>
      <w:r>
        <w:rPr>
          <w:rFonts w:hint="eastAsia"/>
        </w:rPr>
        <w:t>明确的“四区一带”生态空间格局、“两</w:t>
      </w:r>
      <w:r>
        <w:rPr>
          <w:rFonts w:hint="eastAsia"/>
          <w:lang w:val="en-US"/>
        </w:rPr>
        <w:t>区一园</w:t>
      </w:r>
      <w:r>
        <w:rPr>
          <w:rFonts w:hint="eastAsia"/>
        </w:rPr>
        <w:t>”农牧空间格局、“一带多组团”的生态带型组团式城镇空间格局，以及主体功能区布局，落实在绿色高效农牧空间、安全韧性生态空间、多元宜居城镇空间、魅力国土打造、区域协调联动、国土综合整治和生态修复、交通能源水利信息防灾基础设施建设等方面的</w:t>
      </w:r>
      <w:r>
        <w:rPr>
          <w:rFonts w:hint="eastAsia"/>
          <w:lang w:val="en-US"/>
        </w:rPr>
        <w:t>具体</w:t>
      </w:r>
      <w:r>
        <w:rPr>
          <w:rFonts w:hint="eastAsia"/>
        </w:rPr>
        <w:t>任务。</w:t>
      </w:r>
    </w:p>
    <w:p w14:paraId="0AB8A76B">
      <w:pPr>
        <w:pStyle w:val="4"/>
        <w:numPr>
          <w:ilvl w:val="2"/>
          <w:numId w:val="5"/>
        </w:numPr>
        <w:spacing w:before="332" w:after="166"/>
      </w:pPr>
      <w:r>
        <w:rPr>
          <w:rFonts w:hint="eastAsia"/>
        </w:rPr>
        <w:t>控制线传导</w:t>
      </w:r>
    </w:p>
    <w:p w14:paraId="262C309F">
      <w:pPr>
        <w:pStyle w:val="5"/>
        <w:numPr>
          <w:ilvl w:val="0"/>
          <w:numId w:val="9"/>
        </w:numPr>
        <w:spacing w:after="166"/>
      </w:pPr>
      <w:r>
        <w:rPr>
          <w:rFonts w:hint="eastAsia"/>
        </w:rPr>
        <w:t>三条控制线</w:t>
      </w:r>
    </w:p>
    <w:p w14:paraId="6FDC4C5F">
      <w:pPr>
        <w:pStyle w:val="6"/>
        <w:numPr>
          <w:ilvl w:val="-1"/>
          <w:numId w:val="0"/>
        </w:numPr>
        <w:bidi w:val="0"/>
        <w:ind w:left="0" w:firstLine="0"/>
      </w:pPr>
      <w:r>
        <w:rPr>
          <w:rFonts w:hint="eastAsia"/>
          <w:lang w:val="en-US"/>
        </w:rPr>
        <w:t>①</w:t>
      </w:r>
      <w:r>
        <w:rPr>
          <w:rFonts w:hint="eastAsia"/>
        </w:rPr>
        <w:t>生态保护红线</w:t>
      </w:r>
    </w:p>
    <w:p w14:paraId="7AACD33E">
      <w:pPr>
        <w:spacing w:after="166"/>
        <w:ind w:firstLine="500"/>
      </w:pPr>
      <w:r>
        <w:rPr>
          <w:rFonts w:hint="eastAsia"/>
        </w:rPr>
        <w:t>根据</w:t>
      </w:r>
      <w:r>
        <w:rPr>
          <w:rFonts w:hint="eastAsia"/>
          <w:lang w:val="en-US"/>
        </w:rPr>
        <w:t>总体规划</w:t>
      </w:r>
      <w:r>
        <w:rPr>
          <w:rFonts w:hint="eastAsia"/>
        </w:rPr>
        <w:t>，白云鄂博矿区</w:t>
      </w:r>
      <w:r>
        <w:rPr>
          <w:rFonts w:hint="eastAsia"/>
          <w:lang w:val="en-US"/>
        </w:rPr>
        <w:t>划定</w:t>
      </w:r>
      <w:r>
        <w:rPr>
          <w:rFonts w:hint="eastAsia"/>
        </w:rPr>
        <w:t>生态保护红线面积0.0718平方千米，</w:t>
      </w:r>
      <w:r>
        <w:rPr>
          <w:rFonts w:hint="eastAsia"/>
          <w:lang w:val="en-US"/>
        </w:rPr>
        <w:t>包括</w:t>
      </w:r>
      <w:r>
        <w:rPr>
          <w:rFonts w:hint="eastAsia"/>
        </w:rPr>
        <w:t>饮用水源地、防风固沙功能区等，主要分布在乌兰索木河流域沿线。</w:t>
      </w:r>
    </w:p>
    <w:p w14:paraId="26B272BA">
      <w:pPr>
        <w:spacing w:after="166"/>
        <w:ind w:firstLine="500"/>
        <w:rPr>
          <w:lang w:val="en-US"/>
        </w:rPr>
      </w:pPr>
      <w:r>
        <w:rPr>
          <w:rFonts w:hint="eastAsia"/>
          <w:lang w:val="en-US"/>
        </w:rPr>
        <w:t>本次规划范围内不涉及</w:t>
      </w:r>
      <w:r>
        <w:rPr>
          <w:rFonts w:hint="eastAsia"/>
        </w:rPr>
        <w:t>生态保护红线</w:t>
      </w:r>
      <w:r>
        <w:rPr>
          <w:rFonts w:hint="eastAsia"/>
          <w:lang w:val="en-US"/>
        </w:rPr>
        <w:t>。</w:t>
      </w:r>
    </w:p>
    <w:p w14:paraId="1EE01511">
      <w:pPr>
        <w:pStyle w:val="6"/>
        <w:numPr>
          <w:ilvl w:val="-1"/>
          <w:numId w:val="0"/>
        </w:numPr>
        <w:bidi w:val="0"/>
        <w:ind w:left="0" w:firstLine="0"/>
        <w:rPr>
          <w:rFonts w:hint="eastAsia"/>
        </w:rPr>
      </w:pPr>
      <w:r>
        <w:rPr>
          <w:rFonts w:hint="eastAsia"/>
          <w:lang w:val="en-US"/>
        </w:rPr>
        <w:t>②</w:t>
      </w:r>
      <w:r>
        <w:rPr>
          <w:rFonts w:hint="eastAsia"/>
        </w:rPr>
        <w:t>永久基本农田保护红线</w:t>
      </w:r>
    </w:p>
    <w:p w14:paraId="76A56DAC">
      <w:pPr>
        <w:spacing w:after="166"/>
        <w:ind w:firstLine="500"/>
      </w:pPr>
      <w:r>
        <w:rPr>
          <w:rFonts w:hint="eastAsia"/>
        </w:rPr>
        <w:t>根据</w:t>
      </w:r>
      <w:r>
        <w:rPr>
          <w:rFonts w:hint="eastAsia"/>
          <w:lang w:val="en-US"/>
        </w:rPr>
        <w:t>总体规划</w:t>
      </w:r>
      <w:r>
        <w:rPr>
          <w:rFonts w:hint="eastAsia"/>
        </w:rPr>
        <w:t>，白云鄂博矿区</w:t>
      </w:r>
      <w:r>
        <w:rPr>
          <w:rFonts w:hint="eastAsia"/>
          <w:lang w:val="en-US"/>
        </w:rPr>
        <w:t>无耕地纳入</w:t>
      </w:r>
      <w:r>
        <w:rPr>
          <w:rFonts w:hint="eastAsia"/>
        </w:rPr>
        <w:t>耕地保护目标，未划定永久基本农田保护线。</w:t>
      </w:r>
    </w:p>
    <w:p w14:paraId="2BD60B9B">
      <w:pPr>
        <w:spacing w:after="166"/>
        <w:ind w:firstLine="500"/>
        <w:rPr>
          <w:lang w:val="en-US"/>
        </w:rPr>
      </w:pPr>
      <w:r>
        <w:rPr>
          <w:rFonts w:hint="eastAsia"/>
          <w:lang w:val="en-US"/>
        </w:rPr>
        <w:t>本次规划范围内不涉及永久基本农田保护红线。</w:t>
      </w:r>
    </w:p>
    <w:p w14:paraId="2CA8D0BD">
      <w:pPr>
        <w:pStyle w:val="6"/>
        <w:numPr>
          <w:ilvl w:val="-1"/>
          <w:numId w:val="0"/>
        </w:numPr>
        <w:bidi w:val="0"/>
        <w:ind w:left="0" w:firstLine="0"/>
        <w:rPr>
          <w:rFonts w:hint="eastAsia"/>
        </w:rPr>
      </w:pPr>
      <w:r>
        <w:rPr>
          <w:rFonts w:hint="eastAsia"/>
          <w:lang w:val="en-US"/>
        </w:rPr>
        <w:t>③</w:t>
      </w:r>
      <w:r>
        <w:rPr>
          <w:rFonts w:hint="eastAsia"/>
        </w:rPr>
        <w:t>城镇开发边界</w:t>
      </w:r>
    </w:p>
    <w:p w14:paraId="7BFB2B52">
      <w:pPr>
        <w:spacing w:after="166"/>
        <w:ind w:firstLine="500"/>
      </w:pPr>
      <w:r>
        <w:rPr>
          <w:rFonts w:hint="eastAsia"/>
        </w:rPr>
        <w:t>根据</w:t>
      </w:r>
      <w:r>
        <w:rPr>
          <w:rFonts w:hint="eastAsia"/>
          <w:lang w:val="en-US"/>
        </w:rPr>
        <w:t>总体规划</w:t>
      </w:r>
      <w:r>
        <w:rPr>
          <w:rFonts w:hint="eastAsia"/>
        </w:rPr>
        <w:t>，以1.4997倍的城镇开发边界扩展倍数划定城镇开发边界，全部为城镇集中建设区。</w:t>
      </w:r>
    </w:p>
    <w:p w14:paraId="75D6B506">
      <w:pPr>
        <w:spacing w:after="166"/>
        <w:ind w:firstLine="500"/>
        <w:rPr>
          <w:lang w:val="en-US"/>
        </w:rPr>
      </w:pPr>
      <w:r>
        <w:rPr>
          <w:rFonts w:hint="eastAsia"/>
          <w:lang w:val="en-US"/>
        </w:rPr>
        <w:t>本次规划范围内涉及6.38平方千米城镇开发边界。</w:t>
      </w:r>
    </w:p>
    <w:p w14:paraId="2AFDF9D4">
      <w:pPr>
        <w:pStyle w:val="13"/>
        <w:spacing w:after="0" w:afterLines="0"/>
        <w:ind w:firstLine="0" w:firstLineChars="0"/>
        <w:rPr>
          <w:lang w:val="en-US"/>
        </w:rPr>
      </w:pPr>
      <w:r>
        <w:drawing>
          <wp:inline distT="0" distB="0" distL="114300" distR="114300">
            <wp:extent cx="5271770" cy="4366260"/>
            <wp:effectExtent l="0" t="0" r="5080" b="15240"/>
            <wp:docPr id="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
                    <pic:cNvPicPr>
                      <a:picLocks noChangeAspect="1"/>
                    </pic:cNvPicPr>
                  </pic:nvPicPr>
                  <pic:blipFill>
                    <a:blip r:embed="rId30"/>
                    <a:stretch>
                      <a:fillRect/>
                    </a:stretch>
                  </pic:blipFill>
                  <pic:spPr>
                    <a:xfrm>
                      <a:off x="0" y="0"/>
                      <a:ext cx="5271770" cy="4366260"/>
                    </a:xfrm>
                    <a:prstGeom prst="rect">
                      <a:avLst/>
                    </a:prstGeom>
                    <a:noFill/>
                    <a:ln>
                      <a:noFill/>
                    </a:ln>
                  </pic:spPr>
                </pic:pic>
              </a:graphicData>
            </a:graphic>
          </wp:inline>
        </w:drawing>
      </w:r>
    </w:p>
    <w:p w14:paraId="22E41DE3">
      <w:pPr>
        <w:pStyle w:val="268"/>
        <w:spacing w:before="166" w:after="166"/>
      </w:pPr>
      <w:r>
        <w:rPr>
          <w:rFonts w:hint="eastAsia"/>
          <w:lang w:val="en-US"/>
        </w:rPr>
        <w:t>图3-1  规划范围城镇开发边界图</w:t>
      </w:r>
    </w:p>
    <w:p w14:paraId="0C6F7B7F">
      <w:pPr>
        <w:pStyle w:val="5"/>
        <w:numPr>
          <w:ilvl w:val="0"/>
          <w:numId w:val="9"/>
        </w:numPr>
        <w:spacing w:after="166"/>
      </w:pPr>
      <w:r>
        <w:rPr>
          <w:rFonts w:hint="eastAsia"/>
        </w:rPr>
        <w:t>城市控制线</w:t>
      </w:r>
    </w:p>
    <w:p w14:paraId="1E0A283E">
      <w:pPr>
        <w:pStyle w:val="6"/>
        <w:numPr>
          <w:ilvl w:val="-1"/>
          <w:numId w:val="0"/>
        </w:numPr>
        <w:bidi w:val="0"/>
        <w:ind w:left="0" w:firstLine="0"/>
        <w:rPr>
          <w:rFonts w:hint="eastAsia"/>
          <w:lang w:val="en-US"/>
        </w:rPr>
      </w:pPr>
      <w:r>
        <w:rPr>
          <w:rFonts w:hint="eastAsia"/>
          <w:lang w:val="en-US"/>
        </w:rPr>
        <w:t>①城市绿</w:t>
      </w:r>
      <w:r>
        <w:rPr>
          <w:rFonts w:hint="eastAsia"/>
        </w:rPr>
        <w:t>线</w:t>
      </w:r>
    </w:p>
    <w:p w14:paraId="0515ADA3">
      <w:pPr>
        <w:spacing w:after="166"/>
        <w:ind w:firstLine="500"/>
        <w:rPr>
          <w:lang w:val="en-US"/>
        </w:rPr>
      </w:pPr>
      <w:r>
        <w:rPr>
          <w:rFonts w:hint="eastAsia"/>
        </w:rPr>
        <w:t>根据</w:t>
      </w:r>
      <w:r>
        <w:rPr>
          <w:rFonts w:hint="eastAsia"/>
          <w:lang w:val="en-US"/>
        </w:rPr>
        <w:t>总体规划</w:t>
      </w:r>
      <w:r>
        <w:rPr>
          <w:rFonts w:hint="eastAsia"/>
        </w:rPr>
        <w:t>，白云鄂博矿区中心城区</w:t>
      </w:r>
      <w:r>
        <w:rPr>
          <w:rFonts w:hint="eastAsia"/>
          <w:lang w:val="en-US"/>
        </w:rPr>
        <w:t>将面积大于等于2公顷的现状与规划公园绿地、结构性绿地、湿地公园等纳入城市绿线管控，中心城区城市绿线总面积147.56公顷。在总规模不减少前提下，中心城区城市绿线的具体边界、定位可在详细规划编制和实施中落实。</w:t>
      </w:r>
    </w:p>
    <w:p w14:paraId="72D95182">
      <w:pPr>
        <w:spacing w:after="166"/>
        <w:ind w:firstLine="500"/>
      </w:pPr>
      <w:r>
        <w:rPr>
          <w:rFonts w:hint="eastAsia"/>
          <w:lang w:val="en-US"/>
        </w:rPr>
        <w:t>本次规划范围内涉及143.81公顷城市绿线，本规划落实划定174.87公顷城市绿线，</w:t>
      </w:r>
      <w:r>
        <w:rPr>
          <w:rFonts w:hint="eastAsia"/>
        </w:rPr>
        <w:t>主要包括</w:t>
      </w:r>
      <w:r>
        <w:rPr>
          <w:rFonts w:hint="eastAsia"/>
          <w:highlight w:val="none"/>
          <w:lang w:val="en-US"/>
        </w:rPr>
        <w:t>丁香园、湿地公园、矿山公园等公共绿地</w:t>
      </w:r>
      <w:r>
        <w:rPr>
          <w:rFonts w:hint="eastAsia"/>
        </w:rPr>
        <w:t>。</w:t>
      </w:r>
    </w:p>
    <w:p w14:paraId="1D9636B0">
      <w:pPr>
        <w:pStyle w:val="6"/>
        <w:numPr>
          <w:ilvl w:val="-1"/>
          <w:numId w:val="0"/>
        </w:numPr>
        <w:bidi w:val="0"/>
        <w:ind w:left="0" w:firstLine="0"/>
        <w:rPr>
          <w:rFonts w:hint="eastAsia"/>
          <w:lang w:val="en-US"/>
        </w:rPr>
      </w:pPr>
      <w:r>
        <w:rPr>
          <w:rFonts w:hint="eastAsia"/>
          <w:lang w:val="en-US"/>
        </w:rPr>
        <w:t>②城市黄线</w:t>
      </w:r>
    </w:p>
    <w:p w14:paraId="6581F581">
      <w:pPr>
        <w:spacing w:after="166"/>
        <w:ind w:firstLine="500"/>
        <w:rPr>
          <w:lang w:val="en-US"/>
        </w:rPr>
      </w:pPr>
      <w:r>
        <w:rPr>
          <w:rFonts w:hint="eastAsia"/>
        </w:rPr>
        <w:t>根据</w:t>
      </w:r>
      <w:r>
        <w:rPr>
          <w:rFonts w:hint="eastAsia"/>
          <w:lang w:val="en-US"/>
        </w:rPr>
        <w:t>总体规划</w:t>
      </w:r>
      <w:r>
        <w:rPr>
          <w:rFonts w:hint="eastAsia"/>
        </w:rPr>
        <w:t>，白云鄂博矿区中心城区城市黄线总面积74.12公顷，</w:t>
      </w:r>
      <w:r>
        <w:rPr>
          <w:rFonts w:hint="eastAsia"/>
          <w:lang w:val="en-US"/>
        </w:rPr>
        <w:t>在总规模不减少前提下，中心城区城市黄线的具体边界、定位可在详细规划编制和实施中落实。</w:t>
      </w:r>
    </w:p>
    <w:p w14:paraId="46B92EAA">
      <w:pPr>
        <w:spacing w:after="166"/>
        <w:ind w:firstLine="500"/>
      </w:pPr>
      <w:r>
        <w:rPr>
          <w:rFonts w:hint="eastAsia"/>
          <w:lang w:val="en-US"/>
        </w:rPr>
        <w:t>本次规划范围内涉及43.50公顷城市黄线，本规划落实划定44.02公顷城市黄线，具体包括火车站、汽车客运站、热源厂、供热站、环卫综合体、消防站、邮政支局等设施用地</w:t>
      </w:r>
      <w:r>
        <w:rPr>
          <w:rFonts w:hint="eastAsia"/>
        </w:rPr>
        <w:t>。</w:t>
      </w:r>
    </w:p>
    <w:p w14:paraId="6C1DA542">
      <w:pPr>
        <w:pStyle w:val="6"/>
        <w:numPr>
          <w:ilvl w:val="-1"/>
          <w:numId w:val="0"/>
        </w:numPr>
        <w:bidi w:val="0"/>
        <w:ind w:left="0" w:firstLine="0"/>
        <w:rPr>
          <w:rFonts w:hint="eastAsia"/>
          <w:lang w:val="en-US"/>
        </w:rPr>
      </w:pPr>
      <w:r>
        <w:rPr>
          <w:rFonts w:hint="eastAsia"/>
          <w:lang w:val="en-US"/>
        </w:rPr>
        <w:t>③城市蓝线</w:t>
      </w:r>
    </w:p>
    <w:p w14:paraId="69ED4B28">
      <w:pPr>
        <w:spacing w:after="166"/>
        <w:ind w:firstLine="500"/>
      </w:pPr>
      <w:r>
        <w:rPr>
          <w:rFonts w:hint="eastAsia"/>
        </w:rPr>
        <w:t>根据</w:t>
      </w:r>
      <w:r>
        <w:rPr>
          <w:rFonts w:hint="eastAsia"/>
          <w:lang w:val="en-US"/>
        </w:rPr>
        <w:t>总体规划</w:t>
      </w:r>
      <w:r>
        <w:rPr>
          <w:rFonts w:hint="eastAsia"/>
        </w:rPr>
        <w:t>，白云鄂博矿区中心城区暂无需划定蓝线管控的用地，</w:t>
      </w:r>
      <w:r>
        <w:rPr>
          <w:rFonts w:hint="eastAsia"/>
          <w:lang w:val="en-US"/>
        </w:rPr>
        <w:t>未划定城市蓝线</w:t>
      </w:r>
      <w:r>
        <w:rPr>
          <w:rFonts w:hint="eastAsia"/>
        </w:rPr>
        <w:t>。</w:t>
      </w:r>
    </w:p>
    <w:p w14:paraId="3002C74B">
      <w:pPr>
        <w:spacing w:after="166"/>
        <w:ind w:firstLine="500"/>
        <w:rPr>
          <w:lang w:val="en-US"/>
        </w:rPr>
      </w:pPr>
      <w:r>
        <w:rPr>
          <w:rFonts w:hint="eastAsia"/>
          <w:lang w:val="en-US"/>
        </w:rPr>
        <w:t>本次规划范围内不涉及城市蓝线。</w:t>
      </w:r>
    </w:p>
    <w:p w14:paraId="15D22F95">
      <w:pPr>
        <w:pStyle w:val="6"/>
        <w:numPr>
          <w:ilvl w:val="-1"/>
          <w:numId w:val="0"/>
        </w:numPr>
        <w:bidi w:val="0"/>
        <w:ind w:left="0" w:firstLine="0"/>
        <w:rPr>
          <w:rFonts w:hint="eastAsia"/>
          <w:lang w:val="en-US"/>
        </w:rPr>
      </w:pPr>
      <w:r>
        <w:rPr>
          <w:rFonts w:hint="eastAsia"/>
          <w:lang w:val="en-US"/>
        </w:rPr>
        <w:t>④城市紫线</w:t>
      </w:r>
    </w:p>
    <w:p w14:paraId="60127ACE">
      <w:pPr>
        <w:spacing w:after="166"/>
        <w:ind w:firstLine="500"/>
      </w:pPr>
      <w:r>
        <w:rPr>
          <w:rFonts w:hint="eastAsia"/>
        </w:rPr>
        <w:t>根据</w:t>
      </w:r>
      <w:r>
        <w:rPr>
          <w:rFonts w:hint="eastAsia"/>
          <w:lang w:val="en-US"/>
        </w:rPr>
        <w:t>总体规划</w:t>
      </w:r>
      <w:r>
        <w:rPr>
          <w:rFonts w:hint="eastAsia"/>
        </w:rPr>
        <w:t>，白云鄂博矿区中心城区暂无需划定</w:t>
      </w:r>
      <w:r>
        <w:rPr>
          <w:rFonts w:hint="eastAsia"/>
          <w:lang w:val="en-US"/>
        </w:rPr>
        <w:t>紫</w:t>
      </w:r>
      <w:r>
        <w:rPr>
          <w:rFonts w:hint="eastAsia"/>
        </w:rPr>
        <w:t>线管控的用地，</w:t>
      </w:r>
      <w:r>
        <w:rPr>
          <w:rFonts w:hint="eastAsia"/>
          <w:lang w:val="en-US"/>
        </w:rPr>
        <w:t>未划定城市紫线</w:t>
      </w:r>
      <w:r>
        <w:rPr>
          <w:rFonts w:hint="eastAsia"/>
        </w:rPr>
        <w:t>。</w:t>
      </w:r>
    </w:p>
    <w:p w14:paraId="0BAE8D61">
      <w:pPr>
        <w:spacing w:after="166"/>
        <w:ind w:firstLine="500"/>
        <w:rPr>
          <w:lang w:val="en-US"/>
        </w:rPr>
      </w:pPr>
      <w:r>
        <w:rPr>
          <w:rFonts w:hint="eastAsia"/>
          <w:lang w:val="en-US"/>
        </w:rPr>
        <w:t>本次规划范围内不涉及城市紫线。</w:t>
      </w:r>
    </w:p>
    <w:p w14:paraId="24B68B47">
      <w:pPr>
        <w:pStyle w:val="5"/>
        <w:numPr>
          <w:ilvl w:val="0"/>
          <w:numId w:val="9"/>
        </w:numPr>
        <w:spacing w:after="166"/>
      </w:pPr>
      <w:r>
        <w:rPr>
          <w:rFonts w:hint="eastAsia"/>
        </w:rPr>
        <w:t>其他控制线</w:t>
      </w:r>
    </w:p>
    <w:p w14:paraId="2466B6F3">
      <w:pPr>
        <w:pStyle w:val="6"/>
        <w:numPr>
          <w:ilvl w:val="-1"/>
          <w:numId w:val="0"/>
        </w:numPr>
        <w:bidi w:val="0"/>
        <w:ind w:left="0" w:firstLine="0"/>
        <w:rPr>
          <w:rFonts w:hint="eastAsia"/>
          <w:lang w:val="en-US"/>
        </w:rPr>
      </w:pPr>
      <w:r>
        <w:rPr>
          <w:rFonts w:hint="eastAsia"/>
          <w:lang w:val="en-US"/>
        </w:rPr>
        <w:t>①工业用地控制线</w:t>
      </w:r>
    </w:p>
    <w:p w14:paraId="3A6B8AA1">
      <w:pPr>
        <w:spacing w:after="166"/>
        <w:ind w:firstLine="500"/>
      </w:pPr>
      <w:r>
        <w:rPr>
          <w:rFonts w:hint="eastAsia"/>
        </w:rPr>
        <w:t>根据</w:t>
      </w:r>
      <w:r>
        <w:rPr>
          <w:rFonts w:hint="eastAsia"/>
          <w:lang w:val="en-US"/>
        </w:rPr>
        <w:t>总体规划</w:t>
      </w:r>
      <w:r>
        <w:rPr>
          <w:rFonts w:hint="eastAsia"/>
        </w:rPr>
        <w:t>，白云鄂博矿区共划定工业控制线1591.01公顷，约占全域总面积的6.42%，包含工业基础较好、集中成片的产业区块。</w:t>
      </w:r>
    </w:p>
    <w:p w14:paraId="48A77F52">
      <w:pPr>
        <w:spacing w:after="166"/>
        <w:ind w:firstLine="500"/>
        <w:rPr>
          <w:lang w:val="en-US"/>
        </w:rPr>
      </w:pPr>
      <w:r>
        <w:rPr>
          <w:rFonts w:hint="eastAsia"/>
          <w:lang w:val="en-US"/>
        </w:rPr>
        <w:t>本次规划范围内不涉及工业用地控制线。</w:t>
      </w:r>
    </w:p>
    <w:p w14:paraId="3FDAD418">
      <w:pPr>
        <w:pStyle w:val="6"/>
        <w:numPr>
          <w:ilvl w:val="-1"/>
          <w:numId w:val="0"/>
        </w:numPr>
        <w:bidi w:val="0"/>
        <w:ind w:left="0" w:firstLine="0"/>
        <w:rPr>
          <w:rFonts w:hint="eastAsia"/>
          <w:lang w:val="en-US"/>
        </w:rPr>
      </w:pPr>
      <w:r>
        <w:rPr>
          <w:rFonts w:hint="eastAsia"/>
          <w:lang w:val="en-US"/>
        </w:rPr>
        <w:t>②洪涝风险控制线</w:t>
      </w:r>
    </w:p>
    <w:p w14:paraId="473E09FA">
      <w:pPr>
        <w:spacing w:after="166"/>
        <w:ind w:firstLine="500"/>
      </w:pPr>
      <w:r>
        <w:rPr>
          <w:rFonts w:hint="eastAsia"/>
        </w:rPr>
        <w:t>根据</w:t>
      </w:r>
      <w:r>
        <w:rPr>
          <w:rFonts w:hint="eastAsia"/>
          <w:lang w:val="en-US"/>
        </w:rPr>
        <w:t>总体规划</w:t>
      </w:r>
      <w:r>
        <w:rPr>
          <w:rFonts w:hint="eastAsia"/>
        </w:rPr>
        <w:t>，白云鄂博矿区</w:t>
      </w:r>
      <w:r>
        <w:rPr>
          <w:rFonts w:hint="eastAsia"/>
          <w:lang w:val="en-US"/>
        </w:rPr>
        <w:t>依据</w:t>
      </w:r>
      <w:r>
        <w:rPr>
          <w:rFonts w:hint="eastAsia"/>
        </w:rPr>
        <w:t>境内河流的河湖管理范围确定洪涝风险控制</w:t>
      </w:r>
      <w:r>
        <w:rPr>
          <w:rFonts w:hint="eastAsia"/>
          <w:lang w:val="en-US"/>
        </w:rPr>
        <w:t>线</w:t>
      </w:r>
      <w:r>
        <w:rPr>
          <w:rFonts w:hint="eastAsia"/>
        </w:rPr>
        <w:t>，最终划定洪涝风险控制线514.65公顷，约占全域总面积的2.08%。</w:t>
      </w:r>
    </w:p>
    <w:p w14:paraId="40D03C12">
      <w:pPr>
        <w:spacing w:after="166"/>
        <w:ind w:firstLine="500"/>
        <w:rPr>
          <w:lang w:val="en-US"/>
        </w:rPr>
      </w:pPr>
      <w:r>
        <w:rPr>
          <w:rFonts w:hint="eastAsia"/>
          <w:lang w:val="en-US"/>
        </w:rPr>
        <w:t>本次规划范围内不涉及</w:t>
      </w:r>
      <w:r>
        <w:rPr>
          <w:rFonts w:hint="eastAsia"/>
        </w:rPr>
        <w:t>洪涝风险控制线</w:t>
      </w:r>
      <w:r>
        <w:rPr>
          <w:rFonts w:hint="eastAsia"/>
          <w:lang w:val="en-US"/>
        </w:rPr>
        <w:t>。</w:t>
      </w:r>
    </w:p>
    <w:p w14:paraId="51FAA352">
      <w:pPr>
        <w:pStyle w:val="4"/>
        <w:numPr>
          <w:ilvl w:val="2"/>
          <w:numId w:val="5"/>
        </w:numPr>
        <w:spacing w:before="332" w:after="166"/>
      </w:pPr>
      <w:r>
        <w:rPr>
          <w:rFonts w:hint="eastAsia"/>
        </w:rPr>
        <w:t>指标传导</w:t>
      </w:r>
    </w:p>
    <w:p w14:paraId="6D42C5EF">
      <w:pPr>
        <w:pStyle w:val="5"/>
        <w:numPr>
          <w:ilvl w:val="0"/>
          <w:numId w:val="10"/>
        </w:numPr>
        <w:spacing w:after="166"/>
      </w:pPr>
      <w:r>
        <w:t>空间结构与效率</w:t>
      </w:r>
    </w:p>
    <w:p w14:paraId="78D791C5">
      <w:pPr>
        <w:pStyle w:val="6"/>
        <w:numPr>
          <w:ilvl w:val="4"/>
          <w:numId w:val="0"/>
        </w:numPr>
        <w:bidi w:val="0"/>
        <w:ind w:leftChars="0"/>
        <w:rPr>
          <w:rFonts w:hint="eastAsia"/>
          <w:lang w:val="en-US"/>
        </w:rPr>
      </w:pPr>
      <w:r>
        <w:rPr>
          <w:rFonts w:hint="eastAsia"/>
          <w:lang w:val="en-US"/>
        </w:rPr>
        <w:t>①常住人口规模（预期性指标）</w:t>
      </w:r>
    </w:p>
    <w:p w14:paraId="1F7F5FCF">
      <w:pPr>
        <w:spacing w:after="166"/>
        <w:ind w:firstLine="500"/>
      </w:pPr>
      <w:r>
        <w:rPr>
          <w:rFonts w:hint="eastAsia"/>
        </w:rPr>
        <w:t>根据</w:t>
      </w:r>
      <w:r>
        <w:rPr>
          <w:rFonts w:hint="eastAsia"/>
          <w:lang w:val="en-US"/>
        </w:rPr>
        <w:t>总体规划</w:t>
      </w:r>
      <w:r>
        <w:rPr>
          <w:rFonts w:hint="eastAsia"/>
        </w:rPr>
        <w:t>，</w:t>
      </w:r>
      <w:r>
        <w:rPr>
          <w:rFonts w:hint="eastAsia"/>
          <w:bCs/>
        </w:rPr>
        <w:t>到2025年白云鄂博矿区常住人口规模不低于2.5万人，到2035年白云鄂博矿区常住人口规模不低于3.0万人。</w:t>
      </w:r>
    </w:p>
    <w:p w14:paraId="3DBFF14F">
      <w:pPr>
        <w:widowControl/>
        <w:spacing w:after="166"/>
        <w:ind w:firstLine="500"/>
        <w:jc w:val="left"/>
        <w:rPr>
          <w:lang w:val="en-US"/>
        </w:rPr>
      </w:pPr>
      <w:r>
        <w:rPr>
          <w:rFonts w:hint="eastAsia"/>
          <w:lang w:val="en-US"/>
        </w:rPr>
        <w:t>本次规划予以落实，</w:t>
      </w:r>
      <w:r>
        <w:rPr>
          <w:rFonts w:hint="eastAsia"/>
          <w:lang w:val="en-US" w:bidi="ar"/>
        </w:rPr>
        <w:t>规划区内常住人口约3.0万人。</w:t>
      </w:r>
    </w:p>
    <w:p w14:paraId="10EDF773">
      <w:pPr>
        <w:pStyle w:val="6"/>
        <w:numPr>
          <w:ilvl w:val="4"/>
          <w:numId w:val="0"/>
        </w:numPr>
        <w:bidi w:val="0"/>
        <w:ind w:leftChars="0"/>
        <w:rPr>
          <w:rFonts w:hint="eastAsia"/>
          <w:lang w:val="en-US"/>
        </w:rPr>
      </w:pPr>
      <w:r>
        <w:rPr>
          <w:rFonts w:hint="eastAsia"/>
          <w:lang w:val="en-US"/>
        </w:rPr>
        <w:t>②人均城镇建设用地面积（约束性指标）</w:t>
      </w:r>
    </w:p>
    <w:p w14:paraId="671978C3">
      <w:pPr>
        <w:pStyle w:val="13"/>
        <w:snapToGrid w:val="0"/>
        <w:spacing w:after="166"/>
        <w:ind w:firstLine="500"/>
        <w:rPr>
          <w:rFonts w:ascii="Times New Roman" w:hAnsi="Times New Roman"/>
          <w:sz w:val="25"/>
          <w:szCs w:val="24"/>
          <w:lang w:val="en-US" w:bidi="ar"/>
        </w:rPr>
      </w:pPr>
      <w:r>
        <w:rPr>
          <w:rFonts w:hint="eastAsia" w:ascii="Times New Roman" w:hAnsi="Times New Roman"/>
          <w:sz w:val="25"/>
          <w:szCs w:val="24"/>
          <w:lang w:val="en-US" w:bidi="ar"/>
        </w:rPr>
        <w:t>根据总体规划，中心城区人均城镇建设用地面积至2025年不高于238.00平方米、至2035年不高于205平方米。</w:t>
      </w:r>
    </w:p>
    <w:p w14:paraId="3476D175">
      <w:pPr>
        <w:widowControl/>
        <w:spacing w:after="166"/>
        <w:ind w:firstLine="500"/>
        <w:jc w:val="left"/>
        <w:rPr>
          <w:lang w:val="en-US"/>
        </w:rPr>
      </w:pPr>
      <w:r>
        <w:rPr>
          <w:rFonts w:hint="eastAsia"/>
          <w:lang w:val="en-US"/>
        </w:rPr>
        <w:t>本次规划予以落实，</w:t>
      </w:r>
      <w:r>
        <w:rPr>
          <w:rFonts w:hint="eastAsia"/>
          <w:lang w:val="en-US" w:bidi="ar"/>
        </w:rPr>
        <w:t>规划期内</w:t>
      </w:r>
      <w:r>
        <w:rPr>
          <w:rFonts w:hint="eastAsia"/>
          <w:szCs w:val="24"/>
          <w:lang w:val="en-US" w:bidi="ar"/>
        </w:rPr>
        <w:t>人均城镇建设用地面积为200.92平方米</w:t>
      </w:r>
      <w:r>
        <w:rPr>
          <w:rFonts w:hint="eastAsia"/>
          <w:lang w:val="en-US" w:bidi="ar"/>
        </w:rPr>
        <w:t>。</w:t>
      </w:r>
    </w:p>
    <w:p w14:paraId="7B910B4A">
      <w:pPr>
        <w:pStyle w:val="6"/>
        <w:numPr>
          <w:ilvl w:val="4"/>
          <w:numId w:val="0"/>
        </w:numPr>
        <w:bidi w:val="0"/>
        <w:ind w:leftChars="0"/>
        <w:rPr>
          <w:rFonts w:hint="eastAsia"/>
          <w:lang w:val="en-US"/>
        </w:rPr>
      </w:pPr>
      <w:r>
        <w:rPr>
          <w:rFonts w:hint="eastAsia"/>
          <w:lang w:val="en-US"/>
        </w:rPr>
        <w:t>③人均应急避难场所面积（预期性指标）</w:t>
      </w:r>
    </w:p>
    <w:p w14:paraId="23591861">
      <w:pPr>
        <w:spacing w:after="166"/>
        <w:ind w:firstLine="500"/>
      </w:pPr>
      <w:r>
        <w:rPr>
          <w:rFonts w:hint="eastAsia"/>
          <w:szCs w:val="24"/>
          <w:lang w:val="en-US" w:bidi="ar"/>
        </w:rPr>
        <w:t>根据总体规划，中心城区</w:t>
      </w:r>
      <w:r>
        <w:rPr>
          <w:rFonts w:hint="eastAsia"/>
        </w:rPr>
        <w:t>人均应急避难场所面积</w:t>
      </w:r>
      <w:r>
        <w:rPr>
          <w:rFonts w:hint="eastAsia"/>
          <w:szCs w:val="24"/>
          <w:lang w:val="en-US" w:bidi="ar"/>
        </w:rPr>
        <w:t>至2025年不低于1.90平方米、至2035年不低于3平方米。</w:t>
      </w:r>
    </w:p>
    <w:p w14:paraId="24DA8715">
      <w:pPr>
        <w:spacing w:after="166"/>
        <w:ind w:firstLine="500"/>
      </w:pPr>
      <w:r>
        <w:rPr>
          <w:rFonts w:hint="eastAsia"/>
          <w:lang w:val="en-US"/>
        </w:rPr>
        <w:t>本次规划予以落实，</w:t>
      </w:r>
      <w:r>
        <w:rPr>
          <w:rFonts w:hint="eastAsia"/>
          <w:lang w:val="en-US" w:bidi="ar"/>
        </w:rPr>
        <w:t>规划期内</w:t>
      </w:r>
      <w:r>
        <w:rPr>
          <w:rFonts w:hint="eastAsia"/>
        </w:rPr>
        <w:t>人均应急避难场所面积</w:t>
      </w:r>
      <w:r>
        <w:rPr>
          <w:rFonts w:hint="eastAsia"/>
          <w:lang w:val="en-US"/>
        </w:rPr>
        <w:t>达到</w:t>
      </w:r>
      <w:r>
        <w:rPr>
          <w:lang w:val="en-US"/>
        </w:rPr>
        <w:t>3</w:t>
      </w:r>
      <w:r>
        <w:rPr>
          <w:szCs w:val="24"/>
          <w:highlight w:val="none"/>
          <w:lang w:val="en-US" w:bidi="ar"/>
        </w:rPr>
        <w:t>.00</w:t>
      </w:r>
      <w:r>
        <w:rPr>
          <w:rFonts w:hint="eastAsia"/>
        </w:rPr>
        <w:t>平方米。</w:t>
      </w:r>
    </w:p>
    <w:p w14:paraId="7F87EF06">
      <w:pPr>
        <w:pStyle w:val="6"/>
        <w:numPr>
          <w:ilvl w:val="4"/>
          <w:numId w:val="0"/>
        </w:numPr>
        <w:bidi w:val="0"/>
        <w:ind w:leftChars="0"/>
        <w:rPr>
          <w:rFonts w:hint="eastAsia"/>
          <w:lang w:val="en-US"/>
        </w:rPr>
      </w:pPr>
      <w:r>
        <w:rPr>
          <w:rFonts w:hint="eastAsia"/>
          <w:lang w:val="en-US"/>
        </w:rPr>
        <w:t>④道路网密度（预期性指标）</w:t>
      </w:r>
    </w:p>
    <w:p w14:paraId="45A60F31">
      <w:pPr>
        <w:spacing w:after="166"/>
        <w:ind w:firstLine="500"/>
      </w:pPr>
      <w:r>
        <w:rPr>
          <w:rFonts w:hint="eastAsia"/>
          <w:szCs w:val="24"/>
          <w:lang w:val="en-US" w:bidi="ar"/>
        </w:rPr>
        <w:t>根据总体规划，中心城区</w:t>
      </w:r>
      <w:r>
        <w:rPr>
          <w:rFonts w:hint="eastAsia"/>
        </w:rPr>
        <w:t>道路网密度至2025年</w:t>
      </w:r>
      <w:r>
        <w:rPr>
          <w:rFonts w:hint="eastAsia"/>
          <w:lang w:val="en-US"/>
        </w:rPr>
        <w:t>应</w:t>
      </w:r>
      <w:r>
        <w:rPr>
          <w:rFonts w:hint="eastAsia"/>
        </w:rPr>
        <w:t>达到2.20千米/平方千米以上、至2035年</w:t>
      </w:r>
      <w:r>
        <w:rPr>
          <w:rFonts w:hint="eastAsia"/>
          <w:lang w:val="en-US"/>
        </w:rPr>
        <w:t>应</w:t>
      </w:r>
      <w:r>
        <w:rPr>
          <w:rFonts w:hint="eastAsia"/>
        </w:rPr>
        <w:t>达到3.00千米/平方千米以上。</w:t>
      </w:r>
    </w:p>
    <w:p w14:paraId="0659C33C">
      <w:pPr>
        <w:spacing w:after="166"/>
        <w:ind w:firstLine="500"/>
      </w:pPr>
      <w:r>
        <w:rPr>
          <w:rFonts w:hint="eastAsia"/>
          <w:lang w:val="en-US"/>
        </w:rPr>
        <w:t>本次规划予以落实，</w:t>
      </w:r>
      <w:r>
        <w:rPr>
          <w:rFonts w:hint="eastAsia"/>
          <w:lang w:val="en-US" w:bidi="ar"/>
        </w:rPr>
        <w:t>规划期内</w:t>
      </w:r>
      <w:r>
        <w:rPr>
          <w:rFonts w:hint="eastAsia"/>
        </w:rPr>
        <w:t>道路网密度</w:t>
      </w:r>
      <w:r>
        <w:rPr>
          <w:rFonts w:hint="eastAsia"/>
          <w:lang w:val="en-US"/>
        </w:rPr>
        <w:t>达到</w:t>
      </w:r>
      <w:r>
        <w:rPr>
          <w:rFonts w:hint="eastAsia"/>
          <w:szCs w:val="24"/>
          <w:lang w:val="en-US" w:bidi="ar"/>
        </w:rPr>
        <w:t>5.34</w:t>
      </w:r>
      <w:r>
        <w:rPr>
          <w:rFonts w:hint="eastAsia"/>
        </w:rPr>
        <w:t>千米/平方千米。</w:t>
      </w:r>
    </w:p>
    <w:p w14:paraId="6CADFA4D">
      <w:pPr>
        <w:pStyle w:val="5"/>
        <w:numPr>
          <w:ilvl w:val="0"/>
          <w:numId w:val="10"/>
        </w:numPr>
        <w:spacing w:after="166"/>
      </w:pPr>
      <w:r>
        <w:t>空间</w:t>
      </w:r>
      <w:r>
        <w:rPr>
          <w:rFonts w:hint="eastAsia"/>
        </w:rPr>
        <w:t>品质</w:t>
      </w:r>
    </w:p>
    <w:p w14:paraId="189BCF77">
      <w:pPr>
        <w:pStyle w:val="6"/>
        <w:numPr>
          <w:ilvl w:val="4"/>
          <w:numId w:val="0"/>
        </w:numPr>
        <w:bidi w:val="0"/>
        <w:ind w:leftChars="0"/>
        <w:rPr>
          <w:rFonts w:hint="eastAsia"/>
          <w:lang w:val="en-US"/>
        </w:rPr>
      </w:pPr>
      <w:r>
        <w:rPr>
          <w:rFonts w:hint="eastAsia"/>
          <w:lang w:val="en-US"/>
        </w:rPr>
        <w:t>①公园绿地、广场步行5分钟覆盖率（约束性指标）</w:t>
      </w:r>
    </w:p>
    <w:p w14:paraId="75AE392F">
      <w:pPr>
        <w:spacing w:after="166"/>
        <w:ind w:firstLine="500"/>
        <w:rPr>
          <w:szCs w:val="24"/>
          <w:lang w:val="en-US" w:bidi="ar"/>
        </w:rPr>
      </w:pPr>
      <w:r>
        <w:rPr>
          <w:rFonts w:hint="eastAsia"/>
          <w:szCs w:val="24"/>
          <w:lang w:val="en-US" w:bidi="ar"/>
        </w:rPr>
        <w:t>根据总体规划，中心城区</w:t>
      </w:r>
      <w:r>
        <w:rPr>
          <w:rFonts w:hint="eastAsia"/>
        </w:rPr>
        <w:t>公园绿地、广场步行5分钟覆盖率</w:t>
      </w:r>
      <w:r>
        <w:rPr>
          <w:rFonts w:hint="eastAsia"/>
          <w:szCs w:val="24"/>
          <w:lang w:val="en-US" w:bidi="ar"/>
        </w:rPr>
        <w:t>至2025年不低于58.00%、至2035年不低于60%。</w:t>
      </w:r>
    </w:p>
    <w:p w14:paraId="04B1014B">
      <w:pPr>
        <w:spacing w:after="166"/>
        <w:ind w:firstLine="500"/>
      </w:pPr>
      <w:r>
        <w:rPr>
          <w:rFonts w:hint="eastAsia"/>
          <w:lang w:val="en-US"/>
        </w:rPr>
        <w:t>本次规划予以落实，</w:t>
      </w:r>
      <w:r>
        <w:rPr>
          <w:rFonts w:hint="eastAsia"/>
          <w:lang w:val="en-US" w:bidi="ar"/>
        </w:rPr>
        <w:t>规划期内</w:t>
      </w:r>
      <w:r>
        <w:rPr>
          <w:rFonts w:hint="eastAsia"/>
        </w:rPr>
        <w:t>公园绿地、广场步行5分钟覆盖率</w:t>
      </w:r>
      <w:r>
        <w:rPr>
          <w:rFonts w:hint="eastAsia"/>
          <w:szCs w:val="24"/>
          <w:lang w:val="en-US" w:bidi="ar"/>
        </w:rPr>
        <w:t>为86.15</w:t>
      </w:r>
      <w:r>
        <w:rPr>
          <w:rFonts w:hint="eastAsia"/>
        </w:rPr>
        <w:t>%。</w:t>
      </w:r>
    </w:p>
    <w:p w14:paraId="7394485F">
      <w:pPr>
        <w:pStyle w:val="6"/>
        <w:numPr>
          <w:ilvl w:val="4"/>
          <w:numId w:val="0"/>
        </w:numPr>
        <w:bidi w:val="0"/>
        <w:ind w:leftChars="0"/>
        <w:rPr>
          <w:rFonts w:hint="eastAsia"/>
          <w:lang w:val="en-US"/>
        </w:rPr>
      </w:pPr>
      <w:r>
        <w:rPr>
          <w:rFonts w:hint="eastAsia"/>
          <w:lang w:val="en-US"/>
        </w:rPr>
        <w:t>②卫生、养老、教育、文化、体育等社区公共服务设施步行15分钟覆盖率（预期性指标）</w:t>
      </w:r>
    </w:p>
    <w:p w14:paraId="6CFB14A6">
      <w:pPr>
        <w:pStyle w:val="13"/>
        <w:snapToGrid w:val="0"/>
        <w:spacing w:after="166"/>
        <w:ind w:firstLine="500"/>
        <w:rPr>
          <w:rFonts w:ascii="Times New Roman" w:hAnsi="Times New Roman"/>
          <w:bCs/>
          <w:sz w:val="25"/>
          <w:szCs w:val="25"/>
        </w:rPr>
      </w:pPr>
      <w:r>
        <w:rPr>
          <w:rFonts w:hint="eastAsia" w:ascii="Times New Roman" w:hAnsi="Times New Roman"/>
          <w:sz w:val="25"/>
          <w:szCs w:val="24"/>
          <w:lang w:val="en-US" w:bidi="ar"/>
        </w:rPr>
        <w:t>根据总体规划，中心城</w:t>
      </w:r>
      <w:r>
        <w:rPr>
          <w:rFonts w:hint="eastAsia" w:ascii="Times New Roman" w:hAnsi="Times New Roman"/>
          <w:sz w:val="25"/>
          <w:szCs w:val="24"/>
          <w:lang w:val="en-US"/>
        </w:rPr>
        <w:t>区卫生、养老、教育、文化、体育设施步行15分钟覆盖率至2025年分别不低于82.00%、42.00%、99.50%、75.00%、65.00%，至2035年分别不低于85.00%、43.20%、99.70%、90.00%、86.40%。</w:t>
      </w:r>
    </w:p>
    <w:p w14:paraId="636E8D2F">
      <w:pPr>
        <w:spacing w:after="166"/>
        <w:ind w:firstLine="500"/>
        <w:rPr>
          <w:lang w:val="en-US"/>
        </w:rPr>
      </w:pPr>
      <w:r>
        <w:rPr>
          <w:rFonts w:hint="eastAsia"/>
          <w:lang w:val="en-US"/>
        </w:rPr>
        <w:t>本次规划予以落实，规划期内医疗卫生设施、养老设施、教育设施、文化设施、体育设施步行15分钟覆盖率达到总体规划要求，均达到100%覆盖率</w:t>
      </w:r>
      <w:r>
        <w:rPr>
          <w:rFonts w:hint="eastAsia"/>
          <w:szCs w:val="24"/>
          <w:lang w:val="en-US"/>
        </w:rPr>
        <w:t>。</w:t>
      </w:r>
    </w:p>
    <w:p w14:paraId="746AAFD4">
      <w:pPr>
        <w:pStyle w:val="6"/>
        <w:numPr>
          <w:ilvl w:val="4"/>
          <w:numId w:val="0"/>
        </w:numPr>
        <w:bidi w:val="0"/>
        <w:ind w:leftChars="0"/>
        <w:rPr>
          <w:rFonts w:hint="eastAsia"/>
          <w:lang w:val="en-US"/>
        </w:rPr>
      </w:pPr>
      <w:r>
        <w:rPr>
          <w:rFonts w:hint="eastAsia"/>
          <w:lang w:val="en-US"/>
        </w:rPr>
        <w:t>③人均体育用地面积（预期性指标）</w:t>
      </w:r>
    </w:p>
    <w:p w14:paraId="4E3F9F69">
      <w:pPr>
        <w:spacing w:after="166"/>
        <w:ind w:firstLine="500"/>
      </w:pPr>
      <w:r>
        <w:rPr>
          <w:rFonts w:hint="eastAsia"/>
          <w:szCs w:val="24"/>
          <w:lang w:val="en-US" w:bidi="ar"/>
        </w:rPr>
        <w:t>根据总体规划，中心城区</w:t>
      </w:r>
      <w:r>
        <w:rPr>
          <w:rFonts w:hint="eastAsia"/>
        </w:rPr>
        <w:t>人均体育用地面积</w:t>
      </w:r>
      <w:r>
        <w:rPr>
          <w:rFonts w:hint="eastAsia"/>
          <w:szCs w:val="24"/>
          <w:lang w:val="en-US" w:bidi="ar"/>
        </w:rPr>
        <w:t>至2025年不低于0.80平方米、至2035年不低于1.20平方米。</w:t>
      </w:r>
    </w:p>
    <w:p w14:paraId="0023B3F9">
      <w:pPr>
        <w:spacing w:after="166"/>
        <w:ind w:firstLine="500"/>
      </w:pPr>
      <w:r>
        <w:rPr>
          <w:rFonts w:hint="eastAsia"/>
          <w:lang w:val="en-US"/>
        </w:rPr>
        <w:t>本次规划予以落实，</w:t>
      </w:r>
      <w:r>
        <w:rPr>
          <w:rFonts w:hint="eastAsia"/>
          <w:lang w:val="en-US" w:bidi="ar"/>
        </w:rPr>
        <w:t>规划期内</w:t>
      </w:r>
      <w:r>
        <w:rPr>
          <w:rFonts w:hint="eastAsia"/>
        </w:rPr>
        <w:t>人均体育用地面积</w:t>
      </w:r>
      <w:r>
        <w:rPr>
          <w:rFonts w:hint="eastAsia"/>
          <w:szCs w:val="24"/>
          <w:lang w:val="en-US" w:bidi="ar"/>
        </w:rPr>
        <w:t>为1.34</w:t>
      </w:r>
      <w:r>
        <w:rPr>
          <w:rFonts w:hint="eastAsia"/>
        </w:rPr>
        <w:t>平方米。</w:t>
      </w:r>
    </w:p>
    <w:p w14:paraId="5CFD83B7">
      <w:pPr>
        <w:pStyle w:val="6"/>
        <w:numPr>
          <w:ilvl w:val="4"/>
          <w:numId w:val="0"/>
        </w:numPr>
        <w:bidi w:val="0"/>
        <w:ind w:leftChars="0"/>
        <w:rPr>
          <w:rFonts w:hint="eastAsia"/>
          <w:lang w:val="en-US"/>
        </w:rPr>
      </w:pPr>
      <w:r>
        <w:rPr>
          <w:rFonts w:hint="eastAsia"/>
          <w:lang w:val="en-US"/>
        </w:rPr>
        <w:t>④人均公园绿地面积（预期性指标）</w:t>
      </w:r>
    </w:p>
    <w:p w14:paraId="7A1B6D16">
      <w:pPr>
        <w:spacing w:after="166"/>
        <w:ind w:firstLine="500"/>
      </w:pPr>
      <w:r>
        <w:rPr>
          <w:rFonts w:hint="eastAsia"/>
          <w:szCs w:val="24"/>
          <w:lang w:val="en-US" w:bidi="ar"/>
        </w:rPr>
        <w:t>根据总体规划，中心城区</w:t>
      </w:r>
      <w:r>
        <w:rPr>
          <w:rFonts w:hint="eastAsia"/>
        </w:rPr>
        <w:t>人均公园绿地面积</w:t>
      </w:r>
      <w:r>
        <w:rPr>
          <w:rFonts w:hint="eastAsia"/>
          <w:szCs w:val="24"/>
          <w:lang w:val="en-US" w:bidi="ar"/>
        </w:rPr>
        <w:t>至2025年不低于58.00平方米、至2035年不低于49.00平方米。</w:t>
      </w:r>
    </w:p>
    <w:p w14:paraId="2885C9AB">
      <w:pPr>
        <w:spacing w:after="166"/>
        <w:ind w:firstLine="500"/>
      </w:pPr>
      <w:r>
        <w:rPr>
          <w:rFonts w:hint="eastAsia"/>
          <w:lang w:val="en-US"/>
        </w:rPr>
        <w:t>本次规划予以落实，</w:t>
      </w:r>
      <w:r>
        <w:rPr>
          <w:rFonts w:hint="eastAsia"/>
          <w:lang w:val="en-US" w:bidi="ar"/>
        </w:rPr>
        <w:t>规划期内</w:t>
      </w:r>
      <w:r>
        <w:rPr>
          <w:rFonts w:hint="eastAsia"/>
        </w:rPr>
        <w:t>人均公园绿地面积</w:t>
      </w:r>
      <w:r>
        <w:rPr>
          <w:rFonts w:hint="eastAsia"/>
          <w:szCs w:val="24"/>
          <w:lang w:val="en-US" w:bidi="ar"/>
        </w:rPr>
        <w:t>为54.31</w:t>
      </w:r>
      <w:r>
        <w:rPr>
          <w:rFonts w:hint="eastAsia"/>
        </w:rPr>
        <w:t>平方米。</w:t>
      </w:r>
    </w:p>
    <w:p w14:paraId="0B4D229C">
      <w:pPr>
        <w:pStyle w:val="6"/>
        <w:numPr>
          <w:ilvl w:val="4"/>
          <w:numId w:val="0"/>
        </w:numPr>
        <w:bidi w:val="0"/>
        <w:ind w:leftChars="0"/>
        <w:rPr>
          <w:rFonts w:hint="eastAsia"/>
          <w:lang w:val="en-US"/>
        </w:rPr>
      </w:pPr>
      <w:r>
        <w:rPr>
          <w:rFonts w:hint="eastAsia"/>
          <w:lang w:val="en-US"/>
        </w:rPr>
        <w:t>⑤绿色交通出行比例（预期性指标）</w:t>
      </w:r>
    </w:p>
    <w:p w14:paraId="0AFFE2DE">
      <w:pPr>
        <w:spacing w:after="166"/>
        <w:ind w:firstLine="500"/>
      </w:pPr>
      <w:r>
        <w:rPr>
          <w:rFonts w:hint="eastAsia"/>
          <w:szCs w:val="24"/>
          <w:lang w:val="en-US" w:bidi="ar"/>
        </w:rPr>
        <w:t>根据总体规划，中心城区</w:t>
      </w:r>
      <w:r>
        <w:rPr>
          <w:rFonts w:hint="eastAsia"/>
        </w:rPr>
        <w:t>绿色交通出行比例</w:t>
      </w:r>
      <w:r>
        <w:rPr>
          <w:rFonts w:hint="eastAsia"/>
          <w:szCs w:val="24"/>
          <w:lang w:val="en-US" w:bidi="ar"/>
        </w:rPr>
        <w:t>至2025年不低于10%、至2035年不低于20%。</w:t>
      </w:r>
    </w:p>
    <w:p w14:paraId="1065C64A">
      <w:pPr>
        <w:spacing w:after="166"/>
        <w:ind w:firstLine="500"/>
      </w:pPr>
      <w:r>
        <w:rPr>
          <w:rFonts w:hint="eastAsia"/>
          <w:lang w:val="en-US"/>
        </w:rPr>
        <w:t>本次规划予以落实，</w:t>
      </w:r>
      <w:r>
        <w:rPr>
          <w:rFonts w:hint="eastAsia"/>
          <w:lang w:val="en-US" w:bidi="ar"/>
        </w:rPr>
        <w:t>规划期内</w:t>
      </w:r>
      <w:r>
        <w:rPr>
          <w:rFonts w:hint="eastAsia"/>
        </w:rPr>
        <w:t>绿色交通出行比例</w:t>
      </w:r>
      <w:r>
        <w:rPr>
          <w:rFonts w:hint="eastAsia"/>
          <w:szCs w:val="24"/>
          <w:lang w:val="en-US"/>
        </w:rPr>
        <w:t>达到总体规划要求</w:t>
      </w:r>
      <w:r>
        <w:rPr>
          <w:rFonts w:hint="eastAsia"/>
        </w:rPr>
        <w:t>。</w:t>
      </w:r>
    </w:p>
    <w:p w14:paraId="39DDD089">
      <w:pPr>
        <w:pStyle w:val="6"/>
        <w:numPr>
          <w:ilvl w:val="4"/>
          <w:numId w:val="0"/>
        </w:numPr>
        <w:bidi w:val="0"/>
        <w:ind w:leftChars="0"/>
        <w:rPr>
          <w:rFonts w:hint="eastAsia"/>
          <w:lang w:val="en-US"/>
        </w:rPr>
      </w:pPr>
      <w:r>
        <w:rPr>
          <w:rFonts w:hint="eastAsia"/>
          <w:lang w:val="en-US"/>
        </w:rPr>
        <w:t>⑥降雨就地消纳率（预期性指标）</w:t>
      </w:r>
    </w:p>
    <w:p w14:paraId="08AD0508">
      <w:pPr>
        <w:spacing w:after="166"/>
        <w:ind w:firstLine="500"/>
      </w:pPr>
      <w:r>
        <w:rPr>
          <w:rFonts w:hint="eastAsia"/>
          <w:szCs w:val="24"/>
          <w:lang w:val="en-US" w:bidi="ar"/>
        </w:rPr>
        <w:t>根据总体规划，中心城区</w:t>
      </w:r>
      <w:r>
        <w:rPr>
          <w:rFonts w:hint="eastAsia"/>
        </w:rPr>
        <w:t>降雨就地消纳率</w:t>
      </w:r>
      <w:r>
        <w:rPr>
          <w:rFonts w:hint="eastAsia"/>
          <w:szCs w:val="24"/>
          <w:lang w:val="en-US" w:bidi="ar"/>
        </w:rPr>
        <w:t>至2025年不低于30%、至2035年不低于80%。</w:t>
      </w:r>
    </w:p>
    <w:p w14:paraId="684F55C8">
      <w:pPr>
        <w:spacing w:after="166"/>
        <w:ind w:firstLine="500"/>
      </w:pPr>
      <w:r>
        <w:rPr>
          <w:rFonts w:hint="eastAsia"/>
          <w:lang w:val="en-US"/>
        </w:rPr>
        <w:t>本次规划予以落实，</w:t>
      </w:r>
      <w:r>
        <w:rPr>
          <w:rFonts w:hint="eastAsia"/>
          <w:lang w:val="en-US" w:bidi="ar"/>
        </w:rPr>
        <w:t>规划期内</w:t>
      </w:r>
      <w:r>
        <w:rPr>
          <w:rFonts w:hint="eastAsia"/>
        </w:rPr>
        <w:t>降雨就地消纳率</w:t>
      </w:r>
      <w:r>
        <w:rPr>
          <w:rFonts w:hint="eastAsia"/>
          <w:szCs w:val="24"/>
          <w:lang w:val="en-US"/>
        </w:rPr>
        <w:t>达到总体规划要求</w:t>
      </w:r>
      <w:r>
        <w:rPr>
          <w:rFonts w:hint="eastAsia"/>
        </w:rPr>
        <w:t>。</w:t>
      </w:r>
    </w:p>
    <w:p w14:paraId="2AFFA98D">
      <w:pPr>
        <w:pStyle w:val="6"/>
        <w:numPr>
          <w:ilvl w:val="4"/>
          <w:numId w:val="0"/>
        </w:numPr>
        <w:bidi w:val="0"/>
        <w:ind w:leftChars="0"/>
        <w:rPr>
          <w:rFonts w:hint="eastAsia"/>
          <w:lang w:val="en-US"/>
        </w:rPr>
      </w:pPr>
      <w:r>
        <w:rPr>
          <w:rFonts w:hint="eastAsia"/>
          <w:lang w:val="en-US"/>
        </w:rPr>
        <w:t>⑦城镇生活垃圾回收利用率（预期性指标）</w:t>
      </w:r>
    </w:p>
    <w:p w14:paraId="3AAF23B0">
      <w:pPr>
        <w:spacing w:after="166"/>
        <w:ind w:firstLine="500"/>
      </w:pPr>
      <w:r>
        <w:rPr>
          <w:rFonts w:hint="eastAsia"/>
          <w:szCs w:val="24"/>
          <w:lang w:val="en-US" w:bidi="ar"/>
        </w:rPr>
        <w:t>根据总体规划，中心城区</w:t>
      </w:r>
      <w:r>
        <w:rPr>
          <w:rFonts w:hint="eastAsia"/>
        </w:rPr>
        <w:t>城镇生活垃圾回收利用率</w:t>
      </w:r>
      <w:r>
        <w:rPr>
          <w:rFonts w:hint="eastAsia"/>
          <w:szCs w:val="24"/>
          <w:lang w:val="en-US" w:bidi="ar"/>
        </w:rPr>
        <w:t>至2025年不低于65%、至2035年不低于75%。</w:t>
      </w:r>
    </w:p>
    <w:p w14:paraId="00CB4D74">
      <w:pPr>
        <w:spacing w:after="166"/>
        <w:ind w:firstLine="500"/>
      </w:pPr>
      <w:r>
        <w:rPr>
          <w:rFonts w:hint="eastAsia"/>
          <w:lang w:val="en-US"/>
        </w:rPr>
        <w:t>本次规划予以落实，</w:t>
      </w:r>
      <w:r>
        <w:rPr>
          <w:rFonts w:hint="eastAsia"/>
          <w:lang w:val="en-US" w:bidi="ar"/>
        </w:rPr>
        <w:t>规划期内</w:t>
      </w:r>
      <w:r>
        <w:rPr>
          <w:rFonts w:hint="eastAsia"/>
        </w:rPr>
        <w:t>城镇生活垃圾回收利用率</w:t>
      </w:r>
      <w:r>
        <w:rPr>
          <w:rFonts w:hint="eastAsia"/>
          <w:szCs w:val="24"/>
          <w:lang w:val="en-US"/>
        </w:rPr>
        <w:t>达到总体规划要求</w:t>
      </w:r>
      <w:r>
        <w:rPr>
          <w:rFonts w:hint="eastAsia"/>
        </w:rPr>
        <w:t>。</w:t>
      </w:r>
    </w:p>
    <w:p w14:paraId="7C0F1AF3">
      <w:pPr>
        <w:pStyle w:val="4"/>
        <w:numPr>
          <w:ilvl w:val="2"/>
          <w:numId w:val="5"/>
        </w:numPr>
        <w:spacing w:before="332" w:after="166"/>
      </w:pPr>
      <w:r>
        <w:rPr>
          <w:rFonts w:hint="eastAsia"/>
        </w:rPr>
        <w:t>发展定位传导</w:t>
      </w:r>
    </w:p>
    <w:p w14:paraId="51D09E3A">
      <w:pPr>
        <w:spacing w:after="166"/>
        <w:ind w:firstLine="500"/>
      </w:pPr>
      <w:r>
        <w:rPr>
          <w:rFonts w:hint="eastAsia"/>
          <w:lang w:val="en-US"/>
        </w:rPr>
        <w:t>总体规划中</w:t>
      </w:r>
      <w:r>
        <w:rPr>
          <w:rFonts w:hint="eastAsia"/>
        </w:rPr>
        <w:t>白云鄂博矿区城市性质（核心功能定位）为“国家战略性稀土等矿产资源综合利用基地、包头市山北地区重要的生态屏障、包头市向北开放的战略支点和新型工业基地、产城矿旅融合发展绿色宜居城市”，</w:t>
      </w:r>
      <w:r>
        <w:rPr>
          <w:rFonts w:hint="eastAsia"/>
          <w:lang w:val="en-US"/>
        </w:rPr>
        <w:t>本次规划予以</w:t>
      </w:r>
      <w:r>
        <w:rPr>
          <w:rFonts w:hint="eastAsia"/>
        </w:rPr>
        <w:t>落实。</w:t>
      </w:r>
    </w:p>
    <w:p w14:paraId="51FB2B73">
      <w:pPr>
        <w:pStyle w:val="4"/>
        <w:numPr>
          <w:ilvl w:val="2"/>
          <w:numId w:val="5"/>
        </w:numPr>
        <w:spacing w:before="332" w:after="166"/>
      </w:pPr>
      <w:r>
        <w:rPr>
          <w:rFonts w:hint="eastAsia"/>
        </w:rPr>
        <w:t>规划目标传导</w:t>
      </w:r>
    </w:p>
    <w:p w14:paraId="34579B79">
      <w:pPr>
        <w:spacing w:after="166"/>
        <w:ind w:firstLine="500"/>
        <w:rPr>
          <w:lang w:val="en-US"/>
        </w:rPr>
      </w:pPr>
      <w:r>
        <w:rPr>
          <w:rFonts w:hint="eastAsia"/>
          <w:lang w:val="en-US"/>
        </w:rPr>
        <w:t>总体规划提出的发展目标包括总目标与阶段目标两部分内容。</w:t>
      </w:r>
    </w:p>
    <w:p w14:paraId="3502B4AE">
      <w:pPr>
        <w:pStyle w:val="5"/>
        <w:numPr>
          <w:ilvl w:val="0"/>
          <w:numId w:val="11"/>
        </w:numPr>
        <w:spacing w:after="166"/>
      </w:pPr>
      <w:r>
        <w:rPr>
          <w:rFonts w:hint="eastAsia"/>
        </w:rPr>
        <w:t>总目标</w:t>
      </w:r>
    </w:p>
    <w:p w14:paraId="2D7A2CEB">
      <w:pPr>
        <w:spacing w:after="166"/>
        <w:ind w:firstLine="500"/>
        <w:rPr>
          <w:lang w:val="en-US"/>
        </w:rPr>
      </w:pPr>
      <w:r>
        <w:rPr>
          <w:rFonts w:hint="eastAsia"/>
          <w:lang w:val="en-US"/>
        </w:rPr>
        <w:t>总目标为围绕服务于国家稀土资源开发保护战略、服务包钢企业发展，立足于包头市山北地区，以资源综合开发利用为核心完善产业功能，以高质量发展理念打造“绿色开放的包北门户，创新集约的精智矿区，生态宜居的幸福白云”，实现未来白云鄂博矿区国土空间的高水平保护、高质量发展、高品质生活、高效能治理。</w:t>
      </w:r>
    </w:p>
    <w:p w14:paraId="2953464E">
      <w:pPr>
        <w:pStyle w:val="5"/>
        <w:numPr>
          <w:ilvl w:val="0"/>
          <w:numId w:val="11"/>
        </w:numPr>
        <w:spacing w:after="166"/>
      </w:pPr>
      <w:r>
        <w:rPr>
          <w:rFonts w:hint="eastAsia"/>
        </w:rPr>
        <w:t>阶段目标</w:t>
      </w:r>
    </w:p>
    <w:p w14:paraId="5D610B66">
      <w:pPr>
        <w:pStyle w:val="6"/>
        <w:numPr>
          <w:ilvl w:val="4"/>
          <w:numId w:val="0"/>
        </w:numPr>
        <w:bidi w:val="0"/>
        <w:ind w:leftChars="0"/>
        <w:rPr>
          <w:rFonts w:hint="eastAsia"/>
          <w:lang w:val="en-US"/>
        </w:rPr>
      </w:pPr>
      <w:r>
        <w:rPr>
          <w:rFonts w:hint="eastAsia"/>
          <w:lang w:val="en-US"/>
        </w:rPr>
        <w:t>①近期（2021-2025年）</w:t>
      </w:r>
    </w:p>
    <w:p w14:paraId="5BD6E11C">
      <w:pPr>
        <w:spacing w:after="166"/>
        <w:ind w:firstLine="500"/>
        <w:rPr>
          <w:lang w:val="en-US"/>
        </w:rPr>
      </w:pPr>
      <w:r>
        <w:rPr>
          <w:rFonts w:hint="eastAsia"/>
          <w:lang w:val="en-US"/>
        </w:rPr>
        <w:t>至2025年，国土空间保护开发格局基本形成。初步建设成为包头北部重要的门户城市、独具特色的绿色宜居城市。白云鄂博矿区现代化建设实现新的进展，社会文明程度明显提高，生态文明建设取得重大进步，治理效能得到新的提升，公共服务体系更加健全，人民生活水平和质量普遍提高，综合实力在自治区旗县区中位次不断前移。常住人口规模达到2.50万人，生态保护红线面积稳定在0.0718平方千米，城镇开发边界扩展倍数为1.4997，中心城区人均城镇建设用地面积不高于238.00平方米。</w:t>
      </w:r>
    </w:p>
    <w:p w14:paraId="7B6D581D">
      <w:pPr>
        <w:pStyle w:val="6"/>
        <w:numPr>
          <w:ilvl w:val="4"/>
          <w:numId w:val="0"/>
        </w:numPr>
        <w:bidi w:val="0"/>
        <w:ind w:leftChars="0"/>
        <w:rPr>
          <w:rFonts w:hint="eastAsia"/>
          <w:lang w:val="en-US"/>
        </w:rPr>
      </w:pPr>
      <w:r>
        <w:rPr>
          <w:rFonts w:hint="eastAsia"/>
          <w:lang w:val="en-US"/>
        </w:rPr>
        <w:t>②远期（2025-2035年）</w:t>
      </w:r>
    </w:p>
    <w:p w14:paraId="03CFBA01">
      <w:pPr>
        <w:spacing w:after="166"/>
        <w:ind w:firstLine="500"/>
        <w:rPr>
          <w:lang w:val="en-US"/>
        </w:rPr>
      </w:pPr>
      <w:r>
        <w:rPr>
          <w:rFonts w:hint="eastAsia"/>
          <w:lang w:val="en-US"/>
        </w:rPr>
        <w:t>远期至2035年，国土空间保护开发格局全面优化。高质量、可持续的产业结构全面形成，国家战略性稀土等矿产资源综合利用基地初具雏形。草原生态环境全面恢复，包头市山北地区重要的生态屏障地位进一步凸显。人民生活富裕、安定，成为具有一定影响力的产城矿旅融合发展绿色宜居城市。区域地位进一步增强，建成包头市向北开放的战略支点和新型工业基地，在战略资源保护、开发利用及绿色发展方面取得突破性进展。常住人口规模达到3.00万人，生态保护红线面积稳定在0.0718平方千米，城镇开发边界扩展倍数为1.4997，中心城区人均城镇建设用地面积不高于205.00平方米。</w:t>
      </w:r>
    </w:p>
    <w:p w14:paraId="786E8FC8">
      <w:pPr>
        <w:pStyle w:val="6"/>
        <w:numPr>
          <w:ilvl w:val="4"/>
          <w:numId w:val="0"/>
        </w:numPr>
        <w:bidi w:val="0"/>
        <w:ind w:leftChars="0"/>
        <w:rPr>
          <w:rFonts w:hint="eastAsia"/>
          <w:lang w:val="en-US"/>
        </w:rPr>
      </w:pPr>
      <w:r>
        <w:rPr>
          <w:rFonts w:hint="eastAsia"/>
          <w:lang w:val="en-US"/>
        </w:rPr>
        <w:t>③远景（2035-2050年）</w:t>
      </w:r>
    </w:p>
    <w:p w14:paraId="67E6BD01">
      <w:pPr>
        <w:spacing w:after="166"/>
        <w:ind w:firstLine="500"/>
        <w:rPr>
          <w:lang w:val="en-US"/>
        </w:rPr>
      </w:pPr>
      <w:r>
        <w:rPr>
          <w:rFonts w:hint="eastAsia"/>
          <w:lang w:val="en-US"/>
        </w:rPr>
        <w:t>远景展望至2050年，“世界稀土之乡”特色城市名片焕发生机活力，绽放出新时代特色光彩。区域互通、山水林草有机融合的国土空间生命共同体格局全面形成；国土空间治理体系、治理能力现代化和公共服务均等化全面实现；生态环境更加优美，山北地区区域生态系统更加稳固，物质文明、政治文明、精神文明、社会文明、生态文明水平全面提升。</w:t>
      </w:r>
    </w:p>
    <w:p w14:paraId="6D494231">
      <w:pPr>
        <w:pStyle w:val="4"/>
        <w:numPr>
          <w:ilvl w:val="2"/>
          <w:numId w:val="5"/>
        </w:numPr>
        <w:spacing w:before="332" w:after="166"/>
      </w:pPr>
      <w:r>
        <w:rPr>
          <w:rFonts w:hint="eastAsia"/>
        </w:rPr>
        <w:t>单元划分传导</w:t>
      </w:r>
    </w:p>
    <w:p w14:paraId="4ADB91EF">
      <w:pPr>
        <w:spacing w:after="166"/>
        <w:ind w:firstLine="500"/>
        <w:rPr>
          <w:lang w:val="en-US"/>
        </w:rPr>
      </w:pPr>
      <w:r>
        <w:rPr>
          <w:rFonts w:hint="eastAsia"/>
          <w:lang w:val="en-US"/>
        </w:rPr>
        <w:t>根据总体规划，全域共划定17个单元，其中城区部分划定5个单元，包含3个居住生活类单元、1个综合服务类单元、1个绿地景观类单元，本次规划予以落实。</w:t>
      </w:r>
    </w:p>
    <w:p w14:paraId="12AE9C6A">
      <w:pPr>
        <w:pStyle w:val="4"/>
        <w:numPr>
          <w:ilvl w:val="2"/>
          <w:numId w:val="5"/>
        </w:numPr>
        <w:spacing w:before="332" w:after="166"/>
      </w:pPr>
      <w:r>
        <w:rPr>
          <w:rFonts w:hint="eastAsia"/>
        </w:rPr>
        <w:t>开发建设传导</w:t>
      </w:r>
    </w:p>
    <w:p w14:paraId="3E87D31E">
      <w:pPr>
        <w:pStyle w:val="5"/>
        <w:numPr>
          <w:ilvl w:val="0"/>
          <w:numId w:val="12"/>
        </w:numPr>
        <w:spacing w:after="166"/>
      </w:pPr>
      <w:r>
        <w:rPr>
          <w:rFonts w:hint="eastAsia"/>
        </w:rPr>
        <w:t>开发强度</w:t>
      </w:r>
    </w:p>
    <w:p w14:paraId="09542C3B">
      <w:pPr>
        <w:spacing w:after="166"/>
        <w:ind w:firstLine="500"/>
        <w:rPr>
          <w:rFonts w:ascii="仿宋_GB2312"/>
          <w:lang w:val="en-US"/>
        </w:rPr>
      </w:pPr>
      <w:r>
        <w:rPr>
          <w:rFonts w:hint="eastAsia"/>
          <w:lang w:val="en-US"/>
        </w:rPr>
        <w:t>根据总体规划，中心城区</w:t>
      </w:r>
      <w:r>
        <w:rPr>
          <w:rFonts w:hint="eastAsia" w:ascii="仿宋_GB2312"/>
        </w:rPr>
        <w:t>在考虑现状开发强度及未来产业发展需求的前提下对中心城区开发用地进行强度控制，</w:t>
      </w:r>
      <w:r>
        <w:rPr>
          <w:rFonts w:hint="eastAsia" w:ascii="仿宋_GB2312"/>
          <w:lang w:val="en-US"/>
        </w:rPr>
        <w:t>分别划定强度一区和强度二区。</w:t>
      </w:r>
    </w:p>
    <w:p w14:paraId="53A944B2">
      <w:pPr>
        <w:spacing w:after="166"/>
        <w:ind w:firstLine="500"/>
      </w:pPr>
      <w:r>
        <w:rPr>
          <w:rFonts w:hint="eastAsia"/>
          <w:lang w:val="en-US"/>
        </w:rPr>
        <w:t>本次规划综合考虑用地功能的规模需求、区位的土地价值、环境的承载力等多种因素后统筹制定各地块容积率</w:t>
      </w:r>
      <w:r>
        <w:rPr>
          <w:rFonts w:hint="eastAsia"/>
        </w:rPr>
        <w:t>。</w:t>
      </w:r>
      <w:r>
        <w:rPr>
          <w:rFonts w:hint="eastAsia"/>
          <w:lang w:val="en-US"/>
        </w:rPr>
        <w:t>对于</w:t>
      </w:r>
      <w:r>
        <w:rPr>
          <w:rFonts w:hint="eastAsia"/>
        </w:rPr>
        <w:t>临近地区中心、主要道路两侧的</w:t>
      </w:r>
      <w:r>
        <w:rPr>
          <w:rFonts w:hint="eastAsia"/>
          <w:lang w:val="en-US"/>
        </w:rPr>
        <w:t>用地</w:t>
      </w:r>
      <w:r>
        <w:rPr>
          <w:rFonts w:hint="eastAsia"/>
        </w:rPr>
        <w:t>开发强度适当提升。</w:t>
      </w:r>
      <w:r>
        <w:rPr>
          <w:rFonts w:hint="eastAsia"/>
          <w:lang w:val="en-US"/>
        </w:rPr>
        <w:t>对</w:t>
      </w:r>
      <w:r>
        <w:rPr>
          <w:rFonts w:hint="eastAsia"/>
        </w:rPr>
        <w:t>教育、医疗、体育、文化等公共服务设施</w:t>
      </w:r>
      <w:r>
        <w:rPr>
          <w:rFonts w:hint="eastAsia"/>
          <w:lang w:val="en-US"/>
        </w:rPr>
        <w:t>用地</w:t>
      </w:r>
      <w:r>
        <w:rPr>
          <w:rFonts w:hint="eastAsia"/>
        </w:rPr>
        <w:t>容积率控制在0.6-1.5之间，满足基本功能所需的规模要求。</w:t>
      </w:r>
      <w:r>
        <w:rPr>
          <w:rFonts w:hint="eastAsia"/>
          <w:lang w:val="en-US"/>
        </w:rPr>
        <w:t>对于</w:t>
      </w:r>
      <w:r>
        <w:rPr>
          <w:rFonts w:hint="eastAsia"/>
        </w:rPr>
        <w:t>商业、</w:t>
      </w:r>
      <w:r>
        <w:rPr>
          <w:rFonts w:hint="eastAsia"/>
          <w:lang w:val="en-US"/>
        </w:rPr>
        <w:t>居住</w:t>
      </w:r>
      <w:r>
        <w:rPr>
          <w:rFonts w:hint="eastAsia"/>
        </w:rPr>
        <w:t>等</w:t>
      </w:r>
      <w:r>
        <w:rPr>
          <w:rFonts w:hint="eastAsia"/>
          <w:lang w:val="en-US"/>
        </w:rPr>
        <w:t>用地，保障</w:t>
      </w:r>
      <w:r>
        <w:rPr>
          <w:rFonts w:hint="eastAsia"/>
        </w:rPr>
        <w:t>开发强度与对应产品形态相一致，特色商业街容积率宜为1.0，商业综合体容积率宜为2.0，多层住宅容积率控制在1.0-1.2，高品质改善住宅容积率宜为1.0。</w:t>
      </w:r>
    </w:p>
    <w:p w14:paraId="2022FE63">
      <w:pPr>
        <w:pStyle w:val="5"/>
        <w:numPr>
          <w:ilvl w:val="0"/>
          <w:numId w:val="12"/>
        </w:numPr>
        <w:spacing w:after="166"/>
      </w:pPr>
      <w:r>
        <w:rPr>
          <w:rFonts w:hint="eastAsia"/>
        </w:rPr>
        <w:t>建筑高度</w:t>
      </w:r>
    </w:p>
    <w:p w14:paraId="09D73D00">
      <w:pPr>
        <w:spacing w:after="166"/>
        <w:ind w:firstLine="500"/>
        <w:rPr>
          <w:lang w:val="en-US"/>
        </w:rPr>
      </w:pPr>
      <w:r>
        <w:rPr>
          <w:rFonts w:hint="eastAsia"/>
          <w:lang w:val="en-US"/>
        </w:rPr>
        <w:t>根据总体规划，中心城区</w:t>
      </w:r>
      <w:r>
        <w:rPr>
          <w:rFonts w:hint="eastAsia"/>
        </w:rPr>
        <w:t>建筑高度控制应以保持良好的视线通廊为基本原则，确定白云鄂博矿区中心城区建筑高度应控制在40米以下，</w:t>
      </w:r>
      <w:r>
        <w:rPr>
          <w:rFonts w:hint="eastAsia"/>
          <w:lang w:val="en-US"/>
        </w:rPr>
        <w:t>分别划定高度一区、高度二区和高度三区。</w:t>
      </w:r>
    </w:p>
    <w:p w14:paraId="0492EB77">
      <w:pPr>
        <w:spacing w:after="166"/>
        <w:ind w:firstLine="500"/>
        <w:rPr>
          <w:lang w:val="en-US"/>
        </w:rPr>
      </w:pPr>
      <w:r>
        <w:rPr>
          <w:rFonts w:hint="eastAsia"/>
          <w:lang w:val="en-US"/>
        </w:rPr>
        <w:t>本次规划建筑高度综合考虑城市空间形态、视线通廊、容积率适配度等因素后制定。遵循彰显城市空间形态原则，对于临近地区中心、主要道路两侧的建筑在高度控制上给予适当提升的空间，位于主要城市界面的建筑高度考虑天际线的节奏与韵律，以此塑造彰显白云矿区城市形象。遵循预留视线通廊原则，对于主要景观中心、节点、廊道周边的建筑，控制建筑高度适度降低，保证视线的通透性。遵循与容积率适配原则，对于经营性用地，考虑到出让地价通常按照最高容积率进行评估，为保证开发时不损容，应评估建筑高度与容积率的适应性。</w:t>
      </w:r>
    </w:p>
    <w:p w14:paraId="28AB0B35">
      <w:pPr>
        <w:pStyle w:val="5"/>
        <w:numPr>
          <w:ilvl w:val="0"/>
          <w:numId w:val="12"/>
        </w:numPr>
        <w:spacing w:after="166"/>
      </w:pPr>
      <w:r>
        <w:rPr>
          <w:rFonts w:hint="eastAsia"/>
        </w:rPr>
        <w:t>建筑密度</w:t>
      </w:r>
    </w:p>
    <w:p w14:paraId="2ABBC308">
      <w:pPr>
        <w:spacing w:after="166"/>
        <w:ind w:firstLine="500"/>
        <w:rPr>
          <w:lang w:val="en-US"/>
        </w:rPr>
      </w:pPr>
      <w:r>
        <w:rPr>
          <w:rFonts w:hint="eastAsia"/>
          <w:lang w:val="en-US"/>
        </w:rPr>
        <w:t>根据总体规划，中心城区</w:t>
      </w:r>
      <w:r>
        <w:rPr>
          <w:rFonts w:hint="eastAsia"/>
        </w:rPr>
        <w:t>建筑</w:t>
      </w:r>
      <w:r>
        <w:rPr>
          <w:rFonts w:hint="eastAsia"/>
          <w:lang w:val="en-US"/>
        </w:rPr>
        <w:t>密度</w:t>
      </w:r>
      <w:r>
        <w:rPr>
          <w:rFonts w:hint="eastAsia"/>
        </w:rPr>
        <w:t>控制</w:t>
      </w:r>
      <w:r>
        <w:rPr>
          <w:rFonts w:hint="eastAsia"/>
          <w:lang w:val="en-US"/>
        </w:rPr>
        <w:t>在60%以内，分为密度一区和密度二区。</w:t>
      </w:r>
    </w:p>
    <w:p w14:paraId="1E8A07D3">
      <w:pPr>
        <w:spacing w:after="166"/>
        <w:ind w:firstLine="500"/>
        <w:rPr>
          <w:lang w:val="en-US"/>
        </w:rPr>
      </w:pPr>
      <w:r>
        <w:rPr>
          <w:rFonts w:hint="eastAsia"/>
          <w:lang w:val="en-US"/>
        </w:rPr>
        <w:t>本次规划依据《包头市城乡规划技术规定》中对建筑密度的要求，</w:t>
      </w:r>
      <w:r>
        <w:rPr>
          <w:rFonts w:hint="eastAsia"/>
        </w:rPr>
        <w:t>综合考虑建筑密度对社区环境品质、居民生活质量和城市可持续发展等方面的影响，</w:t>
      </w:r>
      <w:r>
        <w:rPr>
          <w:rFonts w:hint="eastAsia"/>
          <w:lang w:val="en-US"/>
        </w:rPr>
        <w:t>参照下表</w:t>
      </w:r>
      <w:r>
        <w:rPr>
          <w:rFonts w:hint="eastAsia"/>
        </w:rPr>
        <w:t>对建筑密度</w:t>
      </w:r>
      <w:r>
        <w:rPr>
          <w:rFonts w:hint="eastAsia"/>
          <w:lang w:val="en-US"/>
        </w:rPr>
        <w:t>进行具体管控。</w:t>
      </w:r>
    </w:p>
    <w:p w14:paraId="3CF3E086">
      <w:pPr>
        <w:pStyle w:val="117"/>
        <w:spacing w:before="166"/>
      </w:pPr>
      <w:r>
        <w:rPr>
          <w:rFonts w:hint="eastAsia"/>
        </w:rPr>
        <w:t xml:space="preserve">表3-1  </w:t>
      </w:r>
      <w:r>
        <w:rPr>
          <w:rFonts w:hint="eastAsia"/>
          <w:lang w:val="en-US"/>
        </w:rPr>
        <w:t>《包头市城乡规划技术规定》</w:t>
      </w:r>
      <w:r>
        <w:rPr>
          <w:rFonts w:hint="eastAsia"/>
          <w:lang w:val="en-US" w:eastAsia="zh-CN"/>
        </w:rPr>
        <w:t>中的</w:t>
      </w:r>
      <w:r>
        <w:rPr>
          <w:rFonts w:hint="eastAsia"/>
        </w:rPr>
        <w:t>建筑密度控制指标</w:t>
      </w:r>
    </w:p>
    <w:tbl>
      <w:tblPr>
        <w:tblStyle w:val="36"/>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26"/>
        <w:gridCol w:w="2894"/>
      </w:tblGrid>
      <w:tr w14:paraId="675F9C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301" w:type="pct"/>
            <w:shd w:val="clear" w:color="auto" w:fill="auto"/>
            <w:noWrap/>
            <w:vAlign w:val="center"/>
          </w:tcPr>
          <w:p w14:paraId="17F60AC3">
            <w:pPr>
              <w:pStyle w:val="115"/>
              <w:jc w:val="center"/>
            </w:pPr>
            <w:r>
              <w:rPr>
                <w:rFonts w:hint="eastAsia"/>
              </w:rPr>
              <w:t>建筑用地类型</w:t>
            </w:r>
          </w:p>
        </w:tc>
        <w:tc>
          <w:tcPr>
            <w:tcW w:w="1698" w:type="pct"/>
            <w:shd w:val="clear" w:color="auto" w:fill="auto"/>
            <w:noWrap/>
            <w:vAlign w:val="center"/>
          </w:tcPr>
          <w:p w14:paraId="61EA66D2">
            <w:pPr>
              <w:pStyle w:val="115"/>
              <w:jc w:val="center"/>
            </w:pPr>
            <w:r>
              <w:rPr>
                <w:rFonts w:hint="eastAsia"/>
              </w:rPr>
              <w:t>建筑密度（%）</w:t>
            </w:r>
          </w:p>
        </w:tc>
      </w:tr>
      <w:tr w14:paraId="45EAF3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301" w:type="pct"/>
            <w:shd w:val="clear" w:color="auto" w:fill="auto"/>
            <w:noWrap/>
            <w:vAlign w:val="center"/>
          </w:tcPr>
          <w:p w14:paraId="160784CB">
            <w:pPr>
              <w:pStyle w:val="115"/>
              <w:jc w:val="center"/>
            </w:pPr>
            <w:r>
              <w:rPr>
                <w:rFonts w:hint="eastAsia"/>
              </w:rPr>
              <w:t>住宅用地</w:t>
            </w:r>
          </w:p>
        </w:tc>
        <w:tc>
          <w:tcPr>
            <w:tcW w:w="1698" w:type="pct"/>
            <w:shd w:val="clear" w:color="auto" w:fill="auto"/>
            <w:noWrap/>
            <w:vAlign w:val="center"/>
          </w:tcPr>
          <w:p w14:paraId="74091D9F">
            <w:pPr>
              <w:pStyle w:val="115"/>
              <w:jc w:val="center"/>
            </w:pPr>
            <w:r>
              <w:rPr>
                <w:rFonts w:hint="eastAsia"/>
              </w:rPr>
              <w:t>≤30</w:t>
            </w:r>
          </w:p>
        </w:tc>
      </w:tr>
      <w:tr w14:paraId="028AC9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301" w:type="pct"/>
            <w:shd w:val="clear" w:color="auto" w:fill="auto"/>
            <w:noWrap/>
            <w:vAlign w:val="center"/>
          </w:tcPr>
          <w:p w14:paraId="7A1678B7">
            <w:pPr>
              <w:pStyle w:val="115"/>
              <w:jc w:val="center"/>
            </w:pPr>
            <w:r>
              <w:rPr>
                <w:rFonts w:hint="eastAsia"/>
              </w:rPr>
              <w:t>办公用地</w:t>
            </w:r>
          </w:p>
        </w:tc>
        <w:tc>
          <w:tcPr>
            <w:tcW w:w="1698" w:type="pct"/>
            <w:shd w:val="clear" w:color="auto" w:fill="auto"/>
            <w:noWrap/>
            <w:vAlign w:val="center"/>
          </w:tcPr>
          <w:p w14:paraId="610116D7">
            <w:pPr>
              <w:pStyle w:val="115"/>
              <w:jc w:val="center"/>
            </w:pPr>
            <w:r>
              <w:rPr>
                <w:rFonts w:hint="eastAsia"/>
              </w:rPr>
              <w:t>≤45</w:t>
            </w:r>
          </w:p>
        </w:tc>
      </w:tr>
      <w:tr w14:paraId="3C447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301" w:type="pct"/>
            <w:shd w:val="clear" w:color="auto" w:fill="auto"/>
            <w:noWrap/>
            <w:vAlign w:val="center"/>
          </w:tcPr>
          <w:p w14:paraId="08EB93FA">
            <w:pPr>
              <w:pStyle w:val="115"/>
              <w:jc w:val="center"/>
            </w:pPr>
            <w:r>
              <w:rPr>
                <w:rFonts w:hint="eastAsia"/>
              </w:rPr>
              <w:t>商业用地</w:t>
            </w:r>
          </w:p>
        </w:tc>
        <w:tc>
          <w:tcPr>
            <w:tcW w:w="1698" w:type="pct"/>
            <w:shd w:val="clear" w:color="auto" w:fill="auto"/>
            <w:noWrap/>
            <w:vAlign w:val="center"/>
          </w:tcPr>
          <w:p w14:paraId="1A87B404">
            <w:pPr>
              <w:pStyle w:val="115"/>
              <w:jc w:val="center"/>
            </w:pPr>
            <w:r>
              <w:rPr>
                <w:rFonts w:hint="eastAsia"/>
              </w:rPr>
              <w:t>≤55</w:t>
            </w:r>
          </w:p>
        </w:tc>
      </w:tr>
      <w:tr w14:paraId="34BEFE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301" w:type="pct"/>
            <w:shd w:val="clear" w:color="auto" w:fill="auto"/>
            <w:noWrap/>
            <w:vAlign w:val="center"/>
          </w:tcPr>
          <w:p w14:paraId="0431937B">
            <w:pPr>
              <w:pStyle w:val="115"/>
              <w:jc w:val="center"/>
            </w:pPr>
            <w:r>
              <w:rPr>
                <w:rFonts w:hint="eastAsia"/>
              </w:rPr>
              <w:t>工业用地</w:t>
            </w:r>
          </w:p>
        </w:tc>
        <w:tc>
          <w:tcPr>
            <w:tcW w:w="1698" w:type="pct"/>
            <w:shd w:val="clear" w:color="auto" w:fill="auto"/>
            <w:noWrap/>
            <w:vAlign w:val="center"/>
          </w:tcPr>
          <w:p w14:paraId="07BB326C">
            <w:pPr>
              <w:pStyle w:val="115"/>
              <w:jc w:val="center"/>
            </w:pPr>
            <w:r>
              <w:rPr>
                <w:rFonts w:hint="eastAsia"/>
              </w:rPr>
              <w:t>≤50</w:t>
            </w:r>
          </w:p>
        </w:tc>
      </w:tr>
      <w:tr w14:paraId="0D045E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301" w:type="pct"/>
            <w:shd w:val="clear" w:color="auto" w:fill="auto"/>
            <w:noWrap/>
            <w:vAlign w:val="center"/>
          </w:tcPr>
          <w:p w14:paraId="0B76DFD2">
            <w:pPr>
              <w:pStyle w:val="115"/>
              <w:jc w:val="center"/>
            </w:pPr>
            <w:r>
              <w:rPr>
                <w:rFonts w:hint="eastAsia"/>
              </w:rPr>
              <w:t>教育、文化、医疗、体育用地</w:t>
            </w:r>
          </w:p>
        </w:tc>
        <w:tc>
          <w:tcPr>
            <w:tcW w:w="1698" w:type="pct"/>
            <w:shd w:val="clear" w:color="auto" w:fill="auto"/>
            <w:noWrap/>
            <w:vAlign w:val="center"/>
          </w:tcPr>
          <w:p w14:paraId="1BAEF8BE">
            <w:pPr>
              <w:pStyle w:val="115"/>
              <w:jc w:val="center"/>
            </w:pPr>
            <w:r>
              <w:rPr>
                <w:rFonts w:hint="eastAsia"/>
              </w:rPr>
              <w:t>≤25</w:t>
            </w:r>
          </w:p>
        </w:tc>
      </w:tr>
    </w:tbl>
    <w:p w14:paraId="69D165B8">
      <w:pPr>
        <w:bidi w:val="0"/>
        <w:rPr>
          <w:rFonts w:hint="eastAsia"/>
          <w:lang w:val="en-US" w:eastAsia="zh-CN"/>
        </w:rPr>
      </w:pPr>
    </w:p>
    <w:p w14:paraId="66E1E48C">
      <w:pPr>
        <w:pStyle w:val="3"/>
        <w:numPr>
          <w:ilvl w:val="1"/>
          <w:numId w:val="5"/>
        </w:numPr>
        <w:spacing w:before="166" w:after="166"/>
        <w:ind w:hanging="575"/>
        <w:rPr>
          <w:rFonts w:hint="eastAsia"/>
          <w:lang w:val="en-US" w:eastAsia="zh-CN"/>
        </w:rPr>
      </w:pPr>
      <w:r>
        <w:rPr>
          <w:rFonts w:hint="eastAsia"/>
          <w:lang w:val="en-US" w:eastAsia="zh-CN"/>
        </w:rPr>
        <w:t>《包头市白云鄂博矿区国土空间总体规划（2021-2035年）》的衔接传导</w:t>
      </w:r>
    </w:p>
    <w:p w14:paraId="5E30E739">
      <w:pPr>
        <w:pStyle w:val="4"/>
        <w:numPr>
          <w:ilvl w:val="2"/>
          <w:numId w:val="5"/>
        </w:numPr>
        <w:spacing w:before="332" w:after="166"/>
      </w:pPr>
      <w:r>
        <w:rPr>
          <w:rFonts w:hint="eastAsia"/>
          <w:lang w:val="en-US"/>
        </w:rPr>
        <w:t>总体结论</w:t>
      </w:r>
    </w:p>
    <w:p w14:paraId="623F210F">
      <w:pPr>
        <w:bidi w:val="0"/>
      </w:pPr>
      <w:r>
        <w:rPr>
          <w:rFonts w:hint="eastAsia"/>
        </w:rPr>
        <w:t>按照自然资源部印发的《国土空间规划城市体检评估规程》（TD/T 1063-2021），</w:t>
      </w:r>
      <w:r>
        <w:rPr>
          <w:rFonts w:hint="eastAsia"/>
          <w:lang w:val="en-US"/>
        </w:rPr>
        <w:t>城市体检评估</w:t>
      </w:r>
      <w:r>
        <w:rPr>
          <w:rFonts w:hint="eastAsia"/>
        </w:rPr>
        <w:t>指标体系分为安全、创新、协调、绿色、开放、共享6个一级类别，</w:t>
      </w:r>
      <w:r>
        <w:rPr>
          <w:rFonts w:hint="eastAsia"/>
          <w:lang w:val="en-US"/>
        </w:rPr>
        <w:t>下分23个二级类别，</w:t>
      </w:r>
      <w:r>
        <w:rPr>
          <w:rFonts w:hint="eastAsia"/>
        </w:rPr>
        <w:t>总计122项指标。</w:t>
      </w:r>
      <w:r>
        <w:rPr>
          <w:rFonts w:hint="eastAsia"/>
          <w:lang w:val="en-US"/>
        </w:rPr>
        <w:t>根据《包头市白云鄂博矿区国土空间总体规划城市体检评估（2023年度）》，白云矿区在安全和绿色方面表现较好，</w:t>
      </w:r>
      <w:r>
        <w:rPr>
          <w:rFonts w:hint="eastAsia"/>
        </w:rPr>
        <w:t>创新、协调、开放、共享</w:t>
      </w:r>
      <w:r>
        <w:rPr>
          <w:rFonts w:hint="eastAsia"/>
          <w:lang w:val="en-US"/>
        </w:rPr>
        <w:t>方面存在较大提升空间。</w:t>
      </w:r>
    </w:p>
    <w:p w14:paraId="33C6B519">
      <w:pPr>
        <w:pStyle w:val="117"/>
        <w:spacing w:before="166"/>
      </w:pPr>
      <w:r>
        <w:rPr>
          <w:rFonts w:hint="eastAsia"/>
        </w:rPr>
        <w:t>表3-2  城市体检评估六类评价结果一览表</w:t>
      </w:r>
    </w:p>
    <w:tbl>
      <w:tblPr>
        <w:tblStyle w:val="36"/>
        <w:tblW w:w="4999" w:type="pct"/>
        <w:tblInd w:w="0" w:type="dxa"/>
        <w:tblLayout w:type="autofit"/>
        <w:tblCellMar>
          <w:top w:w="0" w:type="dxa"/>
          <w:left w:w="108" w:type="dxa"/>
          <w:bottom w:w="0" w:type="dxa"/>
          <w:right w:w="108" w:type="dxa"/>
        </w:tblCellMar>
      </w:tblPr>
      <w:tblGrid>
        <w:gridCol w:w="963"/>
        <w:gridCol w:w="1817"/>
        <w:gridCol w:w="3293"/>
        <w:gridCol w:w="2447"/>
      </w:tblGrid>
      <w:tr w14:paraId="55BFE04A">
        <w:tblPrEx>
          <w:tblCellMar>
            <w:top w:w="0" w:type="dxa"/>
            <w:left w:w="108" w:type="dxa"/>
            <w:bottom w:w="0" w:type="dxa"/>
            <w:right w:w="108" w:type="dxa"/>
          </w:tblCellMar>
        </w:tblPrEx>
        <w:trPr>
          <w:trHeight w:val="312" w:hRule="atLeast"/>
        </w:trPr>
        <w:tc>
          <w:tcPr>
            <w:tcW w:w="565"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0A0EF16F">
            <w:pPr>
              <w:pStyle w:val="115"/>
              <w:jc w:val="center"/>
            </w:pPr>
            <w:r>
              <w:rPr>
                <w:rFonts w:hint="eastAsia"/>
              </w:rPr>
              <w:t>一级</w:t>
            </w:r>
          </w:p>
        </w:tc>
        <w:tc>
          <w:tcPr>
            <w:tcW w:w="1066"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2CA7FA7B">
            <w:pPr>
              <w:pStyle w:val="115"/>
              <w:jc w:val="center"/>
            </w:pPr>
            <w:r>
              <w:rPr>
                <w:rFonts w:hint="eastAsia"/>
              </w:rPr>
              <w:t>评价结论</w:t>
            </w:r>
          </w:p>
        </w:tc>
        <w:tc>
          <w:tcPr>
            <w:tcW w:w="1932" w:type="pct"/>
            <w:vMerge w:val="restart"/>
            <w:tcBorders>
              <w:top w:val="single" w:color="000000" w:sz="8" w:space="0"/>
              <w:left w:val="single" w:color="000000" w:sz="8" w:space="0"/>
              <w:bottom w:val="single" w:color="000000" w:sz="8" w:space="0"/>
              <w:right w:val="single" w:color="000000" w:sz="8" w:space="0"/>
            </w:tcBorders>
            <w:shd w:val="clear" w:color="auto" w:fill="auto"/>
            <w:noWrap/>
            <w:vAlign w:val="center"/>
          </w:tcPr>
          <w:p w14:paraId="2F1BC034">
            <w:pPr>
              <w:pStyle w:val="115"/>
              <w:jc w:val="center"/>
            </w:pPr>
            <w:r>
              <w:rPr>
                <w:rFonts w:hint="eastAsia"/>
              </w:rPr>
              <w:t>二级</w:t>
            </w:r>
          </w:p>
        </w:tc>
        <w:tc>
          <w:tcPr>
            <w:tcW w:w="1435"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4F10A77">
            <w:pPr>
              <w:pStyle w:val="115"/>
              <w:jc w:val="center"/>
            </w:pPr>
            <w:r>
              <w:rPr>
                <w:rFonts w:hint="eastAsia"/>
              </w:rPr>
              <w:t>评价结论</w:t>
            </w:r>
          </w:p>
        </w:tc>
      </w:tr>
      <w:tr w14:paraId="5895EFC4">
        <w:tblPrEx>
          <w:tblCellMar>
            <w:top w:w="0" w:type="dxa"/>
            <w:left w:w="108" w:type="dxa"/>
            <w:bottom w:w="0" w:type="dxa"/>
            <w:right w:w="108" w:type="dxa"/>
          </w:tblCellMar>
        </w:tblPrEx>
        <w:trPr>
          <w:trHeight w:val="312" w:hRule="atLeast"/>
        </w:trPr>
        <w:tc>
          <w:tcPr>
            <w:tcW w:w="565"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31B1DE49">
            <w:pPr>
              <w:pStyle w:val="115"/>
              <w:jc w:val="center"/>
            </w:pPr>
          </w:p>
        </w:tc>
        <w:tc>
          <w:tcPr>
            <w:tcW w:w="1066"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03AE3931">
            <w:pPr>
              <w:pStyle w:val="115"/>
              <w:jc w:val="center"/>
            </w:pPr>
          </w:p>
        </w:tc>
        <w:tc>
          <w:tcPr>
            <w:tcW w:w="1932" w:type="pct"/>
            <w:vMerge w:val="continue"/>
            <w:tcBorders>
              <w:top w:val="single" w:color="000000" w:sz="8" w:space="0"/>
              <w:left w:val="single" w:color="000000" w:sz="8" w:space="0"/>
              <w:bottom w:val="single" w:color="000000" w:sz="8" w:space="0"/>
              <w:right w:val="single" w:color="000000" w:sz="8" w:space="0"/>
            </w:tcBorders>
            <w:shd w:val="clear" w:color="auto" w:fill="auto"/>
            <w:noWrap/>
            <w:vAlign w:val="center"/>
          </w:tcPr>
          <w:p w14:paraId="2DC34AE2">
            <w:pPr>
              <w:pStyle w:val="115"/>
              <w:jc w:val="center"/>
            </w:pPr>
          </w:p>
        </w:tc>
        <w:tc>
          <w:tcPr>
            <w:tcW w:w="1435"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7411B174">
            <w:pPr>
              <w:pStyle w:val="115"/>
              <w:jc w:val="center"/>
            </w:pPr>
          </w:p>
        </w:tc>
      </w:tr>
      <w:tr w14:paraId="3183D57F">
        <w:tblPrEx>
          <w:tblCellMar>
            <w:top w:w="0" w:type="dxa"/>
            <w:left w:w="108" w:type="dxa"/>
            <w:bottom w:w="0" w:type="dxa"/>
            <w:right w:w="108" w:type="dxa"/>
          </w:tblCellMar>
        </w:tblPrEx>
        <w:trPr>
          <w:trHeight w:val="57" w:hRule="atLeast"/>
        </w:trPr>
        <w:tc>
          <w:tcPr>
            <w:tcW w:w="565" w:type="pct"/>
            <w:vMerge w:val="restart"/>
            <w:tcBorders>
              <w:top w:val="nil"/>
              <w:left w:val="single" w:color="000000" w:sz="8" w:space="0"/>
              <w:bottom w:val="single" w:color="000000" w:sz="8" w:space="0"/>
              <w:right w:val="single" w:color="000000" w:sz="8" w:space="0"/>
            </w:tcBorders>
            <w:shd w:val="clear" w:color="auto" w:fill="auto"/>
            <w:vAlign w:val="center"/>
          </w:tcPr>
          <w:p w14:paraId="4B4EB102">
            <w:pPr>
              <w:pStyle w:val="115"/>
              <w:jc w:val="center"/>
            </w:pPr>
            <w:r>
              <w:rPr>
                <w:rFonts w:hint="eastAsia"/>
              </w:rPr>
              <w:t>安全</w:t>
            </w:r>
          </w:p>
        </w:tc>
        <w:tc>
          <w:tcPr>
            <w:tcW w:w="1066" w:type="pct"/>
            <w:vMerge w:val="restart"/>
            <w:tcBorders>
              <w:top w:val="nil"/>
              <w:left w:val="single" w:color="000000" w:sz="8" w:space="0"/>
              <w:bottom w:val="single" w:color="000000" w:sz="8" w:space="0"/>
              <w:right w:val="single" w:color="000000" w:sz="8" w:space="0"/>
            </w:tcBorders>
            <w:shd w:val="clear" w:color="auto" w:fill="auto"/>
            <w:vAlign w:val="center"/>
          </w:tcPr>
          <w:p w14:paraId="47A2AF01">
            <w:pPr>
              <w:pStyle w:val="115"/>
              <w:jc w:val="center"/>
            </w:pPr>
            <w:r>
              <w:rPr>
                <w:rFonts w:hint="eastAsia"/>
              </w:rPr>
              <w:t>优势</w:t>
            </w:r>
          </w:p>
        </w:tc>
        <w:tc>
          <w:tcPr>
            <w:tcW w:w="1932" w:type="pct"/>
            <w:tcBorders>
              <w:top w:val="nil"/>
              <w:left w:val="single" w:color="000000" w:sz="8" w:space="0"/>
              <w:bottom w:val="single" w:color="000000" w:sz="8" w:space="0"/>
              <w:right w:val="single" w:color="000000" w:sz="8" w:space="0"/>
            </w:tcBorders>
            <w:shd w:val="clear" w:color="auto" w:fill="auto"/>
            <w:vAlign w:val="center"/>
          </w:tcPr>
          <w:p w14:paraId="609AC259">
            <w:pPr>
              <w:pStyle w:val="115"/>
              <w:jc w:val="center"/>
            </w:pPr>
            <w:r>
              <w:rPr>
                <w:rFonts w:hint="eastAsia"/>
              </w:rPr>
              <w:t>水安全</w:t>
            </w:r>
          </w:p>
        </w:tc>
        <w:tc>
          <w:tcPr>
            <w:tcW w:w="1435" w:type="pct"/>
            <w:tcBorders>
              <w:top w:val="nil"/>
              <w:left w:val="single" w:color="000000" w:sz="8" w:space="0"/>
              <w:bottom w:val="single" w:color="000000" w:sz="8" w:space="0"/>
              <w:right w:val="single" w:color="000000" w:sz="8" w:space="0"/>
            </w:tcBorders>
            <w:shd w:val="clear" w:color="auto" w:fill="auto"/>
            <w:vAlign w:val="center"/>
          </w:tcPr>
          <w:p w14:paraId="45702F84">
            <w:pPr>
              <w:pStyle w:val="115"/>
              <w:jc w:val="center"/>
            </w:pPr>
            <w:r>
              <w:rPr>
                <w:rFonts w:hint="eastAsia"/>
              </w:rPr>
              <w:t>好</w:t>
            </w:r>
          </w:p>
        </w:tc>
      </w:tr>
      <w:tr w14:paraId="75C29DF3">
        <w:tblPrEx>
          <w:tblCellMar>
            <w:top w:w="0" w:type="dxa"/>
            <w:left w:w="108" w:type="dxa"/>
            <w:bottom w:w="0" w:type="dxa"/>
            <w:right w:w="108" w:type="dxa"/>
          </w:tblCellMar>
        </w:tblPrEx>
        <w:trPr>
          <w:trHeight w:val="57" w:hRule="atLeast"/>
        </w:trPr>
        <w:tc>
          <w:tcPr>
            <w:tcW w:w="565" w:type="pct"/>
            <w:vMerge w:val="continue"/>
            <w:tcBorders>
              <w:top w:val="nil"/>
              <w:left w:val="single" w:color="000000" w:sz="8" w:space="0"/>
              <w:bottom w:val="single" w:color="000000" w:sz="8" w:space="0"/>
              <w:right w:val="single" w:color="000000" w:sz="8" w:space="0"/>
            </w:tcBorders>
            <w:shd w:val="clear" w:color="auto" w:fill="auto"/>
            <w:vAlign w:val="center"/>
          </w:tcPr>
          <w:p w14:paraId="32D29FF3">
            <w:pPr>
              <w:pStyle w:val="115"/>
              <w:jc w:val="center"/>
            </w:pPr>
          </w:p>
        </w:tc>
        <w:tc>
          <w:tcPr>
            <w:tcW w:w="1066" w:type="pct"/>
            <w:vMerge w:val="continue"/>
            <w:tcBorders>
              <w:top w:val="nil"/>
              <w:left w:val="single" w:color="000000" w:sz="8" w:space="0"/>
              <w:bottom w:val="single" w:color="000000" w:sz="8" w:space="0"/>
              <w:right w:val="single" w:color="000000" w:sz="8" w:space="0"/>
            </w:tcBorders>
            <w:shd w:val="clear" w:color="auto" w:fill="auto"/>
            <w:vAlign w:val="center"/>
          </w:tcPr>
          <w:p w14:paraId="4DABB826">
            <w:pPr>
              <w:pStyle w:val="115"/>
              <w:jc w:val="center"/>
            </w:pPr>
          </w:p>
        </w:tc>
        <w:tc>
          <w:tcPr>
            <w:tcW w:w="1932" w:type="pct"/>
            <w:tcBorders>
              <w:top w:val="nil"/>
              <w:left w:val="single" w:color="000000" w:sz="8" w:space="0"/>
              <w:bottom w:val="single" w:color="000000" w:sz="8" w:space="0"/>
              <w:right w:val="single" w:color="000000" w:sz="8" w:space="0"/>
            </w:tcBorders>
            <w:shd w:val="clear" w:color="auto" w:fill="auto"/>
            <w:vAlign w:val="center"/>
          </w:tcPr>
          <w:p w14:paraId="7944E538">
            <w:pPr>
              <w:pStyle w:val="115"/>
              <w:jc w:val="center"/>
            </w:pPr>
            <w:r>
              <w:rPr>
                <w:rFonts w:hint="eastAsia"/>
              </w:rPr>
              <w:t>粮食安全</w:t>
            </w:r>
          </w:p>
        </w:tc>
        <w:tc>
          <w:tcPr>
            <w:tcW w:w="1435" w:type="pct"/>
            <w:tcBorders>
              <w:top w:val="nil"/>
              <w:left w:val="single" w:color="000000" w:sz="8" w:space="0"/>
              <w:bottom w:val="single" w:color="000000" w:sz="8" w:space="0"/>
              <w:right w:val="single" w:color="000000" w:sz="8" w:space="0"/>
            </w:tcBorders>
            <w:shd w:val="clear" w:color="auto" w:fill="auto"/>
            <w:vAlign w:val="center"/>
          </w:tcPr>
          <w:p w14:paraId="5D6968EA">
            <w:pPr>
              <w:pStyle w:val="115"/>
              <w:jc w:val="center"/>
            </w:pPr>
            <w:r>
              <w:rPr>
                <w:rFonts w:hint="eastAsia"/>
              </w:rPr>
              <w:t>——</w:t>
            </w:r>
          </w:p>
        </w:tc>
      </w:tr>
      <w:tr w14:paraId="4F32C0BA">
        <w:tblPrEx>
          <w:tblCellMar>
            <w:top w:w="0" w:type="dxa"/>
            <w:left w:w="108" w:type="dxa"/>
            <w:bottom w:w="0" w:type="dxa"/>
            <w:right w:w="108" w:type="dxa"/>
          </w:tblCellMar>
        </w:tblPrEx>
        <w:trPr>
          <w:trHeight w:val="57" w:hRule="atLeast"/>
        </w:trPr>
        <w:tc>
          <w:tcPr>
            <w:tcW w:w="565" w:type="pct"/>
            <w:vMerge w:val="continue"/>
            <w:tcBorders>
              <w:top w:val="nil"/>
              <w:left w:val="single" w:color="000000" w:sz="8" w:space="0"/>
              <w:bottom w:val="single" w:color="000000" w:sz="8" w:space="0"/>
              <w:right w:val="single" w:color="000000" w:sz="8" w:space="0"/>
            </w:tcBorders>
            <w:shd w:val="clear" w:color="auto" w:fill="auto"/>
            <w:vAlign w:val="center"/>
          </w:tcPr>
          <w:p w14:paraId="2EF36C34">
            <w:pPr>
              <w:pStyle w:val="115"/>
              <w:jc w:val="center"/>
            </w:pPr>
          </w:p>
        </w:tc>
        <w:tc>
          <w:tcPr>
            <w:tcW w:w="1066" w:type="pct"/>
            <w:vMerge w:val="continue"/>
            <w:tcBorders>
              <w:top w:val="nil"/>
              <w:left w:val="single" w:color="000000" w:sz="8" w:space="0"/>
              <w:bottom w:val="single" w:color="000000" w:sz="8" w:space="0"/>
              <w:right w:val="single" w:color="000000" w:sz="8" w:space="0"/>
            </w:tcBorders>
            <w:shd w:val="clear" w:color="auto" w:fill="auto"/>
            <w:vAlign w:val="center"/>
          </w:tcPr>
          <w:p w14:paraId="3134CCF2">
            <w:pPr>
              <w:pStyle w:val="115"/>
              <w:jc w:val="center"/>
            </w:pPr>
          </w:p>
        </w:tc>
        <w:tc>
          <w:tcPr>
            <w:tcW w:w="1932" w:type="pct"/>
            <w:tcBorders>
              <w:top w:val="nil"/>
              <w:left w:val="single" w:color="000000" w:sz="8" w:space="0"/>
              <w:bottom w:val="single" w:color="000000" w:sz="8" w:space="0"/>
              <w:right w:val="single" w:color="000000" w:sz="8" w:space="0"/>
            </w:tcBorders>
            <w:shd w:val="clear" w:color="auto" w:fill="auto"/>
            <w:vAlign w:val="center"/>
          </w:tcPr>
          <w:p w14:paraId="6FF3D1A6">
            <w:pPr>
              <w:pStyle w:val="115"/>
              <w:jc w:val="center"/>
            </w:pPr>
            <w:r>
              <w:rPr>
                <w:rFonts w:hint="eastAsia"/>
              </w:rPr>
              <w:t>生态安全</w:t>
            </w:r>
          </w:p>
        </w:tc>
        <w:tc>
          <w:tcPr>
            <w:tcW w:w="1435" w:type="pct"/>
            <w:tcBorders>
              <w:top w:val="nil"/>
              <w:left w:val="single" w:color="000000" w:sz="8" w:space="0"/>
              <w:bottom w:val="single" w:color="000000" w:sz="8" w:space="0"/>
              <w:right w:val="single" w:color="000000" w:sz="8" w:space="0"/>
            </w:tcBorders>
            <w:shd w:val="clear" w:color="auto" w:fill="auto"/>
            <w:vAlign w:val="center"/>
          </w:tcPr>
          <w:p w14:paraId="734CF6C1">
            <w:pPr>
              <w:pStyle w:val="115"/>
              <w:jc w:val="center"/>
            </w:pPr>
            <w:r>
              <w:rPr>
                <w:rFonts w:hint="eastAsia"/>
              </w:rPr>
              <w:t>好</w:t>
            </w:r>
          </w:p>
        </w:tc>
      </w:tr>
      <w:tr w14:paraId="21F6D9D0">
        <w:tblPrEx>
          <w:tblCellMar>
            <w:top w:w="0" w:type="dxa"/>
            <w:left w:w="108" w:type="dxa"/>
            <w:bottom w:w="0" w:type="dxa"/>
            <w:right w:w="108" w:type="dxa"/>
          </w:tblCellMar>
        </w:tblPrEx>
        <w:trPr>
          <w:trHeight w:val="57" w:hRule="atLeast"/>
        </w:trPr>
        <w:tc>
          <w:tcPr>
            <w:tcW w:w="565" w:type="pct"/>
            <w:vMerge w:val="continue"/>
            <w:tcBorders>
              <w:top w:val="nil"/>
              <w:left w:val="single" w:color="000000" w:sz="8" w:space="0"/>
              <w:bottom w:val="single" w:color="000000" w:sz="8" w:space="0"/>
              <w:right w:val="single" w:color="000000" w:sz="8" w:space="0"/>
            </w:tcBorders>
            <w:shd w:val="clear" w:color="auto" w:fill="auto"/>
            <w:vAlign w:val="center"/>
          </w:tcPr>
          <w:p w14:paraId="256CDB84">
            <w:pPr>
              <w:pStyle w:val="115"/>
              <w:jc w:val="center"/>
            </w:pPr>
          </w:p>
        </w:tc>
        <w:tc>
          <w:tcPr>
            <w:tcW w:w="1066" w:type="pct"/>
            <w:vMerge w:val="continue"/>
            <w:tcBorders>
              <w:top w:val="nil"/>
              <w:left w:val="single" w:color="000000" w:sz="8" w:space="0"/>
              <w:bottom w:val="single" w:color="000000" w:sz="8" w:space="0"/>
              <w:right w:val="single" w:color="000000" w:sz="8" w:space="0"/>
            </w:tcBorders>
            <w:shd w:val="clear" w:color="auto" w:fill="auto"/>
            <w:vAlign w:val="center"/>
          </w:tcPr>
          <w:p w14:paraId="2EA45BAE">
            <w:pPr>
              <w:pStyle w:val="115"/>
              <w:jc w:val="center"/>
            </w:pPr>
          </w:p>
        </w:tc>
        <w:tc>
          <w:tcPr>
            <w:tcW w:w="1932" w:type="pct"/>
            <w:tcBorders>
              <w:top w:val="nil"/>
              <w:left w:val="single" w:color="000000" w:sz="8" w:space="0"/>
              <w:bottom w:val="single" w:color="000000" w:sz="8" w:space="0"/>
              <w:right w:val="single" w:color="000000" w:sz="8" w:space="0"/>
            </w:tcBorders>
            <w:shd w:val="clear" w:color="auto" w:fill="auto"/>
            <w:vAlign w:val="center"/>
          </w:tcPr>
          <w:p w14:paraId="6A755C58">
            <w:pPr>
              <w:pStyle w:val="115"/>
              <w:jc w:val="center"/>
            </w:pPr>
            <w:r>
              <w:rPr>
                <w:rFonts w:hint="eastAsia"/>
              </w:rPr>
              <w:t>文化安全</w:t>
            </w:r>
          </w:p>
        </w:tc>
        <w:tc>
          <w:tcPr>
            <w:tcW w:w="1435" w:type="pct"/>
            <w:tcBorders>
              <w:top w:val="nil"/>
              <w:left w:val="single" w:color="000000" w:sz="8" w:space="0"/>
              <w:bottom w:val="single" w:color="000000" w:sz="8" w:space="0"/>
              <w:right w:val="single" w:color="000000" w:sz="8" w:space="0"/>
            </w:tcBorders>
            <w:shd w:val="clear" w:color="auto" w:fill="auto"/>
            <w:vAlign w:val="center"/>
          </w:tcPr>
          <w:p w14:paraId="13A35673">
            <w:pPr>
              <w:pStyle w:val="115"/>
              <w:jc w:val="center"/>
            </w:pPr>
            <w:r>
              <w:rPr>
                <w:rFonts w:hint="eastAsia"/>
              </w:rPr>
              <w:t>——</w:t>
            </w:r>
          </w:p>
        </w:tc>
      </w:tr>
      <w:tr w14:paraId="353D1906">
        <w:tblPrEx>
          <w:tblCellMar>
            <w:top w:w="0" w:type="dxa"/>
            <w:left w:w="108" w:type="dxa"/>
            <w:bottom w:w="0" w:type="dxa"/>
            <w:right w:w="108" w:type="dxa"/>
          </w:tblCellMar>
        </w:tblPrEx>
        <w:trPr>
          <w:trHeight w:val="57" w:hRule="atLeast"/>
        </w:trPr>
        <w:tc>
          <w:tcPr>
            <w:tcW w:w="565" w:type="pct"/>
            <w:vMerge w:val="continue"/>
            <w:tcBorders>
              <w:top w:val="nil"/>
              <w:left w:val="single" w:color="000000" w:sz="8" w:space="0"/>
              <w:bottom w:val="single" w:color="000000" w:sz="8" w:space="0"/>
              <w:right w:val="single" w:color="000000" w:sz="8" w:space="0"/>
            </w:tcBorders>
            <w:shd w:val="clear" w:color="auto" w:fill="auto"/>
            <w:vAlign w:val="center"/>
          </w:tcPr>
          <w:p w14:paraId="55CF2951">
            <w:pPr>
              <w:pStyle w:val="115"/>
              <w:jc w:val="center"/>
            </w:pPr>
          </w:p>
        </w:tc>
        <w:tc>
          <w:tcPr>
            <w:tcW w:w="1066" w:type="pct"/>
            <w:vMerge w:val="continue"/>
            <w:tcBorders>
              <w:top w:val="nil"/>
              <w:left w:val="single" w:color="000000" w:sz="8" w:space="0"/>
              <w:bottom w:val="single" w:color="000000" w:sz="8" w:space="0"/>
              <w:right w:val="single" w:color="000000" w:sz="8" w:space="0"/>
            </w:tcBorders>
            <w:shd w:val="clear" w:color="auto" w:fill="auto"/>
            <w:vAlign w:val="center"/>
          </w:tcPr>
          <w:p w14:paraId="22CB0780">
            <w:pPr>
              <w:pStyle w:val="115"/>
              <w:jc w:val="center"/>
            </w:pPr>
          </w:p>
        </w:tc>
        <w:tc>
          <w:tcPr>
            <w:tcW w:w="1932" w:type="pct"/>
            <w:tcBorders>
              <w:top w:val="nil"/>
              <w:left w:val="single" w:color="000000" w:sz="8" w:space="0"/>
              <w:bottom w:val="single" w:color="000000" w:sz="8" w:space="0"/>
              <w:right w:val="single" w:color="000000" w:sz="8" w:space="0"/>
            </w:tcBorders>
            <w:shd w:val="clear" w:color="auto" w:fill="auto"/>
            <w:vAlign w:val="center"/>
          </w:tcPr>
          <w:p w14:paraId="6D5396FB">
            <w:pPr>
              <w:pStyle w:val="115"/>
              <w:jc w:val="center"/>
            </w:pPr>
            <w:r>
              <w:rPr>
                <w:rFonts w:hint="eastAsia"/>
              </w:rPr>
              <w:t>城市韧性</w:t>
            </w:r>
          </w:p>
        </w:tc>
        <w:tc>
          <w:tcPr>
            <w:tcW w:w="1435" w:type="pct"/>
            <w:tcBorders>
              <w:top w:val="nil"/>
              <w:left w:val="single" w:color="000000" w:sz="8" w:space="0"/>
              <w:bottom w:val="single" w:color="000000" w:sz="8" w:space="0"/>
              <w:right w:val="single" w:color="000000" w:sz="8" w:space="0"/>
            </w:tcBorders>
            <w:shd w:val="clear" w:color="auto" w:fill="auto"/>
            <w:vAlign w:val="center"/>
          </w:tcPr>
          <w:p w14:paraId="24FFFA90">
            <w:pPr>
              <w:pStyle w:val="115"/>
              <w:jc w:val="center"/>
            </w:pPr>
            <w:r>
              <w:rPr>
                <w:rFonts w:hint="eastAsia"/>
              </w:rPr>
              <w:t>好</w:t>
            </w:r>
          </w:p>
        </w:tc>
      </w:tr>
      <w:tr w14:paraId="680C09BF">
        <w:tblPrEx>
          <w:tblCellMar>
            <w:top w:w="0" w:type="dxa"/>
            <w:left w:w="108" w:type="dxa"/>
            <w:bottom w:w="0" w:type="dxa"/>
            <w:right w:w="108" w:type="dxa"/>
          </w:tblCellMar>
        </w:tblPrEx>
        <w:trPr>
          <w:trHeight w:val="57" w:hRule="atLeast"/>
        </w:trPr>
        <w:tc>
          <w:tcPr>
            <w:tcW w:w="565" w:type="pct"/>
            <w:vMerge w:val="continue"/>
            <w:tcBorders>
              <w:top w:val="nil"/>
              <w:left w:val="single" w:color="000000" w:sz="8" w:space="0"/>
              <w:bottom w:val="single" w:color="000000" w:sz="8" w:space="0"/>
              <w:right w:val="single" w:color="000000" w:sz="8" w:space="0"/>
            </w:tcBorders>
            <w:shd w:val="clear" w:color="auto" w:fill="auto"/>
            <w:vAlign w:val="center"/>
          </w:tcPr>
          <w:p w14:paraId="7D69EECC">
            <w:pPr>
              <w:pStyle w:val="115"/>
              <w:jc w:val="center"/>
            </w:pPr>
          </w:p>
        </w:tc>
        <w:tc>
          <w:tcPr>
            <w:tcW w:w="1066" w:type="pct"/>
            <w:vMerge w:val="continue"/>
            <w:tcBorders>
              <w:top w:val="nil"/>
              <w:left w:val="single" w:color="000000" w:sz="8" w:space="0"/>
              <w:bottom w:val="single" w:color="000000" w:sz="8" w:space="0"/>
              <w:right w:val="single" w:color="000000" w:sz="8" w:space="0"/>
            </w:tcBorders>
            <w:shd w:val="clear" w:color="auto" w:fill="auto"/>
            <w:vAlign w:val="center"/>
          </w:tcPr>
          <w:p w14:paraId="126091F2">
            <w:pPr>
              <w:pStyle w:val="115"/>
              <w:jc w:val="center"/>
            </w:pPr>
          </w:p>
        </w:tc>
        <w:tc>
          <w:tcPr>
            <w:tcW w:w="1932" w:type="pct"/>
            <w:tcBorders>
              <w:top w:val="nil"/>
              <w:left w:val="single" w:color="000000" w:sz="8" w:space="0"/>
              <w:bottom w:val="single" w:color="000000" w:sz="8" w:space="0"/>
              <w:right w:val="single" w:color="000000" w:sz="8" w:space="0"/>
            </w:tcBorders>
            <w:shd w:val="clear" w:color="auto" w:fill="auto"/>
            <w:vAlign w:val="center"/>
          </w:tcPr>
          <w:p w14:paraId="7BEC6EDC">
            <w:pPr>
              <w:pStyle w:val="115"/>
              <w:jc w:val="center"/>
            </w:pPr>
            <w:r>
              <w:rPr>
                <w:rFonts w:hint="eastAsia"/>
              </w:rPr>
              <w:t>规划管控</w:t>
            </w:r>
          </w:p>
        </w:tc>
        <w:tc>
          <w:tcPr>
            <w:tcW w:w="1435" w:type="pct"/>
            <w:tcBorders>
              <w:top w:val="nil"/>
              <w:left w:val="single" w:color="000000" w:sz="8" w:space="0"/>
              <w:bottom w:val="single" w:color="000000" w:sz="8" w:space="0"/>
              <w:right w:val="single" w:color="000000" w:sz="8" w:space="0"/>
            </w:tcBorders>
            <w:shd w:val="clear" w:color="auto" w:fill="auto"/>
            <w:vAlign w:val="center"/>
          </w:tcPr>
          <w:p w14:paraId="51E0603C">
            <w:pPr>
              <w:pStyle w:val="115"/>
              <w:jc w:val="center"/>
            </w:pPr>
            <w:r>
              <w:rPr>
                <w:rFonts w:hint="eastAsia"/>
              </w:rPr>
              <w:t>好</w:t>
            </w:r>
          </w:p>
        </w:tc>
      </w:tr>
      <w:tr w14:paraId="3D02E361">
        <w:tblPrEx>
          <w:tblCellMar>
            <w:top w:w="0" w:type="dxa"/>
            <w:left w:w="108" w:type="dxa"/>
            <w:bottom w:w="0" w:type="dxa"/>
            <w:right w:w="108" w:type="dxa"/>
          </w:tblCellMar>
        </w:tblPrEx>
        <w:trPr>
          <w:trHeight w:val="57" w:hRule="atLeast"/>
        </w:trPr>
        <w:tc>
          <w:tcPr>
            <w:tcW w:w="565" w:type="pct"/>
            <w:vMerge w:val="restart"/>
            <w:tcBorders>
              <w:top w:val="nil"/>
              <w:left w:val="single" w:color="000000" w:sz="8" w:space="0"/>
              <w:bottom w:val="single" w:color="000000" w:sz="8" w:space="0"/>
              <w:right w:val="single" w:color="000000" w:sz="8" w:space="0"/>
            </w:tcBorders>
            <w:shd w:val="clear" w:color="auto" w:fill="auto"/>
            <w:vAlign w:val="center"/>
          </w:tcPr>
          <w:p w14:paraId="652EAE5E">
            <w:pPr>
              <w:pStyle w:val="115"/>
              <w:jc w:val="center"/>
            </w:pPr>
            <w:r>
              <w:rPr>
                <w:rFonts w:hint="eastAsia"/>
              </w:rPr>
              <w:t>创新</w:t>
            </w:r>
          </w:p>
        </w:tc>
        <w:tc>
          <w:tcPr>
            <w:tcW w:w="1066" w:type="pct"/>
            <w:vMerge w:val="restart"/>
            <w:tcBorders>
              <w:top w:val="nil"/>
              <w:left w:val="single" w:color="000000" w:sz="8" w:space="0"/>
              <w:bottom w:val="single" w:color="000000" w:sz="8" w:space="0"/>
              <w:right w:val="single" w:color="000000" w:sz="8" w:space="0"/>
            </w:tcBorders>
            <w:shd w:val="clear" w:color="auto" w:fill="auto"/>
            <w:vAlign w:val="center"/>
          </w:tcPr>
          <w:p w14:paraId="3F9CA16F">
            <w:pPr>
              <w:pStyle w:val="115"/>
              <w:jc w:val="center"/>
            </w:pPr>
            <w:r>
              <w:rPr>
                <w:rFonts w:hint="eastAsia"/>
              </w:rPr>
              <w:t>存在问题</w:t>
            </w:r>
          </w:p>
        </w:tc>
        <w:tc>
          <w:tcPr>
            <w:tcW w:w="1932" w:type="pct"/>
            <w:tcBorders>
              <w:top w:val="nil"/>
              <w:left w:val="single" w:color="000000" w:sz="8" w:space="0"/>
              <w:bottom w:val="single" w:color="000000" w:sz="8" w:space="0"/>
              <w:right w:val="single" w:color="000000" w:sz="8" w:space="0"/>
            </w:tcBorders>
            <w:shd w:val="clear" w:color="auto" w:fill="auto"/>
            <w:vAlign w:val="center"/>
          </w:tcPr>
          <w:p w14:paraId="41063024">
            <w:pPr>
              <w:pStyle w:val="115"/>
              <w:jc w:val="center"/>
            </w:pPr>
            <w:r>
              <w:rPr>
                <w:rFonts w:hint="eastAsia"/>
              </w:rPr>
              <w:t>投入产出</w:t>
            </w:r>
          </w:p>
        </w:tc>
        <w:tc>
          <w:tcPr>
            <w:tcW w:w="1435" w:type="pct"/>
            <w:tcBorders>
              <w:top w:val="nil"/>
              <w:left w:val="single" w:color="000000" w:sz="8" w:space="0"/>
              <w:bottom w:val="single" w:color="000000" w:sz="8" w:space="0"/>
              <w:right w:val="single" w:color="000000" w:sz="8" w:space="0"/>
            </w:tcBorders>
            <w:shd w:val="clear" w:color="auto" w:fill="auto"/>
            <w:vAlign w:val="center"/>
          </w:tcPr>
          <w:p w14:paraId="085174EE">
            <w:pPr>
              <w:pStyle w:val="115"/>
              <w:jc w:val="center"/>
            </w:pPr>
            <w:r>
              <w:rPr>
                <w:rFonts w:hint="eastAsia"/>
              </w:rPr>
              <w:t>一般</w:t>
            </w:r>
          </w:p>
        </w:tc>
      </w:tr>
      <w:tr w14:paraId="1A38C2AD">
        <w:tblPrEx>
          <w:tblCellMar>
            <w:top w:w="0" w:type="dxa"/>
            <w:left w:w="108" w:type="dxa"/>
            <w:bottom w:w="0" w:type="dxa"/>
            <w:right w:w="108" w:type="dxa"/>
          </w:tblCellMar>
        </w:tblPrEx>
        <w:trPr>
          <w:trHeight w:val="57" w:hRule="atLeast"/>
        </w:trPr>
        <w:tc>
          <w:tcPr>
            <w:tcW w:w="565" w:type="pct"/>
            <w:vMerge w:val="continue"/>
            <w:tcBorders>
              <w:top w:val="nil"/>
              <w:left w:val="single" w:color="000000" w:sz="8" w:space="0"/>
              <w:bottom w:val="single" w:color="000000" w:sz="8" w:space="0"/>
              <w:right w:val="single" w:color="000000" w:sz="8" w:space="0"/>
            </w:tcBorders>
            <w:shd w:val="clear" w:color="auto" w:fill="auto"/>
            <w:vAlign w:val="center"/>
          </w:tcPr>
          <w:p w14:paraId="784AF58F">
            <w:pPr>
              <w:pStyle w:val="115"/>
              <w:jc w:val="center"/>
            </w:pPr>
          </w:p>
        </w:tc>
        <w:tc>
          <w:tcPr>
            <w:tcW w:w="1066" w:type="pct"/>
            <w:vMerge w:val="continue"/>
            <w:tcBorders>
              <w:top w:val="nil"/>
              <w:left w:val="single" w:color="000000" w:sz="8" w:space="0"/>
              <w:bottom w:val="single" w:color="000000" w:sz="8" w:space="0"/>
              <w:right w:val="single" w:color="000000" w:sz="8" w:space="0"/>
            </w:tcBorders>
            <w:shd w:val="clear" w:color="auto" w:fill="auto"/>
            <w:vAlign w:val="center"/>
          </w:tcPr>
          <w:p w14:paraId="2A6F3CFA">
            <w:pPr>
              <w:pStyle w:val="115"/>
              <w:jc w:val="center"/>
            </w:pPr>
          </w:p>
        </w:tc>
        <w:tc>
          <w:tcPr>
            <w:tcW w:w="1932" w:type="pct"/>
            <w:tcBorders>
              <w:top w:val="nil"/>
              <w:left w:val="single" w:color="000000" w:sz="8" w:space="0"/>
              <w:bottom w:val="single" w:color="000000" w:sz="8" w:space="0"/>
              <w:right w:val="single" w:color="000000" w:sz="8" w:space="0"/>
            </w:tcBorders>
            <w:shd w:val="clear" w:color="auto" w:fill="auto"/>
            <w:vAlign w:val="center"/>
          </w:tcPr>
          <w:p w14:paraId="141F0267">
            <w:pPr>
              <w:pStyle w:val="115"/>
              <w:jc w:val="center"/>
            </w:pPr>
            <w:r>
              <w:rPr>
                <w:rFonts w:hint="eastAsia"/>
              </w:rPr>
              <w:t>发展模式</w:t>
            </w:r>
          </w:p>
        </w:tc>
        <w:tc>
          <w:tcPr>
            <w:tcW w:w="1435" w:type="pct"/>
            <w:tcBorders>
              <w:top w:val="nil"/>
              <w:left w:val="single" w:color="000000" w:sz="8" w:space="0"/>
              <w:bottom w:val="single" w:color="000000" w:sz="8" w:space="0"/>
              <w:right w:val="single" w:color="000000" w:sz="8" w:space="0"/>
            </w:tcBorders>
            <w:shd w:val="clear" w:color="auto" w:fill="auto"/>
            <w:vAlign w:val="center"/>
          </w:tcPr>
          <w:p w14:paraId="41A3AE0A">
            <w:pPr>
              <w:pStyle w:val="115"/>
              <w:jc w:val="center"/>
            </w:pPr>
            <w:r>
              <w:rPr>
                <w:rFonts w:hint="eastAsia"/>
              </w:rPr>
              <w:t>一般</w:t>
            </w:r>
          </w:p>
        </w:tc>
      </w:tr>
      <w:tr w14:paraId="15BCBC94">
        <w:tblPrEx>
          <w:tblCellMar>
            <w:top w:w="0" w:type="dxa"/>
            <w:left w:w="108" w:type="dxa"/>
            <w:bottom w:w="0" w:type="dxa"/>
            <w:right w:w="108" w:type="dxa"/>
          </w:tblCellMar>
        </w:tblPrEx>
        <w:trPr>
          <w:trHeight w:val="57" w:hRule="atLeast"/>
        </w:trPr>
        <w:tc>
          <w:tcPr>
            <w:tcW w:w="565" w:type="pct"/>
            <w:vMerge w:val="continue"/>
            <w:tcBorders>
              <w:top w:val="nil"/>
              <w:left w:val="single" w:color="000000" w:sz="8" w:space="0"/>
              <w:bottom w:val="single" w:color="000000" w:sz="8" w:space="0"/>
              <w:right w:val="single" w:color="000000" w:sz="8" w:space="0"/>
            </w:tcBorders>
            <w:shd w:val="clear" w:color="auto" w:fill="auto"/>
            <w:vAlign w:val="center"/>
          </w:tcPr>
          <w:p w14:paraId="1B7B6235">
            <w:pPr>
              <w:pStyle w:val="115"/>
              <w:jc w:val="center"/>
            </w:pPr>
          </w:p>
        </w:tc>
        <w:tc>
          <w:tcPr>
            <w:tcW w:w="1066" w:type="pct"/>
            <w:vMerge w:val="continue"/>
            <w:tcBorders>
              <w:top w:val="nil"/>
              <w:left w:val="single" w:color="000000" w:sz="8" w:space="0"/>
              <w:bottom w:val="single" w:color="000000" w:sz="8" w:space="0"/>
              <w:right w:val="single" w:color="000000" w:sz="8" w:space="0"/>
            </w:tcBorders>
            <w:shd w:val="clear" w:color="auto" w:fill="auto"/>
            <w:vAlign w:val="center"/>
          </w:tcPr>
          <w:p w14:paraId="35F7DA4D">
            <w:pPr>
              <w:pStyle w:val="115"/>
              <w:jc w:val="center"/>
            </w:pPr>
          </w:p>
        </w:tc>
        <w:tc>
          <w:tcPr>
            <w:tcW w:w="1932" w:type="pct"/>
            <w:tcBorders>
              <w:top w:val="nil"/>
              <w:left w:val="single" w:color="000000" w:sz="8" w:space="0"/>
              <w:bottom w:val="single" w:color="000000" w:sz="8" w:space="0"/>
              <w:right w:val="single" w:color="000000" w:sz="8" w:space="0"/>
            </w:tcBorders>
            <w:shd w:val="clear" w:color="auto" w:fill="auto"/>
            <w:vAlign w:val="center"/>
          </w:tcPr>
          <w:p w14:paraId="49D65358">
            <w:pPr>
              <w:pStyle w:val="115"/>
              <w:jc w:val="center"/>
            </w:pPr>
            <w:r>
              <w:rPr>
                <w:rFonts w:hint="eastAsia"/>
              </w:rPr>
              <w:t>智慧城市</w:t>
            </w:r>
          </w:p>
        </w:tc>
        <w:tc>
          <w:tcPr>
            <w:tcW w:w="1435" w:type="pct"/>
            <w:tcBorders>
              <w:top w:val="nil"/>
              <w:left w:val="single" w:color="000000" w:sz="8" w:space="0"/>
              <w:bottom w:val="single" w:color="000000" w:sz="8" w:space="0"/>
              <w:right w:val="single" w:color="000000" w:sz="8" w:space="0"/>
            </w:tcBorders>
            <w:shd w:val="clear" w:color="auto" w:fill="auto"/>
            <w:vAlign w:val="center"/>
          </w:tcPr>
          <w:p w14:paraId="42D05FB5">
            <w:pPr>
              <w:pStyle w:val="115"/>
              <w:jc w:val="center"/>
            </w:pPr>
            <w:r>
              <w:rPr>
                <w:rFonts w:hint="eastAsia"/>
              </w:rPr>
              <w:t>好</w:t>
            </w:r>
          </w:p>
        </w:tc>
      </w:tr>
      <w:tr w14:paraId="72BA9A33">
        <w:tblPrEx>
          <w:tblCellMar>
            <w:top w:w="0" w:type="dxa"/>
            <w:left w:w="108" w:type="dxa"/>
            <w:bottom w:w="0" w:type="dxa"/>
            <w:right w:w="108" w:type="dxa"/>
          </w:tblCellMar>
        </w:tblPrEx>
        <w:trPr>
          <w:trHeight w:val="57" w:hRule="atLeast"/>
        </w:trPr>
        <w:tc>
          <w:tcPr>
            <w:tcW w:w="565" w:type="pct"/>
            <w:vMerge w:val="restart"/>
            <w:tcBorders>
              <w:top w:val="nil"/>
              <w:left w:val="single" w:color="000000" w:sz="8" w:space="0"/>
              <w:bottom w:val="single" w:color="000000" w:sz="8" w:space="0"/>
              <w:right w:val="single" w:color="000000" w:sz="8" w:space="0"/>
            </w:tcBorders>
            <w:shd w:val="clear" w:color="auto" w:fill="auto"/>
            <w:vAlign w:val="center"/>
          </w:tcPr>
          <w:p w14:paraId="7E4A2CF3">
            <w:pPr>
              <w:pStyle w:val="115"/>
              <w:jc w:val="center"/>
            </w:pPr>
            <w:r>
              <w:rPr>
                <w:rFonts w:hint="eastAsia"/>
              </w:rPr>
              <w:t>协调</w:t>
            </w:r>
          </w:p>
        </w:tc>
        <w:tc>
          <w:tcPr>
            <w:tcW w:w="1066" w:type="pct"/>
            <w:vMerge w:val="restart"/>
            <w:tcBorders>
              <w:top w:val="nil"/>
              <w:left w:val="single" w:color="000000" w:sz="8" w:space="0"/>
              <w:bottom w:val="single" w:color="000000" w:sz="8" w:space="0"/>
              <w:right w:val="single" w:color="000000" w:sz="8" w:space="0"/>
            </w:tcBorders>
            <w:shd w:val="clear" w:color="auto" w:fill="auto"/>
            <w:vAlign w:val="center"/>
          </w:tcPr>
          <w:p w14:paraId="1287E564">
            <w:pPr>
              <w:pStyle w:val="115"/>
              <w:jc w:val="center"/>
            </w:pPr>
            <w:r>
              <w:rPr>
                <w:rFonts w:hint="eastAsia"/>
              </w:rPr>
              <w:t>存在问题</w:t>
            </w:r>
          </w:p>
        </w:tc>
        <w:tc>
          <w:tcPr>
            <w:tcW w:w="1932" w:type="pct"/>
            <w:tcBorders>
              <w:top w:val="nil"/>
              <w:left w:val="single" w:color="000000" w:sz="8" w:space="0"/>
              <w:bottom w:val="single" w:color="000000" w:sz="8" w:space="0"/>
              <w:right w:val="single" w:color="000000" w:sz="8" w:space="0"/>
            </w:tcBorders>
            <w:shd w:val="clear" w:color="auto" w:fill="auto"/>
            <w:vAlign w:val="center"/>
          </w:tcPr>
          <w:p w14:paraId="7B3370D7">
            <w:pPr>
              <w:pStyle w:val="115"/>
              <w:jc w:val="center"/>
            </w:pPr>
            <w:r>
              <w:rPr>
                <w:rFonts w:hint="eastAsia"/>
              </w:rPr>
              <w:t>集聚集约</w:t>
            </w:r>
          </w:p>
        </w:tc>
        <w:tc>
          <w:tcPr>
            <w:tcW w:w="1435" w:type="pct"/>
            <w:tcBorders>
              <w:top w:val="nil"/>
              <w:left w:val="single" w:color="000000" w:sz="8" w:space="0"/>
              <w:bottom w:val="single" w:color="000000" w:sz="8" w:space="0"/>
              <w:right w:val="single" w:color="000000" w:sz="8" w:space="0"/>
            </w:tcBorders>
            <w:shd w:val="clear" w:color="auto" w:fill="auto"/>
            <w:vAlign w:val="center"/>
          </w:tcPr>
          <w:p w14:paraId="1EA2C8D7">
            <w:pPr>
              <w:pStyle w:val="115"/>
              <w:jc w:val="center"/>
            </w:pPr>
            <w:r>
              <w:rPr>
                <w:rFonts w:hint="eastAsia"/>
              </w:rPr>
              <w:t>一般</w:t>
            </w:r>
          </w:p>
        </w:tc>
      </w:tr>
      <w:tr w14:paraId="4E6D9A59">
        <w:tblPrEx>
          <w:tblCellMar>
            <w:top w:w="0" w:type="dxa"/>
            <w:left w:w="108" w:type="dxa"/>
            <w:bottom w:w="0" w:type="dxa"/>
            <w:right w:w="108" w:type="dxa"/>
          </w:tblCellMar>
        </w:tblPrEx>
        <w:trPr>
          <w:trHeight w:val="57" w:hRule="atLeast"/>
        </w:trPr>
        <w:tc>
          <w:tcPr>
            <w:tcW w:w="565" w:type="pct"/>
            <w:vMerge w:val="continue"/>
            <w:tcBorders>
              <w:top w:val="nil"/>
              <w:left w:val="single" w:color="000000" w:sz="8" w:space="0"/>
              <w:bottom w:val="single" w:color="000000" w:sz="8" w:space="0"/>
              <w:right w:val="single" w:color="000000" w:sz="8" w:space="0"/>
            </w:tcBorders>
            <w:shd w:val="clear" w:color="auto" w:fill="auto"/>
            <w:vAlign w:val="center"/>
          </w:tcPr>
          <w:p w14:paraId="20D1A16B">
            <w:pPr>
              <w:pStyle w:val="115"/>
              <w:jc w:val="center"/>
            </w:pPr>
          </w:p>
        </w:tc>
        <w:tc>
          <w:tcPr>
            <w:tcW w:w="1066" w:type="pct"/>
            <w:vMerge w:val="continue"/>
            <w:tcBorders>
              <w:top w:val="nil"/>
              <w:left w:val="single" w:color="000000" w:sz="8" w:space="0"/>
              <w:bottom w:val="single" w:color="000000" w:sz="8" w:space="0"/>
              <w:right w:val="single" w:color="000000" w:sz="8" w:space="0"/>
            </w:tcBorders>
            <w:shd w:val="clear" w:color="auto" w:fill="auto"/>
            <w:vAlign w:val="center"/>
          </w:tcPr>
          <w:p w14:paraId="02024C65">
            <w:pPr>
              <w:pStyle w:val="115"/>
              <w:jc w:val="center"/>
            </w:pPr>
          </w:p>
        </w:tc>
        <w:tc>
          <w:tcPr>
            <w:tcW w:w="1932" w:type="pct"/>
            <w:tcBorders>
              <w:top w:val="nil"/>
              <w:left w:val="single" w:color="000000" w:sz="8" w:space="0"/>
              <w:bottom w:val="single" w:color="000000" w:sz="8" w:space="0"/>
              <w:right w:val="single" w:color="000000" w:sz="8" w:space="0"/>
            </w:tcBorders>
            <w:shd w:val="clear" w:color="auto" w:fill="auto"/>
            <w:vAlign w:val="center"/>
          </w:tcPr>
          <w:p w14:paraId="404CF10F">
            <w:pPr>
              <w:pStyle w:val="115"/>
              <w:jc w:val="center"/>
            </w:pPr>
            <w:r>
              <w:rPr>
                <w:rFonts w:hint="eastAsia"/>
              </w:rPr>
              <w:t>城乡融合</w:t>
            </w:r>
          </w:p>
        </w:tc>
        <w:tc>
          <w:tcPr>
            <w:tcW w:w="1435" w:type="pct"/>
            <w:tcBorders>
              <w:top w:val="nil"/>
              <w:left w:val="single" w:color="000000" w:sz="8" w:space="0"/>
              <w:bottom w:val="single" w:color="000000" w:sz="8" w:space="0"/>
              <w:right w:val="single" w:color="000000" w:sz="8" w:space="0"/>
            </w:tcBorders>
            <w:shd w:val="clear" w:color="auto" w:fill="auto"/>
            <w:vAlign w:val="center"/>
          </w:tcPr>
          <w:p w14:paraId="77311B3E">
            <w:pPr>
              <w:pStyle w:val="115"/>
              <w:jc w:val="center"/>
            </w:pPr>
            <w:r>
              <w:rPr>
                <w:rFonts w:hint="eastAsia"/>
              </w:rPr>
              <w:t>——</w:t>
            </w:r>
          </w:p>
        </w:tc>
      </w:tr>
      <w:tr w14:paraId="1CF77884">
        <w:tblPrEx>
          <w:tblCellMar>
            <w:top w:w="0" w:type="dxa"/>
            <w:left w:w="108" w:type="dxa"/>
            <w:bottom w:w="0" w:type="dxa"/>
            <w:right w:w="108" w:type="dxa"/>
          </w:tblCellMar>
        </w:tblPrEx>
        <w:trPr>
          <w:trHeight w:val="57" w:hRule="atLeast"/>
        </w:trPr>
        <w:tc>
          <w:tcPr>
            <w:tcW w:w="565" w:type="pct"/>
            <w:vMerge w:val="continue"/>
            <w:tcBorders>
              <w:top w:val="nil"/>
              <w:left w:val="single" w:color="000000" w:sz="8" w:space="0"/>
              <w:bottom w:val="single" w:color="000000" w:sz="8" w:space="0"/>
              <w:right w:val="single" w:color="000000" w:sz="8" w:space="0"/>
            </w:tcBorders>
            <w:shd w:val="clear" w:color="auto" w:fill="auto"/>
            <w:vAlign w:val="center"/>
          </w:tcPr>
          <w:p w14:paraId="6548C440">
            <w:pPr>
              <w:pStyle w:val="115"/>
              <w:jc w:val="center"/>
            </w:pPr>
          </w:p>
        </w:tc>
        <w:tc>
          <w:tcPr>
            <w:tcW w:w="1066" w:type="pct"/>
            <w:vMerge w:val="continue"/>
            <w:tcBorders>
              <w:top w:val="nil"/>
              <w:left w:val="single" w:color="000000" w:sz="8" w:space="0"/>
              <w:bottom w:val="single" w:color="000000" w:sz="8" w:space="0"/>
              <w:right w:val="single" w:color="000000" w:sz="8" w:space="0"/>
            </w:tcBorders>
            <w:shd w:val="clear" w:color="auto" w:fill="auto"/>
            <w:vAlign w:val="center"/>
          </w:tcPr>
          <w:p w14:paraId="2292C846">
            <w:pPr>
              <w:pStyle w:val="115"/>
              <w:jc w:val="center"/>
            </w:pPr>
          </w:p>
        </w:tc>
        <w:tc>
          <w:tcPr>
            <w:tcW w:w="1932" w:type="pct"/>
            <w:tcBorders>
              <w:top w:val="nil"/>
              <w:left w:val="single" w:color="000000" w:sz="8" w:space="0"/>
              <w:bottom w:val="single" w:color="000000" w:sz="8" w:space="0"/>
              <w:right w:val="single" w:color="000000" w:sz="8" w:space="0"/>
            </w:tcBorders>
            <w:shd w:val="clear" w:color="auto" w:fill="auto"/>
            <w:vAlign w:val="center"/>
          </w:tcPr>
          <w:p w14:paraId="05070EB5">
            <w:pPr>
              <w:pStyle w:val="115"/>
              <w:jc w:val="center"/>
            </w:pPr>
            <w:r>
              <w:rPr>
                <w:rFonts w:hint="eastAsia"/>
              </w:rPr>
              <w:t>陆海统筹</w:t>
            </w:r>
          </w:p>
        </w:tc>
        <w:tc>
          <w:tcPr>
            <w:tcW w:w="1435" w:type="pct"/>
            <w:tcBorders>
              <w:top w:val="nil"/>
              <w:left w:val="single" w:color="000000" w:sz="8" w:space="0"/>
              <w:bottom w:val="single" w:color="000000" w:sz="8" w:space="0"/>
              <w:right w:val="single" w:color="000000" w:sz="8" w:space="0"/>
            </w:tcBorders>
            <w:shd w:val="clear" w:color="auto" w:fill="auto"/>
            <w:vAlign w:val="center"/>
          </w:tcPr>
          <w:p w14:paraId="20F3F6F5">
            <w:pPr>
              <w:pStyle w:val="115"/>
              <w:jc w:val="center"/>
            </w:pPr>
            <w:r>
              <w:rPr>
                <w:rFonts w:hint="eastAsia"/>
              </w:rPr>
              <w:t>——</w:t>
            </w:r>
          </w:p>
        </w:tc>
      </w:tr>
      <w:tr w14:paraId="3A2E36CA">
        <w:tblPrEx>
          <w:tblCellMar>
            <w:top w:w="0" w:type="dxa"/>
            <w:left w:w="108" w:type="dxa"/>
            <w:bottom w:w="0" w:type="dxa"/>
            <w:right w:w="108" w:type="dxa"/>
          </w:tblCellMar>
        </w:tblPrEx>
        <w:trPr>
          <w:trHeight w:val="57" w:hRule="atLeast"/>
        </w:trPr>
        <w:tc>
          <w:tcPr>
            <w:tcW w:w="565" w:type="pct"/>
            <w:vMerge w:val="continue"/>
            <w:tcBorders>
              <w:top w:val="nil"/>
              <w:left w:val="single" w:color="000000" w:sz="8" w:space="0"/>
              <w:bottom w:val="single" w:color="000000" w:sz="8" w:space="0"/>
              <w:right w:val="single" w:color="000000" w:sz="8" w:space="0"/>
            </w:tcBorders>
            <w:shd w:val="clear" w:color="auto" w:fill="auto"/>
            <w:vAlign w:val="center"/>
          </w:tcPr>
          <w:p w14:paraId="150EEADD">
            <w:pPr>
              <w:pStyle w:val="115"/>
              <w:jc w:val="center"/>
            </w:pPr>
          </w:p>
        </w:tc>
        <w:tc>
          <w:tcPr>
            <w:tcW w:w="1066" w:type="pct"/>
            <w:vMerge w:val="continue"/>
            <w:tcBorders>
              <w:top w:val="nil"/>
              <w:left w:val="single" w:color="000000" w:sz="8" w:space="0"/>
              <w:bottom w:val="single" w:color="000000" w:sz="8" w:space="0"/>
              <w:right w:val="single" w:color="000000" w:sz="8" w:space="0"/>
            </w:tcBorders>
            <w:shd w:val="clear" w:color="auto" w:fill="auto"/>
            <w:vAlign w:val="center"/>
          </w:tcPr>
          <w:p w14:paraId="544C58CD">
            <w:pPr>
              <w:pStyle w:val="115"/>
              <w:jc w:val="center"/>
            </w:pPr>
          </w:p>
        </w:tc>
        <w:tc>
          <w:tcPr>
            <w:tcW w:w="1932" w:type="pct"/>
            <w:tcBorders>
              <w:top w:val="nil"/>
              <w:left w:val="single" w:color="000000" w:sz="8" w:space="0"/>
              <w:bottom w:val="single" w:color="000000" w:sz="8" w:space="0"/>
              <w:right w:val="single" w:color="000000" w:sz="8" w:space="0"/>
            </w:tcBorders>
            <w:shd w:val="clear" w:color="auto" w:fill="auto"/>
            <w:vAlign w:val="center"/>
          </w:tcPr>
          <w:p w14:paraId="19CFA184">
            <w:pPr>
              <w:pStyle w:val="115"/>
              <w:jc w:val="center"/>
            </w:pPr>
            <w:r>
              <w:rPr>
                <w:rFonts w:hint="eastAsia"/>
              </w:rPr>
              <w:t>地上地下统筹</w:t>
            </w:r>
          </w:p>
        </w:tc>
        <w:tc>
          <w:tcPr>
            <w:tcW w:w="1435" w:type="pct"/>
            <w:tcBorders>
              <w:top w:val="nil"/>
              <w:left w:val="single" w:color="000000" w:sz="8" w:space="0"/>
              <w:bottom w:val="single" w:color="000000" w:sz="8" w:space="0"/>
              <w:right w:val="single" w:color="000000" w:sz="8" w:space="0"/>
            </w:tcBorders>
            <w:shd w:val="clear" w:color="auto" w:fill="auto"/>
            <w:vAlign w:val="center"/>
          </w:tcPr>
          <w:p w14:paraId="4024CB61">
            <w:pPr>
              <w:pStyle w:val="115"/>
              <w:jc w:val="center"/>
            </w:pPr>
            <w:r>
              <w:rPr>
                <w:rFonts w:hint="eastAsia"/>
              </w:rPr>
              <w:t>——</w:t>
            </w:r>
          </w:p>
        </w:tc>
      </w:tr>
      <w:tr w14:paraId="0D30ED44">
        <w:tblPrEx>
          <w:tblCellMar>
            <w:top w:w="0" w:type="dxa"/>
            <w:left w:w="108" w:type="dxa"/>
            <w:bottom w:w="0" w:type="dxa"/>
            <w:right w:w="108" w:type="dxa"/>
          </w:tblCellMar>
        </w:tblPrEx>
        <w:trPr>
          <w:trHeight w:val="57" w:hRule="atLeast"/>
        </w:trPr>
        <w:tc>
          <w:tcPr>
            <w:tcW w:w="565" w:type="pct"/>
            <w:vMerge w:val="restart"/>
            <w:tcBorders>
              <w:top w:val="nil"/>
              <w:left w:val="single" w:color="000000" w:sz="8" w:space="0"/>
              <w:bottom w:val="single" w:color="000000" w:sz="8" w:space="0"/>
              <w:right w:val="single" w:color="000000" w:sz="8" w:space="0"/>
            </w:tcBorders>
            <w:shd w:val="clear" w:color="auto" w:fill="auto"/>
            <w:vAlign w:val="center"/>
          </w:tcPr>
          <w:p w14:paraId="2BDF7379">
            <w:pPr>
              <w:pStyle w:val="115"/>
              <w:jc w:val="center"/>
            </w:pPr>
            <w:r>
              <w:rPr>
                <w:rFonts w:hint="eastAsia"/>
              </w:rPr>
              <w:t>绿色</w:t>
            </w:r>
          </w:p>
        </w:tc>
        <w:tc>
          <w:tcPr>
            <w:tcW w:w="1066" w:type="pct"/>
            <w:vMerge w:val="restart"/>
            <w:tcBorders>
              <w:top w:val="nil"/>
              <w:left w:val="single" w:color="000000" w:sz="8" w:space="0"/>
              <w:bottom w:val="single" w:color="000000" w:sz="8" w:space="0"/>
              <w:right w:val="single" w:color="000000" w:sz="8" w:space="0"/>
            </w:tcBorders>
            <w:shd w:val="clear" w:color="auto" w:fill="auto"/>
            <w:vAlign w:val="center"/>
          </w:tcPr>
          <w:p w14:paraId="5A85A1C3">
            <w:pPr>
              <w:pStyle w:val="115"/>
              <w:jc w:val="center"/>
            </w:pPr>
            <w:r>
              <w:rPr>
                <w:rFonts w:hint="eastAsia"/>
              </w:rPr>
              <w:t>尚可</w:t>
            </w:r>
          </w:p>
        </w:tc>
        <w:tc>
          <w:tcPr>
            <w:tcW w:w="1932" w:type="pct"/>
            <w:tcBorders>
              <w:top w:val="nil"/>
              <w:left w:val="single" w:color="000000" w:sz="8" w:space="0"/>
              <w:bottom w:val="single" w:color="000000" w:sz="8" w:space="0"/>
              <w:right w:val="single" w:color="000000" w:sz="8" w:space="0"/>
            </w:tcBorders>
            <w:shd w:val="clear" w:color="auto" w:fill="auto"/>
            <w:vAlign w:val="center"/>
          </w:tcPr>
          <w:p w14:paraId="21A7AD54">
            <w:pPr>
              <w:pStyle w:val="115"/>
              <w:jc w:val="center"/>
            </w:pPr>
            <w:r>
              <w:rPr>
                <w:rFonts w:hint="eastAsia"/>
              </w:rPr>
              <w:t>生态保护</w:t>
            </w:r>
          </w:p>
        </w:tc>
        <w:tc>
          <w:tcPr>
            <w:tcW w:w="1435" w:type="pct"/>
            <w:tcBorders>
              <w:top w:val="nil"/>
              <w:left w:val="single" w:color="000000" w:sz="8" w:space="0"/>
              <w:bottom w:val="single" w:color="000000" w:sz="8" w:space="0"/>
              <w:right w:val="single" w:color="000000" w:sz="8" w:space="0"/>
            </w:tcBorders>
            <w:shd w:val="clear" w:color="auto" w:fill="auto"/>
            <w:vAlign w:val="center"/>
          </w:tcPr>
          <w:p w14:paraId="277B2414">
            <w:pPr>
              <w:pStyle w:val="115"/>
              <w:jc w:val="center"/>
            </w:pPr>
            <w:r>
              <w:rPr>
                <w:rFonts w:hint="eastAsia"/>
              </w:rPr>
              <w:t>好</w:t>
            </w:r>
          </w:p>
        </w:tc>
      </w:tr>
      <w:tr w14:paraId="5F5D5D6C">
        <w:tblPrEx>
          <w:tblCellMar>
            <w:top w:w="0" w:type="dxa"/>
            <w:left w:w="108" w:type="dxa"/>
            <w:bottom w:w="0" w:type="dxa"/>
            <w:right w:w="108" w:type="dxa"/>
          </w:tblCellMar>
        </w:tblPrEx>
        <w:trPr>
          <w:trHeight w:val="57" w:hRule="atLeast"/>
        </w:trPr>
        <w:tc>
          <w:tcPr>
            <w:tcW w:w="565" w:type="pct"/>
            <w:vMerge w:val="continue"/>
            <w:tcBorders>
              <w:top w:val="nil"/>
              <w:left w:val="single" w:color="000000" w:sz="8" w:space="0"/>
              <w:bottom w:val="single" w:color="000000" w:sz="8" w:space="0"/>
              <w:right w:val="single" w:color="000000" w:sz="8" w:space="0"/>
            </w:tcBorders>
            <w:shd w:val="clear" w:color="auto" w:fill="auto"/>
            <w:vAlign w:val="center"/>
          </w:tcPr>
          <w:p w14:paraId="6796A213">
            <w:pPr>
              <w:pStyle w:val="115"/>
              <w:jc w:val="center"/>
            </w:pPr>
          </w:p>
        </w:tc>
        <w:tc>
          <w:tcPr>
            <w:tcW w:w="1066" w:type="pct"/>
            <w:vMerge w:val="continue"/>
            <w:tcBorders>
              <w:top w:val="nil"/>
              <w:left w:val="single" w:color="000000" w:sz="8" w:space="0"/>
              <w:bottom w:val="single" w:color="000000" w:sz="8" w:space="0"/>
              <w:right w:val="single" w:color="000000" w:sz="8" w:space="0"/>
            </w:tcBorders>
            <w:shd w:val="clear" w:color="auto" w:fill="auto"/>
            <w:vAlign w:val="center"/>
          </w:tcPr>
          <w:p w14:paraId="2202E385">
            <w:pPr>
              <w:pStyle w:val="115"/>
              <w:jc w:val="center"/>
            </w:pPr>
          </w:p>
        </w:tc>
        <w:tc>
          <w:tcPr>
            <w:tcW w:w="1932" w:type="pct"/>
            <w:tcBorders>
              <w:top w:val="nil"/>
              <w:left w:val="single" w:color="000000" w:sz="8" w:space="0"/>
              <w:bottom w:val="single" w:color="000000" w:sz="8" w:space="0"/>
              <w:right w:val="single" w:color="000000" w:sz="8" w:space="0"/>
            </w:tcBorders>
            <w:shd w:val="clear" w:color="auto" w:fill="auto"/>
            <w:vAlign w:val="center"/>
          </w:tcPr>
          <w:p w14:paraId="4D1A4312">
            <w:pPr>
              <w:pStyle w:val="115"/>
              <w:jc w:val="center"/>
            </w:pPr>
            <w:r>
              <w:rPr>
                <w:rFonts w:hint="eastAsia"/>
              </w:rPr>
              <w:t>绿色低碳生产</w:t>
            </w:r>
          </w:p>
        </w:tc>
        <w:tc>
          <w:tcPr>
            <w:tcW w:w="1435" w:type="pct"/>
            <w:tcBorders>
              <w:top w:val="nil"/>
              <w:left w:val="single" w:color="000000" w:sz="8" w:space="0"/>
              <w:bottom w:val="single" w:color="000000" w:sz="8" w:space="0"/>
              <w:right w:val="single" w:color="000000" w:sz="8" w:space="0"/>
            </w:tcBorders>
            <w:shd w:val="clear" w:color="auto" w:fill="auto"/>
            <w:vAlign w:val="center"/>
          </w:tcPr>
          <w:p w14:paraId="67394729">
            <w:pPr>
              <w:pStyle w:val="115"/>
              <w:jc w:val="center"/>
            </w:pPr>
            <w:r>
              <w:rPr>
                <w:rFonts w:hint="eastAsia"/>
              </w:rPr>
              <w:t>一般</w:t>
            </w:r>
          </w:p>
        </w:tc>
      </w:tr>
      <w:tr w14:paraId="6A21B1F7">
        <w:tblPrEx>
          <w:tblCellMar>
            <w:top w:w="0" w:type="dxa"/>
            <w:left w:w="108" w:type="dxa"/>
            <w:bottom w:w="0" w:type="dxa"/>
            <w:right w:w="108" w:type="dxa"/>
          </w:tblCellMar>
        </w:tblPrEx>
        <w:trPr>
          <w:trHeight w:val="57" w:hRule="atLeast"/>
        </w:trPr>
        <w:tc>
          <w:tcPr>
            <w:tcW w:w="565" w:type="pct"/>
            <w:vMerge w:val="continue"/>
            <w:tcBorders>
              <w:top w:val="nil"/>
              <w:left w:val="single" w:color="000000" w:sz="8" w:space="0"/>
              <w:bottom w:val="single" w:color="000000" w:sz="8" w:space="0"/>
              <w:right w:val="single" w:color="000000" w:sz="8" w:space="0"/>
            </w:tcBorders>
            <w:shd w:val="clear" w:color="auto" w:fill="auto"/>
            <w:vAlign w:val="center"/>
          </w:tcPr>
          <w:p w14:paraId="0D5DA47C">
            <w:pPr>
              <w:pStyle w:val="115"/>
              <w:jc w:val="center"/>
            </w:pPr>
          </w:p>
        </w:tc>
        <w:tc>
          <w:tcPr>
            <w:tcW w:w="1066" w:type="pct"/>
            <w:vMerge w:val="continue"/>
            <w:tcBorders>
              <w:top w:val="nil"/>
              <w:left w:val="single" w:color="000000" w:sz="8" w:space="0"/>
              <w:bottom w:val="single" w:color="000000" w:sz="8" w:space="0"/>
              <w:right w:val="single" w:color="000000" w:sz="8" w:space="0"/>
            </w:tcBorders>
            <w:shd w:val="clear" w:color="auto" w:fill="auto"/>
            <w:vAlign w:val="center"/>
          </w:tcPr>
          <w:p w14:paraId="090F0178">
            <w:pPr>
              <w:pStyle w:val="115"/>
              <w:jc w:val="center"/>
            </w:pPr>
          </w:p>
        </w:tc>
        <w:tc>
          <w:tcPr>
            <w:tcW w:w="1932" w:type="pct"/>
            <w:tcBorders>
              <w:top w:val="nil"/>
              <w:left w:val="single" w:color="000000" w:sz="8" w:space="0"/>
              <w:bottom w:val="single" w:color="000000" w:sz="8" w:space="0"/>
              <w:right w:val="single" w:color="000000" w:sz="8" w:space="0"/>
            </w:tcBorders>
            <w:shd w:val="clear" w:color="auto" w:fill="auto"/>
            <w:vAlign w:val="center"/>
          </w:tcPr>
          <w:p w14:paraId="77288FAD">
            <w:pPr>
              <w:pStyle w:val="115"/>
              <w:jc w:val="center"/>
            </w:pPr>
            <w:r>
              <w:rPr>
                <w:rFonts w:hint="eastAsia"/>
              </w:rPr>
              <w:t>绿色低碳生活</w:t>
            </w:r>
          </w:p>
        </w:tc>
        <w:tc>
          <w:tcPr>
            <w:tcW w:w="1435" w:type="pct"/>
            <w:tcBorders>
              <w:top w:val="nil"/>
              <w:left w:val="single" w:color="000000" w:sz="8" w:space="0"/>
              <w:bottom w:val="single" w:color="000000" w:sz="8" w:space="0"/>
              <w:right w:val="single" w:color="000000" w:sz="8" w:space="0"/>
            </w:tcBorders>
            <w:shd w:val="clear" w:color="auto" w:fill="auto"/>
            <w:vAlign w:val="center"/>
          </w:tcPr>
          <w:p w14:paraId="169DF4D4">
            <w:pPr>
              <w:pStyle w:val="115"/>
              <w:jc w:val="center"/>
            </w:pPr>
            <w:r>
              <w:rPr>
                <w:rFonts w:hint="eastAsia"/>
              </w:rPr>
              <w:t>好</w:t>
            </w:r>
          </w:p>
        </w:tc>
      </w:tr>
      <w:tr w14:paraId="1735568A">
        <w:tblPrEx>
          <w:tblCellMar>
            <w:top w:w="0" w:type="dxa"/>
            <w:left w:w="108" w:type="dxa"/>
            <w:bottom w:w="0" w:type="dxa"/>
            <w:right w:w="108" w:type="dxa"/>
          </w:tblCellMar>
        </w:tblPrEx>
        <w:trPr>
          <w:trHeight w:val="57" w:hRule="atLeast"/>
        </w:trPr>
        <w:tc>
          <w:tcPr>
            <w:tcW w:w="565" w:type="pct"/>
            <w:vMerge w:val="restart"/>
            <w:tcBorders>
              <w:top w:val="nil"/>
              <w:left w:val="single" w:color="000000" w:sz="8" w:space="0"/>
              <w:bottom w:val="single" w:color="000000" w:sz="8" w:space="0"/>
              <w:right w:val="single" w:color="000000" w:sz="8" w:space="0"/>
            </w:tcBorders>
            <w:shd w:val="clear" w:color="auto" w:fill="auto"/>
            <w:vAlign w:val="center"/>
          </w:tcPr>
          <w:p w14:paraId="680C717E">
            <w:pPr>
              <w:pStyle w:val="115"/>
              <w:jc w:val="center"/>
            </w:pPr>
            <w:r>
              <w:rPr>
                <w:rFonts w:hint="eastAsia"/>
              </w:rPr>
              <w:t>开放</w:t>
            </w:r>
          </w:p>
        </w:tc>
        <w:tc>
          <w:tcPr>
            <w:tcW w:w="1066" w:type="pct"/>
            <w:vMerge w:val="restart"/>
            <w:tcBorders>
              <w:top w:val="nil"/>
              <w:left w:val="single" w:color="000000" w:sz="8" w:space="0"/>
              <w:bottom w:val="single" w:color="000000" w:sz="8" w:space="0"/>
              <w:right w:val="single" w:color="000000" w:sz="8" w:space="0"/>
            </w:tcBorders>
            <w:shd w:val="clear" w:color="auto" w:fill="auto"/>
            <w:vAlign w:val="center"/>
          </w:tcPr>
          <w:p w14:paraId="4631378B">
            <w:pPr>
              <w:pStyle w:val="115"/>
              <w:jc w:val="center"/>
            </w:pPr>
            <w:r>
              <w:rPr>
                <w:rFonts w:hint="eastAsia"/>
              </w:rPr>
              <w:t>存在问题</w:t>
            </w:r>
          </w:p>
        </w:tc>
        <w:tc>
          <w:tcPr>
            <w:tcW w:w="1932" w:type="pct"/>
            <w:tcBorders>
              <w:top w:val="nil"/>
              <w:left w:val="single" w:color="000000" w:sz="8" w:space="0"/>
              <w:bottom w:val="single" w:color="000000" w:sz="8" w:space="0"/>
              <w:right w:val="single" w:color="000000" w:sz="8" w:space="0"/>
            </w:tcBorders>
            <w:shd w:val="clear" w:color="auto" w:fill="auto"/>
            <w:vAlign w:val="center"/>
          </w:tcPr>
          <w:p w14:paraId="3D808D51">
            <w:pPr>
              <w:pStyle w:val="115"/>
              <w:jc w:val="center"/>
            </w:pPr>
            <w:r>
              <w:rPr>
                <w:rFonts w:hint="eastAsia"/>
              </w:rPr>
              <w:t>网络联通</w:t>
            </w:r>
          </w:p>
        </w:tc>
        <w:tc>
          <w:tcPr>
            <w:tcW w:w="1435" w:type="pct"/>
            <w:tcBorders>
              <w:top w:val="nil"/>
              <w:left w:val="single" w:color="000000" w:sz="8" w:space="0"/>
              <w:bottom w:val="single" w:color="000000" w:sz="8" w:space="0"/>
              <w:right w:val="single" w:color="000000" w:sz="8" w:space="0"/>
            </w:tcBorders>
            <w:shd w:val="clear" w:color="auto" w:fill="auto"/>
            <w:vAlign w:val="center"/>
          </w:tcPr>
          <w:p w14:paraId="0FF7368A">
            <w:pPr>
              <w:pStyle w:val="115"/>
              <w:jc w:val="center"/>
            </w:pPr>
            <w:r>
              <w:rPr>
                <w:rFonts w:hint="eastAsia"/>
              </w:rPr>
              <w:t>——</w:t>
            </w:r>
          </w:p>
        </w:tc>
      </w:tr>
      <w:tr w14:paraId="41FC459F">
        <w:tblPrEx>
          <w:tblCellMar>
            <w:top w:w="0" w:type="dxa"/>
            <w:left w:w="108" w:type="dxa"/>
            <w:bottom w:w="0" w:type="dxa"/>
            <w:right w:w="108" w:type="dxa"/>
          </w:tblCellMar>
        </w:tblPrEx>
        <w:trPr>
          <w:trHeight w:val="57" w:hRule="atLeast"/>
        </w:trPr>
        <w:tc>
          <w:tcPr>
            <w:tcW w:w="565" w:type="pct"/>
            <w:vMerge w:val="continue"/>
            <w:tcBorders>
              <w:top w:val="nil"/>
              <w:left w:val="single" w:color="000000" w:sz="8" w:space="0"/>
              <w:bottom w:val="single" w:color="000000" w:sz="8" w:space="0"/>
              <w:right w:val="single" w:color="000000" w:sz="8" w:space="0"/>
            </w:tcBorders>
            <w:shd w:val="clear" w:color="auto" w:fill="auto"/>
            <w:vAlign w:val="center"/>
          </w:tcPr>
          <w:p w14:paraId="3EEE2090">
            <w:pPr>
              <w:pStyle w:val="115"/>
              <w:jc w:val="center"/>
            </w:pPr>
          </w:p>
        </w:tc>
        <w:tc>
          <w:tcPr>
            <w:tcW w:w="1066" w:type="pct"/>
            <w:vMerge w:val="continue"/>
            <w:tcBorders>
              <w:top w:val="nil"/>
              <w:left w:val="single" w:color="000000" w:sz="8" w:space="0"/>
              <w:bottom w:val="single" w:color="000000" w:sz="8" w:space="0"/>
              <w:right w:val="single" w:color="000000" w:sz="8" w:space="0"/>
            </w:tcBorders>
            <w:shd w:val="clear" w:color="auto" w:fill="auto"/>
            <w:vAlign w:val="center"/>
          </w:tcPr>
          <w:p w14:paraId="5F1E86B5">
            <w:pPr>
              <w:pStyle w:val="115"/>
              <w:jc w:val="center"/>
            </w:pPr>
          </w:p>
        </w:tc>
        <w:tc>
          <w:tcPr>
            <w:tcW w:w="1932" w:type="pct"/>
            <w:tcBorders>
              <w:top w:val="nil"/>
              <w:left w:val="single" w:color="000000" w:sz="8" w:space="0"/>
              <w:bottom w:val="single" w:color="000000" w:sz="8" w:space="0"/>
              <w:right w:val="single" w:color="000000" w:sz="8" w:space="0"/>
            </w:tcBorders>
            <w:shd w:val="clear" w:color="auto" w:fill="auto"/>
            <w:vAlign w:val="center"/>
          </w:tcPr>
          <w:p w14:paraId="26AE4375">
            <w:pPr>
              <w:pStyle w:val="115"/>
              <w:jc w:val="center"/>
            </w:pPr>
            <w:r>
              <w:rPr>
                <w:rFonts w:hint="eastAsia"/>
              </w:rPr>
              <w:t>对外交往</w:t>
            </w:r>
          </w:p>
        </w:tc>
        <w:tc>
          <w:tcPr>
            <w:tcW w:w="1435" w:type="pct"/>
            <w:tcBorders>
              <w:top w:val="nil"/>
              <w:left w:val="single" w:color="000000" w:sz="8" w:space="0"/>
              <w:bottom w:val="single" w:color="000000" w:sz="8" w:space="0"/>
              <w:right w:val="single" w:color="000000" w:sz="8" w:space="0"/>
            </w:tcBorders>
            <w:shd w:val="clear" w:color="auto" w:fill="auto"/>
            <w:vAlign w:val="center"/>
          </w:tcPr>
          <w:p w14:paraId="496B626A">
            <w:pPr>
              <w:pStyle w:val="115"/>
              <w:jc w:val="center"/>
            </w:pPr>
            <w:r>
              <w:rPr>
                <w:rFonts w:hint="eastAsia"/>
              </w:rPr>
              <w:t>一般</w:t>
            </w:r>
          </w:p>
        </w:tc>
      </w:tr>
      <w:tr w14:paraId="7AF45CDA">
        <w:tblPrEx>
          <w:tblCellMar>
            <w:top w:w="0" w:type="dxa"/>
            <w:left w:w="108" w:type="dxa"/>
            <w:bottom w:w="0" w:type="dxa"/>
            <w:right w:w="108" w:type="dxa"/>
          </w:tblCellMar>
        </w:tblPrEx>
        <w:trPr>
          <w:trHeight w:val="57" w:hRule="atLeast"/>
        </w:trPr>
        <w:tc>
          <w:tcPr>
            <w:tcW w:w="565" w:type="pct"/>
            <w:vMerge w:val="continue"/>
            <w:tcBorders>
              <w:top w:val="nil"/>
              <w:left w:val="single" w:color="000000" w:sz="8" w:space="0"/>
              <w:bottom w:val="single" w:color="000000" w:sz="8" w:space="0"/>
              <w:right w:val="single" w:color="000000" w:sz="8" w:space="0"/>
            </w:tcBorders>
            <w:shd w:val="clear" w:color="auto" w:fill="auto"/>
            <w:vAlign w:val="center"/>
          </w:tcPr>
          <w:p w14:paraId="652947F4">
            <w:pPr>
              <w:pStyle w:val="115"/>
              <w:jc w:val="center"/>
            </w:pPr>
          </w:p>
        </w:tc>
        <w:tc>
          <w:tcPr>
            <w:tcW w:w="1066" w:type="pct"/>
            <w:vMerge w:val="continue"/>
            <w:tcBorders>
              <w:top w:val="nil"/>
              <w:left w:val="single" w:color="000000" w:sz="8" w:space="0"/>
              <w:bottom w:val="single" w:color="000000" w:sz="8" w:space="0"/>
              <w:right w:val="single" w:color="000000" w:sz="8" w:space="0"/>
            </w:tcBorders>
            <w:shd w:val="clear" w:color="auto" w:fill="auto"/>
            <w:vAlign w:val="center"/>
          </w:tcPr>
          <w:p w14:paraId="3BFD1FC3">
            <w:pPr>
              <w:pStyle w:val="115"/>
              <w:jc w:val="center"/>
            </w:pPr>
          </w:p>
        </w:tc>
        <w:tc>
          <w:tcPr>
            <w:tcW w:w="1932" w:type="pct"/>
            <w:tcBorders>
              <w:top w:val="nil"/>
              <w:left w:val="single" w:color="000000" w:sz="8" w:space="0"/>
              <w:bottom w:val="single" w:color="000000" w:sz="8" w:space="0"/>
              <w:right w:val="single" w:color="000000" w:sz="8" w:space="0"/>
            </w:tcBorders>
            <w:shd w:val="clear" w:color="auto" w:fill="auto"/>
            <w:noWrap/>
            <w:vAlign w:val="center"/>
          </w:tcPr>
          <w:p w14:paraId="12BBB066">
            <w:pPr>
              <w:pStyle w:val="115"/>
              <w:jc w:val="center"/>
            </w:pPr>
            <w:r>
              <w:rPr>
                <w:rFonts w:hint="eastAsia"/>
              </w:rPr>
              <w:t>对外贸易</w:t>
            </w:r>
          </w:p>
        </w:tc>
        <w:tc>
          <w:tcPr>
            <w:tcW w:w="1435" w:type="pct"/>
            <w:tcBorders>
              <w:top w:val="nil"/>
              <w:left w:val="single" w:color="000000" w:sz="8" w:space="0"/>
              <w:bottom w:val="single" w:color="000000" w:sz="8" w:space="0"/>
              <w:right w:val="single" w:color="000000" w:sz="8" w:space="0"/>
            </w:tcBorders>
            <w:shd w:val="clear" w:color="auto" w:fill="auto"/>
            <w:vAlign w:val="center"/>
          </w:tcPr>
          <w:p w14:paraId="0B366629">
            <w:pPr>
              <w:pStyle w:val="115"/>
              <w:jc w:val="center"/>
            </w:pPr>
            <w:r>
              <w:rPr>
                <w:rFonts w:hint="eastAsia"/>
              </w:rPr>
              <w:t>一般</w:t>
            </w:r>
          </w:p>
        </w:tc>
      </w:tr>
      <w:tr w14:paraId="5F842FEC">
        <w:tblPrEx>
          <w:tblCellMar>
            <w:top w:w="0" w:type="dxa"/>
            <w:left w:w="108" w:type="dxa"/>
            <w:bottom w:w="0" w:type="dxa"/>
            <w:right w:w="108" w:type="dxa"/>
          </w:tblCellMar>
        </w:tblPrEx>
        <w:trPr>
          <w:trHeight w:val="57" w:hRule="atLeast"/>
        </w:trPr>
        <w:tc>
          <w:tcPr>
            <w:tcW w:w="565" w:type="pct"/>
            <w:vMerge w:val="restart"/>
            <w:tcBorders>
              <w:top w:val="nil"/>
              <w:left w:val="single" w:color="000000" w:sz="8" w:space="0"/>
              <w:bottom w:val="single" w:color="000000" w:sz="8" w:space="0"/>
              <w:right w:val="single" w:color="000000" w:sz="8" w:space="0"/>
            </w:tcBorders>
            <w:shd w:val="clear" w:color="auto" w:fill="auto"/>
            <w:vAlign w:val="center"/>
          </w:tcPr>
          <w:p w14:paraId="2AB18ADA">
            <w:pPr>
              <w:pStyle w:val="115"/>
              <w:jc w:val="center"/>
            </w:pPr>
            <w:r>
              <w:rPr>
                <w:rFonts w:hint="eastAsia"/>
              </w:rPr>
              <w:t>共享</w:t>
            </w:r>
          </w:p>
        </w:tc>
        <w:tc>
          <w:tcPr>
            <w:tcW w:w="1066" w:type="pct"/>
            <w:vMerge w:val="restart"/>
            <w:tcBorders>
              <w:top w:val="nil"/>
              <w:left w:val="single" w:color="000000" w:sz="8" w:space="0"/>
              <w:bottom w:val="single" w:color="000000" w:sz="8" w:space="0"/>
              <w:right w:val="single" w:color="000000" w:sz="8" w:space="0"/>
            </w:tcBorders>
            <w:shd w:val="clear" w:color="auto" w:fill="auto"/>
            <w:vAlign w:val="center"/>
          </w:tcPr>
          <w:p w14:paraId="28D05C2F">
            <w:pPr>
              <w:pStyle w:val="115"/>
              <w:jc w:val="center"/>
            </w:pPr>
            <w:r>
              <w:rPr>
                <w:rFonts w:hint="eastAsia"/>
              </w:rPr>
              <w:t>存在问题</w:t>
            </w:r>
          </w:p>
        </w:tc>
        <w:tc>
          <w:tcPr>
            <w:tcW w:w="1932" w:type="pct"/>
            <w:tcBorders>
              <w:top w:val="nil"/>
              <w:left w:val="single" w:color="000000" w:sz="8" w:space="0"/>
              <w:bottom w:val="single" w:color="000000" w:sz="8" w:space="0"/>
              <w:right w:val="single" w:color="000000" w:sz="8" w:space="0"/>
            </w:tcBorders>
            <w:shd w:val="clear" w:color="auto" w:fill="auto"/>
            <w:vAlign w:val="center"/>
          </w:tcPr>
          <w:p w14:paraId="53E1F800">
            <w:pPr>
              <w:pStyle w:val="115"/>
              <w:jc w:val="center"/>
            </w:pPr>
            <w:r>
              <w:rPr>
                <w:rFonts w:hint="eastAsia"/>
              </w:rPr>
              <w:t>宜业</w:t>
            </w:r>
          </w:p>
        </w:tc>
        <w:tc>
          <w:tcPr>
            <w:tcW w:w="1435" w:type="pct"/>
            <w:tcBorders>
              <w:top w:val="nil"/>
              <w:left w:val="single" w:color="000000" w:sz="8" w:space="0"/>
              <w:bottom w:val="single" w:color="000000" w:sz="8" w:space="0"/>
              <w:right w:val="single" w:color="000000" w:sz="8" w:space="0"/>
            </w:tcBorders>
            <w:shd w:val="clear" w:color="auto" w:fill="auto"/>
            <w:vAlign w:val="center"/>
          </w:tcPr>
          <w:p w14:paraId="32ECADFA">
            <w:pPr>
              <w:pStyle w:val="115"/>
              <w:jc w:val="center"/>
            </w:pPr>
            <w:r>
              <w:rPr>
                <w:rFonts w:hint="eastAsia"/>
              </w:rPr>
              <w:t>好</w:t>
            </w:r>
          </w:p>
        </w:tc>
      </w:tr>
      <w:tr w14:paraId="60DC1FC2">
        <w:tblPrEx>
          <w:tblCellMar>
            <w:top w:w="0" w:type="dxa"/>
            <w:left w:w="108" w:type="dxa"/>
            <w:bottom w:w="0" w:type="dxa"/>
            <w:right w:w="108" w:type="dxa"/>
          </w:tblCellMar>
        </w:tblPrEx>
        <w:trPr>
          <w:trHeight w:val="57" w:hRule="atLeast"/>
        </w:trPr>
        <w:tc>
          <w:tcPr>
            <w:tcW w:w="565" w:type="pct"/>
            <w:vMerge w:val="continue"/>
            <w:tcBorders>
              <w:top w:val="nil"/>
              <w:left w:val="single" w:color="000000" w:sz="8" w:space="0"/>
              <w:bottom w:val="single" w:color="000000" w:sz="8" w:space="0"/>
              <w:right w:val="single" w:color="000000" w:sz="8" w:space="0"/>
            </w:tcBorders>
            <w:shd w:val="clear" w:color="auto" w:fill="auto"/>
            <w:vAlign w:val="center"/>
          </w:tcPr>
          <w:p w14:paraId="567E4A47">
            <w:pPr>
              <w:pStyle w:val="115"/>
              <w:jc w:val="center"/>
            </w:pPr>
          </w:p>
        </w:tc>
        <w:tc>
          <w:tcPr>
            <w:tcW w:w="1066" w:type="pct"/>
            <w:vMerge w:val="continue"/>
            <w:tcBorders>
              <w:top w:val="nil"/>
              <w:left w:val="single" w:color="000000" w:sz="8" w:space="0"/>
              <w:bottom w:val="single" w:color="000000" w:sz="8" w:space="0"/>
              <w:right w:val="single" w:color="000000" w:sz="8" w:space="0"/>
            </w:tcBorders>
            <w:shd w:val="clear" w:color="auto" w:fill="auto"/>
            <w:vAlign w:val="center"/>
          </w:tcPr>
          <w:p w14:paraId="157DBD7B">
            <w:pPr>
              <w:pStyle w:val="115"/>
              <w:jc w:val="center"/>
            </w:pPr>
          </w:p>
        </w:tc>
        <w:tc>
          <w:tcPr>
            <w:tcW w:w="1932" w:type="pct"/>
            <w:tcBorders>
              <w:top w:val="nil"/>
              <w:left w:val="single" w:color="000000" w:sz="8" w:space="0"/>
              <w:bottom w:val="single" w:color="000000" w:sz="8" w:space="0"/>
              <w:right w:val="single" w:color="000000" w:sz="8" w:space="0"/>
            </w:tcBorders>
            <w:shd w:val="clear" w:color="auto" w:fill="auto"/>
            <w:vAlign w:val="center"/>
          </w:tcPr>
          <w:p w14:paraId="37067FFE">
            <w:pPr>
              <w:pStyle w:val="115"/>
              <w:jc w:val="center"/>
            </w:pPr>
            <w:r>
              <w:rPr>
                <w:rFonts w:hint="eastAsia"/>
              </w:rPr>
              <w:t>宜居</w:t>
            </w:r>
          </w:p>
        </w:tc>
        <w:tc>
          <w:tcPr>
            <w:tcW w:w="1435" w:type="pct"/>
            <w:tcBorders>
              <w:top w:val="nil"/>
              <w:left w:val="single" w:color="000000" w:sz="8" w:space="0"/>
              <w:bottom w:val="single" w:color="000000" w:sz="8" w:space="0"/>
              <w:right w:val="single" w:color="000000" w:sz="8" w:space="0"/>
            </w:tcBorders>
            <w:shd w:val="clear" w:color="auto" w:fill="auto"/>
            <w:vAlign w:val="center"/>
          </w:tcPr>
          <w:p w14:paraId="7A8F4058">
            <w:pPr>
              <w:pStyle w:val="115"/>
              <w:jc w:val="center"/>
            </w:pPr>
            <w:r>
              <w:rPr>
                <w:rFonts w:hint="eastAsia"/>
              </w:rPr>
              <w:t>一般</w:t>
            </w:r>
          </w:p>
        </w:tc>
      </w:tr>
      <w:tr w14:paraId="322EF59E">
        <w:tblPrEx>
          <w:tblCellMar>
            <w:top w:w="0" w:type="dxa"/>
            <w:left w:w="108" w:type="dxa"/>
            <w:bottom w:w="0" w:type="dxa"/>
            <w:right w:w="108" w:type="dxa"/>
          </w:tblCellMar>
        </w:tblPrEx>
        <w:trPr>
          <w:trHeight w:val="57" w:hRule="atLeast"/>
        </w:trPr>
        <w:tc>
          <w:tcPr>
            <w:tcW w:w="565" w:type="pct"/>
            <w:vMerge w:val="continue"/>
            <w:tcBorders>
              <w:top w:val="nil"/>
              <w:left w:val="single" w:color="000000" w:sz="8" w:space="0"/>
              <w:bottom w:val="single" w:color="000000" w:sz="8" w:space="0"/>
              <w:right w:val="single" w:color="000000" w:sz="8" w:space="0"/>
            </w:tcBorders>
            <w:shd w:val="clear" w:color="auto" w:fill="auto"/>
            <w:vAlign w:val="center"/>
          </w:tcPr>
          <w:p w14:paraId="6EF90AC1">
            <w:pPr>
              <w:pStyle w:val="115"/>
              <w:jc w:val="center"/>
            </w:pPr>
          </w:p>
        </w:tc>
        <w:tc>
          <w:tcPr>
            <w:tcW w:w="1066" w:type="pct"/>
            <w:vMerge w:val="continue"/>
            <w:tcBorders>
              <w:top w:val="nil"/>
              <w:left w:val="single" w:color="000000" w:sz="8" w:space="0"/>
              <w:bottom w:val="single" w:color="000000" w:sz="8" w:space="0"/>
              <w:right w:val="single" w:color="000000" w:sz="8" w:space="0"/>
            </w:tcBorders>
            <w:shd w:val="clear" w:color="auto" w:fill="auto"/>
            <w:vAlign w:val="center"/>
          </w:tcPr>
          <w:p w14:paraId="01FACCF0">
            <w:pPr>
              <w:pStyle w:val="115"/>
              <w:jc w:val="center"/>
            </w:pPr>
          </w:p>
        </w:tc>
        <w:tc>
          <w:tcPr>
            <w:tcW w:w="1932" w:type="pct"/>
            <w:tcBorders>
              <w:top w:val="nil"/>
              <w:left w:val="single" w:color="000000" w:sz="8" w:space="0"/>
              <w:bottom w:val="single" w:color="000000" w:sz="8" w:space="0"/>
              <w:right w:val="single" w:color="000000" w:sz="8" w:space="0"/>
            </w:tcBorders>
            <w:shd w:val="clear" w:color="auto" w:fill="auto"/>
            <w:vAlign w:val="center"/>
          </w:tcPr>
          <w:p w14:paraId="58D15225">
            <w:pPr>
              <w:pStyle w:val="115"/>
              <w:jc w:val="center"/>
            </w:pPr>
            <w:r>
              <w:rPr>
                <w:rFonts w:hint="eastAsia"/>
              </w:rPr>
              <w:t>宜乐</w:t>
            </w:r>
          </w:p>
        </w:tc>
        <w:tc>
          <w:tcPr>
            <w:tcW w:w="1435" w:type="pct"/>
            <w:tcBorders>
              <w:top w:val="nil"/>
              <w:left w:val="single" w:color="000000" w:sz="8" w:space="0"/>
              <w:bottom w:val="single" w:color="000000" w:sz="8" w:space="0"/>
              <w:right w:val="single" w:color="000000" w:sz="8" w:space="0"/>
            </w:tcBorders>
            <w:shd w:val="clear" w:color="auto" w:fill="auto"/>
            <w:vAlign w:val="center"/>
          </w:tcPr>
          <w:p w14:paraId="7598F3E5">
            <w:pPr>
              <w:pStyle w:val="115"/>
              <w:jc w:val="center"/>
            </w:pPr>
            <w:r>
              <w:rPr>
                <w:rFonts w:hint="eastAsia"/>
              </w:rPr>
              <w:t>一般</w:t>
            </w:r>
          </w:p>
        </w:tc>
      </w:tr>
      <w:tr w14:paraId="29E45370">
        <w:tblPrEx>
          <w:tblCellMar>
            <w:top w:w="0" w:type="dxa"/>
            <w:left w:w="108" w:type="dxa"/>
            <w:bottom w:w="0" w:type="dxa"/>
            <w:right w:w="108" w:type="dxa"/>
          </w:tblCellMar>
        </w:tblPrEx>
        <w:trPr>
          <w:trHeight w:val="57" w:hRule="atLeast"/>
        </w:trPr>
        <w:tc>
          <w:tcPr>
            <w:tcW w:w="565" w:type="pct"/>
            <w:vMerge w:val="continue"/>
            <w:tcBorders>
              <w:top w:val="nil"/>
              <w:left w:val="single" w:color="000000" w:sz="8" w:space="0"/>
              <w:bottom w:val="single" w:color="000000" w:sz="8" w:space="0"/>
              <w:right w:val="single" w:color="000000" w:sz="8" w:space="0"/>
            </w:tcBorders>
            <w:shd w:val="clear" w:color="auto" w:fill="auto"/>
            <w:vAlign w:val="center"/>
          </w:tcPr>
          <w:p w14:paraId="6703191A">
            <w:pPr>
              <w:pStyle w:val="115"/>
              <w:jc w:val="center"/>
            </w:pPr>
          </w:p>
        </w:tc>
        <w:tc>
          <w:tcPr>
            <w:tcW w:w="1066" w:type="pct"/>
            <w:vMerge w:val="continue"/>
            <w:tcBorders>
              <w:top w:val="nil"/>
              <w:left w:val="single" w:color="000000" w:sz="8" w:space="0"/>
              <w:bottom w:val="single" w:color="000000" w:sz="8" w:space="0"/>
              <w:right w:val="single" w:color="000000" w:sz="8" w:space="0"/>
            </w:tcBorders>
            <w:shd w:val="clear" w:color="auto" w:fill="auto"/>
            <w:vAlign w:val="center"/>
          </w:tcPr>
          <w:p w14:paraId="09AB1C95">
            <w:pPr>
              <w:pStyle w:val="115"/>
              <w:jc w:val="center"/>
            </w:pPr>
          </w:p>
        </w:tc>
        <w:tc>
          <w:tcPr>
            <w:tcW w:w="1932" w:type="pct"/>
            <w:tcBorders>
              <w:top w:val="nil"/>
              <w:left w:val="single" w:color="000000" w:sz="8" w:space="0"/>
              <w:bottom w:val="single" w:color="000000" w:sz="8" w:space="0"/>
              <w:right w:val="single" w:color="000000" w:sz="8" w:space="0"/>
            </w:tcBorders>
            <w:shd w:val="clear" w:color="auto" w:fill="auto"/>
            <w:noWrap/>
            <w:vAlign w:val="center"/>
          </w:tcPr>
          <w:p w14:paraId="3A19BE3C">
            <w:pPr>
              <w:pStyle w:val="115"/>
              <w:jc w:val="center"/>
            </w:pPr>
            <w:r>
              <w:rPr>
                <w:rFonts w:hint="eastAsia"/>
              </w:rPr>
              <w:t>宜游</w:t>
            </w:r>
          </w:p>
        </w:tc>
        <w:tc>
          <w:tcPr>
            <w:tcW w:w="1435" w:type="pct"/>
            <w:tcBorders>
              <w:top w:val="nil"/>
              <w:left w:val="single" w:color="000000" w:sz="8" w:space="0"/>
              <w:bottom w:val="single" w:color="000000" w:sz="8" w:space="0"/>
              <w:right w:val="single" w:color="000000" w:sz="8" w:space="0"/>
            </w:tcBorders>
            <w:shd w:val="clear" w:color="auto" w:fill="auto"/>
            <w:vAlign w:val="center"/>
          </w:tcPr>
          <w:p w14:paraId="07F55264">
            <w:pPr>
              <w:pStyle w:val="115"/>
              <w:jc w:val="center"/>
            </w:pPr>
            <w:r>
              <w:rPr>
                <w:rFonts w:hint="eastAsia"/>
              </w:rPr>
              <w:t>一般</w:t>
            </w:r>
          </w:p>
        </w:tc>
      </w:tr>
    </w:tbl>
    <w:p w14:paraId="263D1BC0">
      <w:pPr>
        <w:pStyle w:val="4"/>
        <w:numPr>
          <w:ilvl w:val="2"/>
          <w:numId w:val="5"/>
        </w:numPr>
        <w:spacing w:before="332" w:after="166"/>
      </w:pPr>
      <w:r>
        <w:rPr>
          <w:rFonts w:hint="eastAsia"/>
          <w:lang w:val="en-US"/>
        </w:rPr>
        <w:t>问题诊断</w:t>
      </w:r>
    </w:p>
    <w:p w14:paraId="45C7700C">
      <w:pPr>
        <w:pStyle w:val="5"/>
        <w:numPr>
          <w:ilvl w:val="0"/>
          <w:numId w:val="13"/>
        </w:numPr>
        <w:spacing w:after="166"/>
      </w:pPr>
      <w:r>
        <w:rPr>
          <w:rFonts w:hint="eastAsia"/>
        </w:rPr>
        <w:t>资源约束阈值低，要求要素集约利用效率进一步提升</w:t>
      </w:r>
    </w:p>
    <w:p w14:paraId="7CA588EC">
      <w:pPr>
        <w:spacing w:after="166"/>
        <w:ind w:firstLine="500"/>
      </w:pPr>
      <w:r>
        <w:rPr>
          <w:rFonts w:hint="eastAsia"/>
        </w:rPr>
        <w:t>白云矿区位于我国半干旱地区，生态环境敏感而脆弱。水资源相对匮乏，水源地均不在境内，用水对外依赖度较高。根据资源环境承载力评价，在水资源约束条件下，全区城镇建设承载规模约为16.27平方千米，与现状城镇建设用地相比有约4平方千米的增长潜力。因此水资源是制约全区城镇建设承载规模的主要约束因素，白云矿区面对着较大的水资源压力。</w:t>
      </w:r>
    </w:p>
    <w:p w14:paraId="294734BB">
      <w:pPr>
        <w:spacing w:after="166"/>
        <w:ind w:firstLine="500"/>
      </w:pPr>
      <w:r>
        <w:rPr>
          <w:rFonts w:hint="eastAsia"/>
        </w:rPr>
        <w:t>土地资源方面，白云矿区2022年建设用地为12.91平方千米，较 2021年增长0.53平方千米。根据对人均城镇建设用地、每万元GDP地耗等指标分析，白云矿区土地利用效率不高。2021年、2022年人均城镇建设用地均在260平方米以上，2022年人均城镇建设用地达到266.69平方米，远远超出《城市用地分类与规划建设用地标准（GB50137-2011）》中白云矿区所在区域人均城市建设用地面积指标≤115.0平方米/人的标准，高于内蒙古自治区人均城镇建设用地标准201平方米/人。</w:t>
      </w:r>
    </w:p>
    <w:p w14:paraId="032EAE3D">
      <w:pPr>
        <w:pStyle w:val="5"/>
        <w:numPr>
          <w:ilvl w:val="0"/>
          <w:numId w:val="13"/>
        </w:numPr>
        <w:spacing w:after="166"/>
      </w:pPr>
      <w:r>
        <w:rPr>
          <w:rFonts w:hint="eastAsia"/>
        </w:rPr>
        <w:t>矿区发展进入“以产为主”新阶段，要求产业功能进一步支撑</w:t>
      </w:r>
    </w:p>
    <w:p w14:paraId="0DAB69F3">
      <w:pPr>
        <w:spacing w:after="166"/>
        <w:ind w:firstLine="500"/>
      </w:pPr>
      <w:r>
        <w:rPr>
          <w:rFonts w:hint="eastAsia"/>
        </w:rPr>
        <w:t>白云矿区目前经济态势良好，经济发展水平位于包头市旗县前列，GDP位列包头市第一。经济总体发展良好的背后，存在严重的产业分化，2022年三次产业构成为0.14：80.25：19.61，二产占比居高不下，三产发育较为迟缓。县域发展仍高度依赖矿业的工业化路径，工业发展中矿业一业独大，整体经济形态随矿业市场行情波动，经济增速不稳定，经济发展的结构性风险依然存在。</w:t>
      </w:r>
    </w:p>
    <w:p w14:paraId="6D1F7147">
      <w:pPr>
        <w:spacing w:after="166"/>
        <w:ind w:firstLine="500"/>
      </w:pPr>
      <w:r>
        <w:rPr>
          <w:rFonts w:hint="eastAsia"/>
        </w:rPr>
        <w:t>按照矿产资源型城市发展规律，当前白云矿区正处于以“矿”为中心转向以“产”为中心的发展阶段，该阶段城市发展重心从矿业挖掘初加工转变为矿产资源综合利用与衍生产业发展，空间上表现为工业产业集群的快速集聚与园区的快速增长。当前全区主导产业依然以矿山采选业、稀土粗加工等矿业产业链前端产业为主，深加工及高附加值业态占比偏低。产业链延展不足，矿产资源综合开发深度不足，尚未形成矿产资源综合利用上下游全产业链条，稀土、萤石等共生资源就地转化优势没有得到充分发挥，产业带动效应不明显。生产型服务业供给与产业经济发展需求不匹配，耦合作用不明显，竞争力较弱；科技创新对经济增长和经济转型的贡献度不足，科技投入少、创新平台少、创新人才少、本土科研力量弱、科技成果转化能力弱的“三少两弱”问题突出。</w:t>
      </w:r>
    </w:p>
    <w:p w14:paraId="0AFB9383">
      <w:pPr>
        <w:pStyle w:val="5"/>
        <w:numPr>
          <w:ilvl w:val="0"/>
          <w:numId w:val="13"/>
        </w:numPr>
        <w:spacing w:after="166"/>
      </w:pPr>
      <w:r>
        <w:rPr>
          <w:rFonts w:hint="eastAsia"/>
        </w:rPr>
        <w:t>城市发展主要矛盾从“扩容”转为“提质”，要求城市品质与服务进一步提升</w:t>
      </w:r>
    </w:p>
    <w:p w14:paraId="029B9B07">
      <w:pPr>
        <w:spacing w:after="166"/>
        <w:ind w:firstLine="500"/>
      </w:pPr>
      <w:r>
        <w:rPr>
          <w:rFonts w:hint="eastAsia"/>
        </w:rPr>
        <w:t>随着白云矿区从以“矿”为中心步入以“产”为中心的发展阶段，对城市外向功能和业态的承载能力更高，对城市综合服务包括生活性服务与生产性服务功能的配套要求更高，对城市满足青年人群和青年人才生活与创新需求的能力更高。该阶段居民对于公共空间的需求聚焦点正在由“量”转向于“质”，白云矿区作为产业高质量转型城市在综合服务能级上的短板进一步放大。</w:t>
      </w:r>
    </w:p>
    <w:p w14:paraId="3A4E5B23">
      <w:pPr>
        <w:spacing w:after="166"/>
        <w:ind w:firstLine="500"/>
      </w:pPr>
      <w:r>
        <w:rPr>
          <w:rFonts w:hint="eastAsia"/>
        </w:rPr>
        <w:t>近年来，白云矿区人口总量呈现稳定收缩状态，目前常住人口总量为2.24万人。从人口结构来看，来源上正在由以高度同质化的“矿一代”“矿二代”为主转为多渠道人口流入，年龄上呈现老龄化特征，老龄化率持续提升。人口结构的改变带来了对社会生活品质的新需求。</w:t>
      </w:r>
    </w:p>
    <w:p w14:paraId="55502E1C">
      <w:pPr>
        <w:spacing w:after="166"/>
        <w:ind w:firstLine="500"/>
      </w:pPr>
      <w:r>
        <w:rPr>
          <w:rFonts w:hint="eastAsia"/>
        </w:rPr>
        <w:t>一般供给的公共服务设施在数量上基本能够满足要求，但高品质的城市公共中心尚未形成，与包头市其他旗县相比差距明显，品质供给与差异化供给存在较大空白。白云矿区每万人拥有的咖啡馆、茶舍等数量不足1个，高品质消费空间更是缺乏。不同人群对公共服务设施的需求，呈现出了越来越个性化和差异化的发展趋势，但白云矿区面向特定群体特定需求的精准服务供给水平较低，对游客而言旅游场景单一，对老年人而言现有养老设施水平存在进一步提升空间。</w:t>
      </w:r>
    </w:p>
    <w:p w14:paraId="257F88C4">
      <w:pPr>
        <w:spacing w:after="166"/>
        <w:ind w:firstLine="500"/>
        <w:rPr>
          <w:lang w:val="en-US"/>
        </w:rPr>
      </w:pPr>
      <w:r>
        <w:rPr>
          <w:rFonts w:hint="eastAsia"/>
        </w:rPr>
        <w:t>在城市特色风貌方面，尽管中心城区结构基本确定、用地框架也已经拉开，但在整体精致品质、风貌特色魅力层面存在短板，白云矿区地域风貌特色不显，缺乏具有识别度、影响度的城市地标性空间载体。</w:t>
      </w:r>
    </w:p>
    <w:p w14:paraId="1C0465C3">
      <w:pPr>
        <w:pStyle w:val="4"/>
        <w:numPr>
          <w:ilvl w:val="2"/>
          <w:numId w:val="5"/>
        </w:numPr>
        <w:spacing w:before="332" w:after="166"/>
        <w:rPr>
          <w:lang w:val="en-US"/>
        </w:rPr>
      </w:pPr>
      <w:r>
        <w:rPr>
          <w:rFonts w:hint="eastAsia"/>
          <w:lang w:val="en-US"/>
        </w:rPr>
        <w:t>对本次规划的要求</w:t>
      </w:r>
    </w:p>
    <w:p w14:paraId="6BB77475">
      <w:pPr>
        <w:pStyle w:val="5"/>
        <w:numPr>
          <w:ilvl w:val="0"/>
          <w:numId w:val="14"/>
        </w:numPr>
      </w:pPr>
      <w:r>
        <w:rPr>
          <w:rFonts w:hint="eastAsia"/>
        </w:rPr>
        <w:t>构建创新驱动集群，夯实产业空间转型基础</w:t>
      </w:r>
    </w:p>
    <w:p w14:paraId="10FD21CC">
      <w:pPr>
        <w:bidi w:val="0"/>
      </w:pPr>
      <w:r>
        <w:rPr>
          <w:rFonts w:hint="eastAsia"/>
          <w:lang w:val="en-US"/>
        </w:rPr>
        <w:t>对接创新要素，打造专精矿业孵化器。主动对接国内矿业相关新型研发机构及其他各类创新平台，定向开展白云矿区产业创新合作，以创新推动制造业发展。加大力度主动推进跨区域的创新资源联动，协同省内其他高能级城市积极培育和招引明星创新型企业，建设最新科技研发成果的白云矿区中试和转化基地，打造“城市级”矿业孵化器。</w:t>
      </w:r>
    </w:p>
    <w:p w14:paraId="03DD9C32">
      <w:pPr>
        <w:pStyle w:val="5"/>
        <w:numPr>
          <w:ilvl w:val="0"/>
          <w:numId w:val="14"/>
        </w:numPr>
      </w:pPr>
      <w:r>
        <w:rPr>
          <w:rFonts w:hint="eastAsia"/>
        </w:rPr>
        <w:t>提升城区用地集约节约水平</w:t>
      </w:r>
    </w:p>
    <w:p w14:paraId="5CA7C4E2">
      <w:pPr>
        <w:bidi w:val="0"/>
      </w:pPr>
      <w:r>
        <w:rPr>
          <w:rFonts w:hint="eastAsia"/>
        </w:rPr>
        <w:t>当前白云矿区整体用地较为粗放，后续规划实施中，应增强土地节约集约利用，及时清理批而未供和盘活闲置土地，深挖存量土地资源。根据批而未供土地的原因和实际情况，逐地块予以分类处置，强化建设项目用地管理。</w:t>
      </w:r>
    </w:p>
    <w:p w14:paraId="1B8C8395">
      <w:pPr>
        <w:pStyle w:val="5"/>
        <w:numPr>
          <w:ilvl w:val="0"/>
          <w:numId w:val="14"/>
        </w:numPr>
      </w:pPr>
      <w:r>
        <w:rPr>
          <w:rFonts w:hint="eastAsia"/>
        </w:rPr>
        <w:t>建设有颜值、有温度的城区，满足人民群众对美好生活的向往</w:t>
      </w:r>
    </w:p>
    <w:p w14:paraId="17EF57D1">
      <w:pPr>
        <w:bidi w:val="0"/>
      </w:pPr>
      <w:r>
        <w:rPr>
          <w:rFonts w:hint="eastAsia"/>
        </w:rPr>
        <w:t>文化与特色浸润城市，打造魅力白云。着力优化城镇空间，落实包头市国土空间总体规划中对于白云矿区“现代工业基地和生态宜居家园”的定位要求，打造宜居魅力白云品牌，建设标识性品质空间。充分发挥文化对城市发展的引领、导向、激励作用，充分挖掘和发挥团结文化（“齐心协力建包钢”历史佳话发祥地）、爱国文化（《草原晨曲》唱响全国的地方）、英雄文化（草原英雄小姐妹事迹诞生地）、奇石文化（一年一度国际奇石文化节）、冰雪文化（冬日冰雪名城、夏日的避暑胜地）等文化独特优势，加强文化资源保护、修复和利用。推进城市设计和建筑设计研究，推动老旧小区、老旧厂区、城中村等改造，塑造城市特色风貌，打造建筑精品，提升城市整体品质，留住城市特有的地域环境、文化特色、建筑风格等“基因”。强化白云矿区地域风貌特色塑造，以自然生态格局为依托，打造具有文化特色的综合公园体系，“见缝插针”布局街头游园和社区公园，重点打造城市绿色中轴、城郊草原特色风光，形成有温度、有品质、有魅力的公共空间，努力建设有历史记忆、地域特色和时代特征，富有个性魅力的现代化城市。</w:t>
      </w:r>
    </w:p>
    <w:p w14:paraId="4C1E3757">
      <w:pPr>
        <w:bidi w:val="0"/>
      </w:pPr>
      <w:r>
        <w:rPr>
          <w:rFonts w:hint="eastAsia"/>
        </w:rPr>
        <w:t>完善公共服务设施配置，打造</w:t>
      </w:r>
      <w:r>
        <w:rPr>
          <w:rFonts w:hint="eastAsia"/>
          <w:lang w:val="en-US" w:eastAsia="zh-CN"/>
        </w:rPr>
        <w:t>15</w:t>
      </w:r>
      <w:r>
        <w:rPr>
          <w:rFonts w:hint="eastAsia"/>
        </w:rPr>
        <w:t>分钟生活圈。构建全域一体的高质量公共服务体系，完善街道-社区级公共服务设施配套，提升区级公共设施服务能级，建设高品质的城市公共中心。优化社区公共服务设施配置，在15分钟步行可达的范围内，综合考虑“宜业、宜居、宜游、宜养、宜学”多元功能，注重社区的多样性、地方特色和社区的成长性，突出问题导向，结合居民需求，立足地方实际，有针对性的优化产业、居住、行政服务、文化休闲等功能和空间布局，完善社区文教体卫、管理服务、菜市场等公共服务设施，增加便于交流、游憩、锻炼等日常活动的场地，鼓励引入满足老年人、青年人和儿童的专业化服务设施，引领面向未来、低碳健康的美好生活方式，增强居民幸福感。</w:t>
      </w:r>
    </w:p>
    <w:p w14:paraId="3A9D8F31">
      <w:pPr>
        <w:bidi w:val="0"/>
      </w:pPr>
      <w:r>
        <w:rPr>
          <w:rFonts w:hint="eastAsia"/>
        </w:rPr>
        <w:t>适应老龄化趋势，构建适老环境。为适应白云鄂博老龄化的趋势，大力推进养老服务设施建设。完善养老政策体系，加快制定养老服务产业、老年人照护服务、医养结合、养老服务高质量发展等多个领域的政策，激发养老服务发展活力。充分发挥规划引领作用，在保障养老设施用地的基础上，优化养老设施空间布局，增加养老设施数量，提升养老设施品质，完善社区养老服务设施配套，增加老年活动站及室外活动、文化交流等场所，优化形成居家养老、社区养老、机构养老、医养结合的养老服务体系。</w:t>
      </w:r>
    </w:p>
    <w:p w14:paraId="75F2AE43">
      <w:pPr>
        <w:bidi w:val="0"/>
      </w:pPr>
      <w:r>
        <w:rPr>
          <w:rFonts w:hint="eastAsia"/>
        </w:rPr>
        <w:t>满足年轻人需求，提升城市形象“颜值”。年轻人是城市可持续发展的未来，能否吸引和留住年轻人的城市才是有希望的城市。围绕都市创新、宜居品质、文化传承等核心功能导向，贯彻“微更新”理念，提升城市园林绿化水平分区聚合、腾挪空间，打造出一批高识别性的城市标志性空间。将深厚的文化底蕴渗透入城市空间，提高空间品味；针对年轻人的空间需求导向，打造功能复合、凸显时尚魅力的趣味空间。打造一批“无尘街区”、“网红街巷”。补全城市设施服务短板，努力实现城区</w:t>
      </w:r>
      <w:r>
        <w:rPr>
          <w:rFonts w:hint="eastAsia"/>
          <w:lang w:val="en-US" w:eastAsia="zh-CN"/>
        </w:rPr>
        <w:t>5-</w:t>
      </w:r>
      <w:r>
        <w:rPr>
          <w:rFonts w:hint="eastAsia"/>
        </w:rPr>
        <w:t>10分钟社区生活圈。在社区、商圈等基层生活空间加载公共文化体育服务功能，基于“智慧白云”基础率先试点大数据、人工智能等新兴技术植入城市生活场景，营造建筑可阅读、街区可漫步、文化能浸润、城市有温度的人居环境。以精美城市建设串联起生产、生活、生态、文化维度的优势，吸引周边高素质人群到白云生活、消费，实现人流、资源、信息等要素的集聚叠加。</w:t>
      </w:r>
    </w:p>
    <w:p w14:paraId="14C17607">
      <w:pPr>
        <w:spacing w:before="166" w:after="166"/>
      </w:pPr>
      <w:r>
        <w:rPr>
          <w:rFonts w:hint="eastAsia"/>
        </w:rPr>
        <w:br w:type="page"/>
      </w:r>
    </w:p>
    <w:p w14:paraId="584F52B8">
      <w:pPr>
        <w:pStyle w:val="3"/>
        <w:numPr>
          <w:ilvl w:val="1"/>
          <w:numId w:val="5"/>
        </w:numPr>
        <w:spacing w:before="166" w:after="166"/>
        <w:ind w:hanging="575"/>
      </w:pPr>
      <w:r>
        <w:rPr>
          <w:rFonts w:hint="eastAsia"/>
        </w:rPr>
        <w:t>上轮控规评估</w:t>
      </w:r>
    </w:p>
    <w:p w14:paraId="7D91C636">
      <w:pPr>
        <w:pStyle w:val="4"/>
        <w:numPr>
          <w:ilvl w:val="2"/>
          <w:numId w:val="5"/>
        </w:numPr>
        <w:spacing w:before="332" w:after="166"/>
      </w:pPr>
      <w:r>
        <w:rPr>
          <w:rFonts w:hint="eastAsia"/>
          <w:lang w:val="en-US"/>
        </w:rPr>
        <w:t>规划主要内容</w:t>
      </w:r>
    </w:p>
    <w:p w14:paraId="1BE5E9ED">
      <w:pPr>
        <w:pStyle w:val="5"/>
        <w:numPr>
          <w:ilvl w:val="0"/>
          <w:numId w:val="15"/>
        </w:numPr>
        <w:spacing w:after="166"/>
      </w:pPr>
      <w:r>
        <w:rPr>
          <w:rFonts w:hint="eastAsia"/>
        </w:rPr>
        <w:t>概况</w:t>
      </w:r>
    </w:p>
    <w:p w14:paraId="08A26E70">
      <w:pPr>
        <w:spacing w:after="166"/>
        <w:ind w:firstLine="500"/>
        <w:rPr>
          <w:lang w:val="en-US"/>
        </w:rPr>
      </w:pPr>
      <w:r>
        <w:rPr>
          <w:rFonts w:hint="eastAsia"/>
          <w:lang w:val="en-US"/>
        </w:rPr>
        <w:t>2</w:t>
      </w:r>
      <w:r>
        <w:rPr>
          <w:lang w:val="en-US"/>
        </w:rPr>
        <w:t>017年版白云鄂博矿区控制性详细规划</w:t>
      </w:r>
      <w:r>
        <w:rPr>
          <w:rFonts w:hint="eastAsia"/>
          <w:lang w:val="en-US"/>
        </w:rPr>
        <w:t>（以下简称“上轮详细规划”）的</w:t>
      </w:r>
      <w:r>
        <w:rPr>
          <w:lang w:val="en-US"/>
        </w:rPr>
        <w:t>规划</w:t>
      </w:r>
      <w:r>
        <w:rPr>
          <w:rFonts w:hint="eastAsia"/>
          <w:lang w:val="en-US"/>
        </w:rPr>
        <w:t>范围北至矿山、东至地质路、南至铁路、两至铁路，总面积</w:t>
      </w:r>
      <w:r>
        <w:rPr>
          <w:rFonts w:hint="eastAsia"/>
        </w:rPr>
        <w:t>为</w:t>
      </w:r>
      <w:r>
        <w:rPr>
          <w:rFonts w:hint="eastAsia"/>
          <w:lang w:val="en-US"/>
        </w:rPr>
        <w:t>12.34平方千米，其中城市建设用地7.84平方千米。该范围是白云鄂博矿区城市集中发展、人口活动密集的地区。</w:t>
      </w:r>
    </w:p>
    <w:p w14:paraId="1E7210F4">
      <w:pPr>
        <w:spacing w:after="0" w:afterLines="0"/>
        <w:ind w:firstLine="0" w:firstLineChars="0"/>
        <w:jc w:val="center"/>
        <w:rPr>
          <w:lang w:val="en-US"/>
        </w:rPr>
      </w:pPr>
      <w:r>
        <w:rPr>
          <w:lang w:val="en-US"/>
        </w:rPr>
        <w:drawing>
          <wp:inline distT="0" distB="0" distL="114300" distR="114300">
            <wp:extent cx="4302760" cy="6158230"/>
            <wp:effectExtent l="0" t="0" r="2540" b="13970"/>
            <wp:docPr id="1" name="图片 1" descr="用地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用地规划图"/>
                    <pic:cNvPicPr>
                      <a:picLocks noChangeAspect="1"/>
                    </pic:cNvPicPr>
                  </pic:nvPicPr>
                  <pic:blipFill>
                    <a:blip r:embed="rId31"/>
                    <a:stretch>
                      <a:fillRect/>
                    </a:stretch>
                  </pic:blipFill>
                  <pic:spPr>
                    <a:xfrm>
                      <a:off x="0" y="0"/>
                      <a:ext cx="4302760" cy="6158230"/>
                    </a:xfrm>
                    <a:prstGeom prst="rect">
                      <a:avLst/>
                    </a:prstGeom>
                  </pic:spPr>
                </pic:pic>
              </a:graphicData>
            </a:graphic>
          </wp:inline>
        </w:drawing>
      </w:r>
    </w:p>
    <w:p w14:paraId="051E66A9">
      <w:pPr>
        <w:pStyle w:val="268"/>
        <w:spacing w:after="166"/>
        <w:rPr>
          <w:lang w:val="en-US"/>
        </w:rPr>
      </w:pPr>
      <w:r>
        <w:rPr>
          <w:rFonts w:hint="eastAsia"/>
        </w:rPr>
        <w:t>图</w:t>
      </w:r>
      <w:r>
        <w:rPr>
          <w:rFonts w:hint="eastAsia"/>
          <w:lang w:val="en-US"/>
        </w:rPr>
        <w:t>3</w:t>
      </w:r>
      <w:r>
        <w:rPr>
          <w:rFonts w:hint="eastAsia"/>
        </w:rPr>
        <w:t>-1</w:t>
      </w:r>
      <w:r>
        <w:rPr>
          <w:rFonts w:hint="eastAsia"/>
          <w:lang w:val="en-US"/>
        </w:rPr>
        <w:t xml:space="preserve">  上轮详细规划用地规划</w:t>
      </w:r>
      <w:r>
        <w:rPr>
          <w:rFonts w:hint="eastAsia"/>
        </w:rPr>
        <w:t>图</w:t>
      </w:r>
    </w:p>
    <w:p w14:paraId="7E00BD5C">
      <w:pPr>
        <w:spacing w:after="166"/>
        <w:ind w:firstLine="500"/>
        <w:rPr>
          <w:lang w:val="en-US"/>
        </w:rPr>
      </w:pPr>
      <w:r>
        <w:rPr>
          <w:rFonts w:hint="eastAsia"/>
          <w:lang w:val="en-US"/>
        </w:rPr>
        <w:t>上轮详细规划规划定位为“产城融合精品城区，生态宜居活力家园”，规划按照“矿业立区、产城融合、生态优先”的发展思路，着力打造“开放包容、智慧文明、宜业宜居、幸福和谐”现代化特色精品城区，全面建成更高质量的小康社会。</w:t>
      </w:r>
    </w:p>
    <w:p w14:paraId="375CF9CC">
      <w:pPr>
        <w:pStyle w:val="5"/>
        <w:numPr>
          <w:ilvl w:val="0"/>
          <w:numId w:val="15"/>
        </w:numPr>
        <w:spacing w:after="166"/>
      </w:pPr>
      <w:r>
        <w:rPr>
          <w:rFonts w:hint="eastAsia"/>
        </w:rPr>
        <w:t>规划结构及分区定位</w:t>
      </w:r>
    </w:p>
    <w:p w14:paraId="1C1D6AD7">
      <w:pPr>
        <w:spacing w:after="166"/>
        <w:ind w:firstLine="500"/>
        <w:rPr>
          <w:lang w:val="en-US"/>
        </w:rPr>
      </w:pPr>
      <w:r>
        <w:rPr>
          <w:rFonts w:hint="eastAsia"/>
          <w:lang w:val="en-US"/>
        </w:rPr>
        <w:t>上轮详细规划规划结构为“北退南进，一圈、四带、多片区”。</w:t>
      </w:r>
    </w:p>
    <w:p w14:paraId="24507C81">
      <w:pPr>
        <w:adjustRightInd/>
        <w:snapToGrid/>
        <w:spacing w:after="0" w:afterLines="0"/>
        <w:ind w:firstLine="0" w:firstLineChars="0"/>
        <w:jc w:val="center"/>
        <w:rPr>
          <w:lang w:val="en-US"/>
        </w:rPr>
      </w:pPr>
      <w:r>
        <w:rPr>
          <w:rFonts w:hint="eastAsia"/>
          <w:lang w:val="en-US"/>
        </w:rPr>
        <w:drawing>
          <wp:inline distT="0" distB="0" distL="114300" distR="114300">
            <wp:extent cx="6083935" cy="4248150"/>
            <wp:effectExtent l="0" t="0" r="0" b="12065"/>
            <wp:docPr id="8" name="图片 8" descr="20231106163713_页面_3_图像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20231106163713_页面_3_图像_0001"/>
                    <pic:cNvPicPr>
                      <a:picLocks noChangeAspect="1"/>
                    </pic:cNvPicPr>
                  </pic:nvPicPr>
                  <pic:blipFill>
                    <a:blip r:embed="rId32"/>
                    <a:srcRect l="4498" t="4178" r="5981" b="7411"/>
                    <a:stretch>
                      <a:fillRect/>
                    </a:stretch>
                  </pic:blipFill>
                  <pic:spPr>
                    <a:xfrm rot="16200000">
                      <a:off x="0" y="0"/>
                      <a:ext cx="6083935" cy="4248150"/>
                    </a:xfrm>
                    <a:prstGeom prst="rect">
                      <a:avLst/>
                    </a:prstGeom>
                  </pic:spPr>
                </pic:pic>
              </a:graphicData>
            </a:graphic>
          </wp:inline>
        </w:drawing>
      </w:r>
    </w:p>
    <w:p w14:paraId="62C123C6">
      <w:pPr>
        <w:pStyle w:val="268"/>
        <w:spacing w:after="166"/>
      </w:pPr>
      <w:r>
        <w:rPr>
          <w:rFonts w:hint="eastAsia"/>
        </w:rPr>
        <w:t>图</w:t>
      </w:r>
      <w:r>
        <w:rPr>
          <w:rFonts w:hint="eastAsia"/>
          <w:lang w:val="en-US"/>
        </w:rPr>
        <w:t>3</w:t>
      </w:r>
      <w:r>
        <w:rPr>
          <w:rFonts w:hint="eastAsia"/>
        </w:rPr>
        <w:t>-</w:t>
      </w:r>
      <w:r>
        <w:rPr>
          <w:rFonts w:hint="eastAsia"/>
          <w:lang w:val="en-US"/>
        </w:rPr>
        <w:t>2  上轮详细规划空间结构规划</w:t>
      </w:r>
      <w:r>
        <w:rPr>
          <w:rFonts w:hint="eastAsia"/>
        </w:rPr>
        <w:t>图</w:t>
      </w:r>
    </w:p>
    <w:p w14:paraId="5C11432B">
      <w:pPr>
        <w:spacing w:after="166"/>
        <w:ind w:firstLine="500"/>
        <w:rPr>
          <w:lang w:val="en-US"/>
        </w:rPr>
      </w:pPr>
      <w:r>
        <w:rPr>
          <w:rFonts w:hint="eastAsia"/>
          <w:lang w:val="en-US"/>
        </w:rPr>
        <w:t>“北退南进”是根据白云鄂博矿区的现状空间基础状况而形成的，白云鄂博矿区北部为矿山生态修复区，南部为开发建设拓展区。</w:t>
      </w:r>
    </w:p>
    <w:p w14:paraId="66482E80">
      <w:pPr>
        <w:spacing w:after="166"/>
        <w:ind w:firstLine="500"/>
        <w:rPr>
          <w:lang w:val="en-US"/>
        </w:rPr>
      </w:pPr>
      <w:r>
        <w:rPr>
          <w:rFonts w:hint="eastAsia"/>
          <w:lang w:val="en-US"/>
        </w:rPr>
        <w:t>“一圈”即白云鄂博大街和通阳道交汇地带的社会综合服务圈，是未来发展的核心区域。</w:t>
      </w:r>
    </w:p>
    <w:p w14:paraId="5D7AC81B">
      <w:pPr>
        <w:spacing w:after="166"/>
        <w:ind w:firstLine="500"/>
        <w:rPr>
          <w:lang w:val="en-US"/>
        </w:rPr>
      </w:pPr>
      <w:r>
        <w:rPr>
          <w:rFonts w:hint="eastAsia"/>
          <w:lang w:val="en-US"/>
        </w:rPr>
        <w:t>“四带”即沿通阳道和白云鄂博大街的城市功能发展带、沿稀土大街的城市生活发展带、沿矿山路的矿山生态控制带。</w:t>
      </w:r>
    </w:p>
    <w:p w14:paraId="5DD0A93F">
      <w:pPr>
        <w:spacing w:after="166"/>
        <w:ind w:firstLine="500"/>
        <w:rPr>
          <w:lang w:val="en-US"/>
        </w:rPr>
      </w:pPr>
      <w:r>
        <w:rPr>
          <w:rFonts w:hint="eastAsia"/>
          <w:lang w:val="en-US"/>
        </w:rPr>
        <w:t>“多片区”即多个居住与公共活动片区和创新创业产业区。其中，矿山路以北为矿山修复生态区，稀土大街以南、百灵道以西、白云鄂博大街以北、广场西路以东区域为公共活动片区，稀土大街以南、地质路以西、白云鄂博大街以北、百灵道以东区域为创新创业产业区，南环路以南片区为开发建设拓展区，以矿山路、稀土大街、白云鄂博大街、南环路、通阳道为界形成五个居住片区。</w:t>
      </w:r>
    </w:p>
    <w:p w14:paraId="555806C5">
      <w:pPr>
        <w:pStyle w:val="4"/>
        <w:numPr>
          <w:ilvl w:val="2"/>
          <w:numId w:val="5"/>
        </w:numPr>
        <w:spacing w:before="332" w:after="166"/>
        <w:rPr>
          <w:lang w:val="en-US"/>
        </w:rPr>
      </w:pPr>
      <w:r>
        <w:rPr>
          <w:rFonts w:hint="eastAsia"/>
          <w:lang w:val="en-US"/>
        </w:rPr>
        <w:t>本次规划范围的原控规评估</w:t>
      </w:r>
    </w:p>
    <w:p w14:paraId="24D2EA3C">
      <w:pPr>
        <w:pStyle w:val="5"/>
        <w:numPr>
          <w:ilvl w:val="0"/>
          <w:numId w:val="16"/>
        </w:numPr>
        <w:spacing w:after="166"/>
      </w:pPr>
      <w:r>
        <w:rPr>
          <w:rFonts w:hint="eastAsia"/>
        </w:rPr>
        <w:t>用地布局评估</w:t>
      </w:r>
    </w:p>
    <w:p w14:paraId="7062E759">
      <w:pPr>
        <w:spacing w:after="166"/>
        <w:ind w:firstLine="500"/>
        <w:rPr>
          <w:lang w:val="en-US"/>
        </w:rPr>
      </w:pPr>
      <w:r>
        <w:rPr>
          <w:rFonts w:hint="eastAsia"/>
          <w:lang w:val="en-US"/>
        </w:rPr>
        <w:t>上轮详细规划以微观具体的控制要求加以体现设计构想，为开发控制提供管理准则和设计框架。在指导城市更新、道路建设、公园绿地建设等方面发挥了重要作用。</w:t>
      </w:r>
    </w:p>
    <w:p w14:paraId="6084A447">
      <w:pPr>
        <w:adjustRightInd/>
        <w:snapToGrid/>
        <w:spacing w:after="0" w:afterLines="0"/>
        <w:ind w:firstLine="0" w:firstLineChars="0"/>
      </w:pPr>
      <w:r>
        <w:drawing>
          <wp:inline distT="0" distB="0" distL="114300" distR="114300">
            <wp:extent cx="5263515" cy="2446655"/>
            <wp:effectExtent l="0" t="0" r="13335" b="10795"/>
            <wp:docPr id="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33"/>
                    <a:stretch>
                      <a:fillRect/>
                    </a:stretch>
                  </pic:blipFill>
                  <pic:spPr>
                    <a:xfrm>
                      <a:off x="0" y="0"/>
                      <a:ext cx="5263515" cy="2446655"/>
                    </a:xfrm>
                    <a:prstGeom prst="rect">
                      <a:avLst/>
                    </a:prstGeom>
                  </pic:spPr>
                </pic:pic>
              </a:graphicData>
            </a:graphic>
          </wp:inline>
        </w:drawing>
      </w:r>
    </w:p>
    <w:p w14:paraId="2FD81627">
      <w:pPr>
        <w:pStyle w:val="268"/>
        <w:spacing w:after="166"/>
      </w:pPr>
      <w:r>
        <w:rPr>
          <w:rFonts w:hint="eastAsia"/>
        </w:rPr>
        <w:t>图</w:t>
      </w:r>
      <w:r>
        <w:rPr>
          <w:rFonts w:hint="eastAsia"/>
          <w:lang w:val="en-US"/>
        </w:rPr>
        <w:t>3</w:t>
      </w:r>
      <w:r>
        <w:rPr>
          <w:rFonts w:hint="eastAsia"/>
        </w:rPr>
        <w:t>-</w:t>
      </w:r>
      <w:r>
        <w:rPr>
          <w:rFonts w:hint="eastAsia"/>
          <w:lang w:val="en-US"/>
        </w:rPr>
        <w:t xml:space="preserve">3  </w:t>
      </w:r>
      <w:r>
        <w:rPr>
          <w:rFonts w:hint="eastAsia"/>
        </w:rPr>
        <w:t>2017年影像图与2023年影像图对比</w:t>
      </w:r>
    </w:p>
    <w:p w14:paraId="202F44B4">
      <w:pPr>
        <w:spacing w:after="166"/>
        <w:ind w:firstLine="500"/>
        <w:rPr>
          <w:lang w:val="en-US"/>
        </w:rPr>
      </w:pPr>
      <w:r>
        <w:rPr>
          <w:rFonts w:hint="eastAsia"/>
          <w:lang w:val="en-US"/>
        </w:rPr>
        <w:t>对于规划指导下的用地情况进行拆除、新建、改扩建、用途变更四类用地情况梳理，其中拆除类面积81.25公顷、新建类面积31.82公顷、改扩建类面积27.43公顷、用途变更类面积73.03公顷。</w:t>
      </w:r>
    </w:p>
    <w:p w14:paraId="14E367E5">
      <w:pPr>
        <w:pStyle w:val="13"/>
        <w:spacing w:after="0" w:afterLines="0"/>
        <w:ind w:firstLine="0" w:firstLineChars="0"/>
        <w:rPr>
          <w:lang w:val="en-US"/>
        </w:rPr>
      </w:pPr>
      <w:r>
        <w:drawing>
          <wp:inline distT="0" distB="0" distL="114300" distR="114300">
            <wp:extent cx="5267325" cy="3677920"/>
            <wp:effectExtent l="0" t="0" r="9525" b="17780"/>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34"/>
                    <a:stretch>
                      <a:fillRect/>
                    </a:stretch>
                  </pic:blipFill>
                  <pic:spPr>
                    <a:xfrm>
                      <a:off x="0" y="0"/>
                      <a:ext cx="5267325" cy="3677920"/>
                    </a:xfrm>
                    <a:prstGeom prst="rect">
                      <a:avLst/>
                    </a:prstGeom>
                    <a:noFill/>
                    <a:ln>
                      <a:noFill/>
                    </a:ln>
                  </pic:spPr>
                </pic:pic>
              </a:graphicData>
            </a:graphic>
          </wp:inline>
        </w:drawing>
      </w:r>
    </w:p>
    <w:p w14:paraId="18E43273">
      <w:pPr>
        <w:pStyle w:val="268"/>
        <w:spacing w:after="166"/>
        <w:rPr>
          <w:lang w:val="en-US"/>
        </w:rPr>
      </w:pPr>
      <w:r>
        <w:rPr>
          <w:rFonts w:hint="eastAsia"/>
        </w:rPr>
        <w:t>图</w:t>
      </w:r>
      <w:r>
        <w:rPr>
          <w:rFonts w:hint="eastAsia"/>
          <w:lang w:val="en-US"/>
        </w:rPr>
        <w:t>3</w:t>
      </w:r>
      <w:r>
        <w:rPr>
          <w:rFonts w:hint="eastAsia"/>
        </w:rPr>
        <w:t>-</w:t>
      </w:r>
      <w:r>
        <w:rPr>
          <w:rFonts w:hint="eastAsia"/>
          <w:lang w:val="en-US"/>
        </w:rPr>
        <w:t xml:space="preserve">4  </w:t>
      </w:r>
      <w:r>
        <w:rPr>
          <w:rFonts w:hint="eastAsia"/>
        </w:rPr>
        <w:t>上轮控规指导下的用地调整</w:t>
      </w:r>
      <w:r>
        <w:rPr>
          <w:rFonts w:hint="eastAsia"/>
          <w:lang w:val="en-US"/>
        </w:rPr>
        <w:t>图</w:t>
      </w:r>
    </w:p>
    <w:p w14:paraId="7201070C">
      <w:pPr>
        <w:spacing w:after="166"/>
        <w:ind w:firstLine="500"/>
        <w:rPr>
          <w:lang w:val="en-US"/>
        </w:rPr>
      </w:pPr>
      <w:r>
        <w:rPr>
          <w:rFonts w:hint="eastAsia"/>
          <w:lang w:val="en-US"/>
        </w:rPr>
        <w:t>上轮详细规划的整体用地格局基本符合白云矿区的现状基础，但是由于多个外部条件的变化，导致原本的用地布局难以与实际的发展需求相匹配，需要进行规划调整。</w:t>
      </w:r>
    </w:p>
    <w:p w14:paraId="7A443BFB">
      <w:pPr>
        <w:pStyle w:val="6"/>
        <w:numPr>
          <w:ilvl w:val="4"/>
          <w:numId w:val="0"/>
        </w:numPr>
        <w:bidi w:val="0"/>
        <w:ind w:leftChars="0"/>
        <w:rPr>
          <w:rFonts w:hint="default"/>
          <w:lang w:val="en-US" w:eastAsia="zh-CN"/>
        </w:rPr>
      </w:pPr>
      <w:r>
        <w:rPr>
          <w:rFonts w:hint="default"/>
          <w:lang w:val="en-US"/>
        </w:rPr>
        <w:t>①</w:t>
      </w:r>
      <w:r>
        <w:rPr>
          <w:rFonts w:hint="eastAsia"/>
          <w:lang w:val="en-US"/>
        </w:rPr>
        <w:t>工业园区</w:t>
      </w:r>
      <w:r>
        <w:rPr>
          <w:rFonts w:hint="eastAsia"/>
          <w:lang w:val="en-US" w:eastAsia="zh-CN"/>
        </w:rPr>
        <w:t>范围的</w:t>
      </w:r>
      <w:r>
        <w:rPr>
          <w:rFonts w:hint="eastAsia"/>
          <w:lang w:val="en-US"/>
        </w:rPr>
        <w:t>确定</w:t>
      </w:r>
      <w:r>
        <w:rPr>
          <w:rFonts w:hint="eastAsia"/>
          <w:lang w:val="en-US" w:eastAsia="zh-CN"/>
        </w:rPr>
        <w:t>促使用地布局调整</w:t>
      </w:r>
    </w:p>
    <w:p w14:paraId="5E36E354">
      <w:pPr>
        <w:spacing w:after="166"/>
        <w:ind w:firstLine="500"/>
        <w:rPr>
          <w:lang w:val="en-US"/>
        </w:rPr>
      </w:pPr>
      <w:r>
        <w:rPr>
          <w:rFonts w:hint="eastAsia"/>
          <w:lang w:val="en-US"/>
        </w:rPr>
        <w:t>2021年，白云矿区设立了白云鄂博产业园区，同年8月在《内蒙古自治区开发区审核公告目录》中纳入包头稀土高新技术产业开发区的管理范畴</w:t>
      </w:r>
      <w:r>
        <w:rPr>
          <w:rFonts w:hint="eastAsia"/>
          <w:lang w:val="en-US" w:eastAsia="zh-CN"/>
        </w:rPr>
        <w:t>。</w:t>
      </w:r>
      <w:r>
        <w:rPr>
          <w:rFonts w:hint="eastAsia"/>
          <w:lang w:val="en-US"/>
        </w:rPr>
        <w:t>规划范围的东西两侧与包头稀土高新技术产业开发区(白云工业集聚区)的中部区相邻，目前中部区在铁路西侧布局的易至物流项目和在铁矿棚户区南侧布局的稀土新材料产业园均在建设中，与之可建立密切空间关联的丁道衡路以西、地质道两侧区域在上轮详细规划中以居住用地、农林用地布局为主，难以为未来园区产业发展提供有力支持。本次规划首先需要调整上述临近园区的区域（即丁道衡路以西、地质道两侧地区）用地，保障产业发展；同时针对工业园区的关联需求，对规划范围内的用地进行优化调整，为员工住宿、休闲、生活、办公等提供更好地服务空间。</w:t>
      </w:r>
    </w:p>
    <w:p w14:paraId="5EE03D58">
      <w:pPr>
        <w:pStyle w:val="6"/>
        <w:numPr>
          <w:ilvl w:val="4"/>
          <w:numId w:val="0"/>
        </w:numPr>
        <w:bidi w:val="0"/>
        <w:ind w:leftChars="0"/>
        <w:rPr>
          <w:rFonts w:hint="default"/>
          <w:lang w:val="en-US"/>
        </w:rPr>
      </w:pPr>
      <w:r>
        <w:rPr>
          <w:rFonts w:hint="eastAsia" w:ascii="微软雅黑" w:hAnsi="微软雅黑" w:eastAsia="微软雅黑" w:cs="微软雅黑"/>
          <w:lang w:val="en-US"/>
        </w:rPr>
        <w:t>②</w:t>
      </w:r>
      <w:r>
        <w:rPr>
          <w:rFonts w:hint="eastAsia"/>
          <w:lang w:val="en-US"/>
        </w:rPr>
        <w:t>国土空间总体规划划定的城镇开发边界</w:t>
      </w:r>
      <w:r>
        <w:rPr>
          <w:rFonts w:hint="eastAsia"/>
          <w:lang w:val="en-US" w:eastAsia="zh-CN"/>
        </w:rPr>
        <w:t>促使用地布局调整</w:t>
      </w:r>
    </w:p>
    <w:p w14:paraId="563BFB14">
      <w:pPr>
        <w:spacing w:after="166"/>
        <w:ind w:firstLine="500"/>
        <w:rPr>
          <w:lang w:val="en-US"/>
        </w:rPr>
      </w:pPr>
      <w:r>
        <w:rPr>
          <w:rFonts w:hint="eastAsia"/>
          <w:lang w:val="en-US"/>
        </w:rPr>
        <w:t>上轮详细规划中的用地布局与本轮国土空间总体规划划定的城镇开发边界存在一定冲突，南侧的部分用地在城镇开发边界以外，而地质道以东区域在上轮详细规划中为农林用地、现处于城镇开发边界内，有待进一步开发利用，均需要在本次规划中进行调整。</w:t>
      </w:r>
    </w:p>
    <w:p w14:paraId="1263EC6C">
      <w:pPr>
        <w:pStyle w:val="13"/>
        <w:spacing w:after="0" w:afterLines="0"/>
        <w:ind w:firstLine="0" w:firstLineChars="0"/>
        <w:jc w:val="center"/>
      </w:pPr>
      <w:r>
        <w:drawing>
          <wp:inline distT="0" distB="0" distL="0" distR="0">
            <wp:extent cx="3239770" cy="3164840"/>
            <wp:effectExtent l="0" t="0" r="17780" b="1651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35"/>
                    <a:stretch>
                      <a:fillRect/>
                    </a:stretch>
                  </pic:blipFill>
                  <pic:spPr>
                    <a:xfrm>
                      <a:off x="0" y="0"/>
                      <a:ext cx="3239770" cy="3164840"/>
                    </a:xfrm>
                    <a:prstGeom prst="rect">
                      <a:avLst/>
                    </a:prstGeom>
                  </pic:spPr>
                </pic:pic>
              </a:graphicData>
            </a:graphic>
          </wp:inline>
        </w:drawing>
      </w:r>
    </w:p>
    <w:p w14:paraId="4F834166">
      <w:pPr>
        <w:pStyle w:val="268"/>
        <w:spacing w:after="166"/>
        <w:rPr>
          <w:lang w:val="en-US"/>
        </w:rPr>
      </w:pPr>
      <w:r>
        <w:rPr>
          <w:rFonts w:hint="eastAsia"/>
        </w:rPr>
        <w:t>图</w:t>
      </w:r>
      <w:r>
        <w:rPr>
          <w:rFonts w:hint="eastAsia"/>
          <w:lang w:val="en-US"/>
        </w:rPr>
        <w:t>3</w:t>
      </w:r>
      <w:r>
        <w:rPr>
          <w:rFonts w:hint="eastAsia"/>
        </w:rPr>
        <w:t>-</w:t>
      </w:r>
      <w:r>
        <w:rPr>
          <w:rFonts w:hint="eastAsia"/>
          <w:lang w:val="en-US"/>
        </w:rPr>
        <w:t>5  地质道以东区域现状用地与</w:t>
      </w:r>
      <w:r>
        <w:rPr>
          <w:rFonts w:hint="eastAsia"/>
        </w:rPr>
        <w:t>上轮</w:t>
      </w:r>
      <w:r>
        <w:rPr>
          <w:rFonts w:hint="eastAsia"/>
          <w:lang w:val="en-US"/>
        </w:rPr>
        <w:t>详细规划对比图</w:t>
      </w:r>
    </w:p>
    <w:p w14:paraId="74D06939">
      <w:pPr>
        <w:pStyle w:val="6"/>
        <w:numPr>
          <w:ilvl w:val="4"/>
          <w:numId w:val="0"/>
        </w:numPr>
        <w:bidi w:val="0"/>
        <w:ind w:leftChars="0"/>
        <w:rPr>
          <w:rFonts w:hint="default"/>
          <w:lang w:val="en-US" w:eastAsia="zh-CN"/>
        </w:rPr>
      </w:pPr>
      <w:r>
        <w:rPr>
          <w:rFonts w:hint="eastAsia"/>
          <w:lang w:val="en-US"/>
        </w:rPr>
        <w:t>③</w:t>
      </w:r>
      <w:r>
        <w:rPr>
          <w:rFonts w:hint="eastAsia"/>
          <w:lang w:val="en-US" w:eastAsia="zh-CN"/>
        </w:rPr>
        <w:t>实际建设状况促使用地进行调整优化</w:t>
      </w:r>
    </w:p>
    <w:p w14:paraId="44C8417E">
      <w:pPr>
        <w:spacing w:after="166"/>
        <w:ind w:firstLine="500"/>
        <w:rPr>
          <w:lang w:val="en-US"/>
        </w:rPr>
      </w:pPr>
      <w:r>
        <w:rPr>
          <w:rFonts w:hint="eastAsia"/>
          <w:lang w:val="en-US"/>
        </w:rPr>
        <w:t>近年来，随着城区的持续建设和发展，存在多处用地实际功能与上轮详细规划用地性质冲突的情况，需要综合考虑现状建设情况和未来发展需要，进行用地布局调整。</w:t>
      </w:r>
    </w:p>
    <w:p w14:paraId="03536BAA">
      <w:pPr>
        <w:pStyle w:val="13"/>
        <w:snapToGrid w:val="0"/>
        <w:spacing w:after="0" w:afterLines="0"/>
        <w:ind w:firstLine="0" w:firstLineChars="0"/>
        <w:rPr>
          <w:lang w:val="en-US"/>
        </w:rPr>
      </w:pPr>
      <w:r>
        <w:drawing>
          <wp:inline distT="0" distB="0" distL="114300" distR="114300">
            <wp:extent cx="5271135" cy="3620135"/>
            <wp:effectExtent l="0" t="0" r="5715" b="18415"/>
            <wp:docPr id="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
                    <pic:cNvPicPr>
                      <a:picLocks noChangeAspect="1"/>
                    </pic:cNvPicPr>
                  </pic:nvPicPr>
                  <pic:blipFill>
                    <a:blip r:embed="rId36"/>
                    <a:srcRect b="3422"/>
                    <a:stretch>
                      <a:fillRect/>
                    </a:stretch>
                  </pic:blipFill>
                  <pic:spPr>
                    <a:xfrm>
                      <a:off x="0" y="0"/>
                      <a:ext cx="5271135" cy="3620135"/>
                    </a:xfrm>
                    <a:prstGeom prst="rect">
                      <a:avLst/>
                    </a:prstGeom>
                    <a:noFill/>
                    <a:ln>
                      <a:noFill/>
                    </a:ln>
                  </pic:spPr>
                </pic:pic>
              </a:graphicData>
            </a:graphic>
          </wp:inline>
        </w:drawing>
      </w:r>
    </w:p>
    <w:p w14:paraId="655A63B8">
      <w:pPr>
        <w:pStyle w:val="268"/>
        <w:spacing w:after="166"/>
        <w:rPr>
          <w:lang w:val="en-US"/>
        </w:rPr>
      </w:pPr>
      <w:r>
        <w:rPr>
          <w:rFonts w:hint="eastAsia"/>
        </w:rPr>
        <w:t>图</w:t>
      </w:r>
      <w:r>
        <w:rPr>
          <w:rFonts w:hint="eastAsia"/>
          <w:lang w:val="en-US"/>
        </w:rPr>
        <w:t>3</w:t>
      </w:r>
      <w:r>
        <w:rPr>
          <w:rFonts w:hint="eastAsia"/>
        </w:rPr>
        <w:t>-</w:t>
      </w:r>
      <w:r>
        <w:rPr>
          <w:rFonts w:hint="eastAsia"/>
          <w:lang w:val="en-US"/>
        </w:rPr>
        <w:t>5  与上轮详细规划用地属性不一致的地块分布总图</w:t>
      </w:r>
    </w:p>
    <w:p w14:paraId="18CF69BD">
      <w:pPr>
        <w:pStyle w:val="13"/>
        <w:spacing w:after="0" w:afterLines="0"/>
        <w:ind w:firstLine="0" w:firstLineChars="0"/>
      </w:pPr>
      <w:r>
        <w:drawing>
          <wp:inline distT="0" distB="0" distL="114300" distR="114300">
            <wp:extent cx="5259705" cy="1198245"/>
            <wp:effectExtent l="0" t="0" r="17145" b="1905"/>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pic:cNvPicPr>
                      <a:picLocks noChangeAspect="1"/>
                    </pic:cNvPicPr>
                  </pic:nvPicPr>
                  <pic:blipFill>
                    <a:blip r:embed="rId37"/>
                    <a:stretch>
                      <a:fillRect/>
                    </a:stretch>
                  </pic:blipFill>
                  <pic:spPr>
                    <a:xfrm>
                      <a:off x="0" y="0"/>
                      <a:ext cx="5259705" cy="1198245"/>
                    </a:xfrm>
                    <a:prstGeom prst="rect">
                      <a:avLst/>
                    </a:prstGeom>
                    <a:noFill/>
                    <a:ln>
                      <a:noFill/>
                    </a:ln>
                  </pic:spPr>
                </pic:pic>
              </a:graphicData>
            </a:graphic>
          </wp:inline>
        </w:drawing>
      </w:r>
    </w:p>
    <w:p w14:paraId="3AEAFD04">
      <w:pPr>
        <w:pStyle w:val="268"/>
        <w:spacing w:after="166"/>
        <w:rPr>
          <w:lang w:val="en-US"/>
        </w:rPr>
      </w:pPr>
      <w:r>
        <w:rPr>
          <w:rFonts w:hint="eastAsia"/>
        </w:rPr>
        <w:t>图</w:t>
      </w:r>
      <w:r>
        <w:rPr>
          <w:rFonts w:hint="eastAsia"/>
          <w:lang w:val="en-US"/>
        </w:rPr>
        <w:t>3</w:t>
      </w:r>
      <w:r>
        <w:rPr>
          <w:rFonts w:hint="eastAsia"/>
        </w:rPr>
        <w:t>-</w:t>
      </w:r>
      <w:r>
        <w:rPr>
          <w:rFonts w:hint="eastAsia"/>
          <w:lang w:val="en-US"/>
        </w:rPr>
        <w:t>6  与上轮详细规划用地属性不一致的地块3</w:t>
      </w:r>
    </w:p>
    <w:p w14:paraId="46439BC9">
      <w:pPr>
        <w:pStyle w:val="13"/>
        <w:spacing w:after="0" w:afterLines="0"/>
        <w:ind w:firstLine="0" w:firstLineChars="0"/>
      </w:pPr>
      <w:r>
        <w:drawing>
          <wp:inline distT="0" distB="0" distL="114300" distR="114300">
            <wp:extent cx="5255260" cy="1207770"/>
            <wp:effectExtent l="0" t="0" r="2540" b="11430"/>
            <wp:docPr id="1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
                    <pic:cNvPicPr>
                      <a:picLocks noChangeAspect="1"/>
                    </pic:cNvPicPr>
                  </pic:nvPicPr>
                  <pic:blipFill>
                    <a:blip r:embed="rId38"/>
                    <a:stretch>
                      <a:fillRect/>
                    </a:stretch>
                  </pic:blipFill>
                  <pic:spPr>
                    <a:xfrm>
                      <a:off x="0" y="0"/>
                      <a:ext cx="5255260" cy="1207770"/>
                    </a:xfrm>
                    <a:prstGeom prst="rect">
                      <a:avLst/>
                    </a:prstGeom>
                    <a:noFill/>
                    <a:ln>
                      <a:noFill/>
                    </a:ln>
                  </pic:spPr>
                </pic:pic>
              </a:graphicData>
            </a:graphic>
          </wp:inline>
        </w:drawing>
      </w:r>
    </w:p>
    <w:p w14:paraId="17D90DD6">
      <w:pPr>
        <w:pStyle w:val="268"/>
        <w:spacing w:after="166"/>
        <w:rPr>
          <w:lang w:val="en-US"/>
        </w:rPr>
      </w:pPr>
      <w:r>
        <w:rPr>
          <w:rFonts w:hint="eastAsia"/>
        </w:rPr>
        <w:t>图</w:t>
      </w:r>
      <w:r>
        <w:rPr>
          <w:rFonts w:hint="eastAsia"/>
          <w:lang w:val="en-US"/>
        </w:rPr>
        <w:t>3</w:t>
      </w:r>
      <w:r>
        <w:rPr>
          <w:rFonts w:hint="eastAsia"/>
        </w:rPr>
        <w:t>-</w:t>
      </w:r>
      <w:r>
        <w:rPr>
          <w:rFonts w:hint="eastAsia"/>
          <w:lang w:val="en-US"/>
        </w:rPr>
        <w:t>7  与上轮详细规划用地属性不一致的地块12</w:t>
      </w:r>
    </w:p>
    <w:p w14:paraId="78B38A19">
      <w:pPr>
        <w:spacing w:after="166"/>
        <w:ind w:firstLine="500"/>
        <w:rPr>
          <w:lang w:val="en-US"/>
        </w:rPr>
      </w:pPr>
    </w:p>
    <w:p w14:paraId="33116C52">
      <w:pPr>
        <w:pStyle w:val="5"/>
        <w:numPr>
          <w:ilvl w:val="0"/>
          <w:numId w:val="16"/>
        </w:numPr>
        <w:spacing w:after="166"/>
      </w:pPr>
      <w:r>
        <w:rPr>
          <w:rFonts w:hint="eastAsia"/>
        </w:rPr>
        <w:t>空间结构评估</w:t>
      </w:r>
    </w:p>
    <w:p w14:paraId="4CED964E">
      <w:pPr>
        <w:spacing w:after="166"/>
        <w:ind w:firstLine="500"/>
        <w:rPr>
          <w:lang w:val="en-US"/>
        </w:rPr>
      </w:pPr>
      <w:r>
        <w:rPr>
          <w:lang w:val="en-US"/>
        </w:rPr>
        <w:t>实际城市建设与规划意图存在出入，</w:t>
      </w:r>
      <w:r>
        <w:rPr>
          <w:rFonts w:hint="eastAsia"/>
          <w:lang w:val="en-US"/>
        </w:rPr>
        <w:t>“北退南进，一圈、四带、多片区”</w:t>
      </w:r>
      <w:r>
        <w:rPr>
          <w:lang w:val="en-US"/>
        </w:rPr>
        <w:t>的空间策略未能得到有效落实</w:t>
      </w:r>
      <w:r>
        <w:rPr>
          <w:rFonts w:hint="eastAsia"/>
          <w:lang w:val="en-US"/>
        </w:rPr>
        <w:t>。</w:t>
      </w:r>
    </w:p>
    <w:p w14:paraId="4F836109">
      <w:pPr>
        <w:pStyle w:val="13"/>
        <w:spacing w:after="166"/>
        <w:ind w:firstLine="0" w:firstLineChars="0"/>
      </w:pPr>
      <w:r>
        <w:drawing>
          <wp:inline distT="0" distB="0" distL="114300" distR="114300">
            <wp:extent cx="5262245" cy="2929255"/>
            <wp:effectExtent l="0" t="0" r="14605" b="4445"/>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39"/>
                    <a:stretch>
                      <a:fillRect/>
                    </a:stretch>
                  </pic:blipFill>
                  <pic:spPr>
                    <a:xfrm>
                      <a:off x="0" y="0"/>
                      <a:ext cx="5262245" cy="2929255"/>
                    </a:xfrm>
                    <a:prstGeom prst="rect">
                      <a:avLst/>
                    </a:prstGeom>
                    <a:noFill/>
                    <a:ln>
                      <a:noFill/>
                    </a:ln>
                  </pic:spPr>
                </pic:pic>
              </a:graphicData>
            </a:graphic>
          </wp:inline>
        </w:drawing>
      </w:r>
    </w:p>
    <w:p w14:paraId="76394CE6">
      <w:pPr>
        <w:pStyle w:val="268"/>
        <w:spacing w:after="166"/>
      </w:pPr>
      <w:r>
        <w:rPr>
          <w:rFonts w:hint="eastAsia"/>
        </w:rPr>
        <w:t>图</w:t>
      </w:r>
      <w:r>
        <w:rPr>
          <w:rFonts w:hint="eastAsia"/>
          <w:lang w:val="en-US"/>
        </w:rPr>
        <w:t>3</w:t>
      </w:r>
      <w:r>
        <w:rPr>
          <w:rFonts w:hint="eastAsia"/>
        </w:rPr>
        <w:t>-</w:t>
      </w:r>
      <w:r>
        <w:rPr>
          <w:rFonts w:hint="eastAsia"/>
          <w:lang w:val="en-US"/>
        </w:rPr>
        <w:t>8  上轮详细规划空间结构实施对比</w:t>
      </w:r>
      <w:r>
        <w:rPr>
          <w:rFonts w:hint="eastAsia"/>
        </w:rPr>
        <w:t>图</w:t>
      </w:r>
    </w:p>
    <w:p w14:paraId="6B14952C">
      <w:pPr>
        <w:spacing w:after="166"/>
        <w:ind w:firstLine="500"/>
        <w:rPr>
          <w:lang w:val="en-US"/>
        </w:rPr>
      </w:pPr>
      <w:r>
        <w:rPr>
          <w:rFonts w:hint="eastAsia"/>
          <w:lang w:val="en-US"/>
        </w:rPr>
        <w:t>“</w:t>
      </w:r>
      <w:r>
        <w:rPr>
          <w:lang w:val="en-US"/>
        </w:rPr>
        <w:t>北</w:t>
      </w:r>
      <w:r>
        <w:rPr>
          <w:rFonts w:hint="eastAsia"/>
          <w:lang w:val="en-US"/>
        </w:rPr>
        <w:t>退</w:t>
      </w:r>
      <w:r>
        <w:rPr>
          <w:lang w:val="en-US"/>
        </w:rPr>
        <w:t>南进</w:t>
      </w:r>
      <w:r>
        <w:rPr>
          <w:rFonts w:hint="eastAsia"/>
          <w:lang w:val="en-US"/>
        </w:rPr>
        <w:t>”</w:t>
      </w:r>
      <w:r>
        <w:rPr>
          <w:lang w:val="en-US"/>
        </w:rPr>
        <w:t>：以祥云社区为例，矿山路以北仍然以居住用地为主</w:t>
      </w:r>
      <w:r>
        <w:rPr>
          <w:rFonts w:hint="eastAsia"/>
          <w:lang w:val="en-US"/>
        </w:rPr>
        <w:t>；</w:t>
      </w:r>
      <w:r>
        <w:rPr>
          <w:lang w:val="en-US"/>
        </w:rPr>
        <w:t>仅按照规划落实了部分教育和机关团体用地，</w:t>
      </w:r>
      <w:r>
        <w:rPr>
          <w:rFonts w:hint="eastAsia"/>
          <w:lang w:val="en-US"/>
        </w:rPr>
        <w:t>城区南部</w:t>
      </w:r>
      <w:r>
        <w:rPr>
          <w:lang w:val="en-US"/>
        </w:rPr>
        <w:t>谋划的新城区未见雏形</w:t>
      </w:r>
      <w:r>
        <w:rPr>
          <w:rFonts w:hint="eastAsia"/>
          <w:lang w:val="en-US"/>
        </w:rPr>
        <w:t>。</w:t>
      </w:r>
    </w:p>
    <w:p w14:paraId="724C9F03">
      <w:pPr>
        <w:spacing w:after="166"/>
        <w:ind w:firstLine="500"/>
        <w:rPr>
          <w:lang w:val="en-US"/>
        </w:rPr>
      </w:pPr>
      <w:r>
        <w:rPr>
          <w:rFonts w:hint="eastAsia"/>
          <w:lang w:val="en-US"/>
        </w:rPr>
        <w:t>“一圈”：围绕白云鄂博大街和通阳道交汇地带布局有部分公共管理与公共服务用地，但未能形成社会综合服务圈。</w:t>
      </w:r>
    </w:p>
    <w:p w14:paraId="4CE395A3">
      <w:pPr>
        <w:spacing w:after="166"/>
        <w:ind w:firstLine="500"/>
        <w:rPr>
          <w:lang w:val="en-US"/>
        </w:rPr>
      </w:pPr>
      <w:r>
        <w:rPr>
          <w:rFonts w:hint="eastAsia"/>
          <w:lang w:val="en-US"/>
        </w:rPr>
        <w:t>“四带”：除沿通阳道的城市功能发展带、沿稀土大街的城市生活发展带相对发展成熟外，沿白云鄂博大街的城市功能发展带并为形成，沿矿山路的矿山生态控制带更是未能实现对以北区域的用地控制。</w:t>
      </w:r>
    </w:p>
    <w:p w14:paraId="61943E07">
      <w:pPr>
        <w:pStyle w:val="5"/>
        <w:numPr>
          <w:ilvl w:val="0"/>
          <w:numId w:val="16"/>
        </w:numPr>
        <w:spacing w:after="166"/>
      </w:pPr>
      <w:r>
        <w:rPr>
          <w:rFonts w:hint="eastAsia"/>
        </w:rPr>
        <w:t>绿地系统评估</w:t>
      </w:r>
    </w:p>
    <w:p w14:paraId="3268F4B8">
      <w:pPr>
        <w:spacing w:after="166"/>
        <w:ind w:firstLine="500"/>
        <w:rPr>
          <w:lang w:val="en-US"/>
        </w:rPr>
      </w:pPr>
      <w:r>
        <w:rPr>
          <w:rFonts w:hint="eastAsia"/>
          <w:lang w:val="en-US"/>
        </w:rPr>
        <w:t>上轮详细规划中的绿地系统由公园绿地、生态防护绿地、居住区绿地及单位附属绿地四类组成。规划以湿地公园为核心，打造独立的绿道慢行系统，每个社区布置1-2处社区公园，通过绿道(10-20米)网络连通整个公园体系。</w:t>
      </w:r>
    </w:p>
    <w:p w14:paraId="15285C30">
      <w:pPr>
        <w:spacing w:after="166"/>
        <w:ind w:firstLine="500"/>
        <w:rPr>
          <w:lang w:val="en-US"/>
        </w:rPr>
      </w:pPr>
      <w:r>
        <w:rPr>
          <w:rFonts w:hint="eastAsia"/>
          <w:lang w:val="en-US"/>
        </w:rPr>
        <w:t>但规划绿地空间与实际建设存在多处不一致，除塔拉公园外无其他规划的社区公园建成，部分绿道已建设，与规划的通过绿道网络连通整个公园体系存在较大差距。</w:t>
      </w:r>
    </w:p>
    <w:p w14:paraId="301EDE12">
      <w:pPr>
        <w:pStyle w:val="13"/>
        <w:snapToGrid w:val="0"/>
        <w:spacing w:after="0" w:afterLines="0"/>
        <w:ind w:firstLine="0" w:firstLineChars="0"/>
        <w:jc w:val="center"/>
      </w:pPr>
      <w:r>
        <w:drawing>
          <wp:inline distT="0" distB="0" distL="114300" distR="114300">
            <wp:extent cx="5266690" cy="2821940"/>
            <wp:effectExtent l="0" t="0" r="10160" b="16510"/>
            <wp:docPr id="2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9"/>
                    <pic:cNvPicPr>
                      <a:picLocks noChangeAspect="1"/>
                    </pic:cNvPicPr>
                  </pic:nvPicPr>
                  <pic:blipFill>
                    <a:blip r:embed="rId40"/>
                    <a:stretch>
                      <a:fillRect/>
                    </a:stretch>
                  </pic:blipFill>
                  <pic:spPr>
                    <a:xfrm>
                      <a:off x="0" y="0"/>
                      <a:ext cx="5266690" cy="2821940"/>
                    </a:xfrm>
                    <a:prstGeom prst="rect">
                      <a:avLst/>
                    </a:prstGeom>
                    <a:noFill/>
                    <a:ln>
                      <a:noFill/>
                    </a:ln>
                  </pic:spPr>
                </pic:pic>
              </a:graphicData>
            </a:graphic>
          </wp:inline>
        </w:drawing>
      </w:r>
    </w:p>
    <w:p w14:paraId="72F8A435">
      <w:pPr>
        <w:pStyle w:val="268"/>
        <w:spacing w:after="166"/>
      </w:pPr>
      <w:r>
        <w:rPr>
          <w:rFonts w:hint="eastAsia"/>
        </w:rPr>
        <w:t>图</w:t>
      </w:r>
      <w:r>
        <w:rPr>
          <w:rFonts w:hint="eastAsia"/>
          <w:lang w:val="en-US"/>
        </w:rPr>
        <w:t>3</w:t>
      </w:r>
      <w:r>
        <w:rPr>
          <w:rFonts w:hint="eastAsia"/>
        </w:rPr>
        <w:t>-</w:t>
      </w:r>
      <w:r>
        <w:rPr>
          <w:rFonts w:hint="eastAsia"/>
          <w:lang w:val="en-US"/>
        </w:rPr>
        <w:t>9  上轮详细规划绿地系统实施对比</w:t>
      </w:r>
      <w:r>
        <w:rPr>
          <w:rFonts w:hint="eastAsia"/>
        </w:rPr>
        <w:t>图</w:t>
      </w:r>
    </w:p>
    <w:p w14:paraId="04F9ADDA">
      <w:pPr>
        <w:pStyle w:val="5"/>
        <w:numPr>
          <w:ilvl w:val="0"/>
          <w:numId w:val="16"/>
        </w:numPr>
        <w:spacing w:after="166"/>
      </w:pPr>
      <w:r>
        <w:rPr>
          <w:rFonts w:hint="eastAsia"/>
        </w:rPr>
        <w:t>道路交通评估</w:t>
      </w:r>
    </w:p>
    <w:p w14:paraId="0DFEC025">
      <w:pPr>
        <w:adjustRightInd/>
        <w:snapToGrid/>
        <w:spacing w:after="99" w:afterLines="30"/>
        <w:ind w:firstLine="500"/>
        <w:rPr>
          <w:lang w:val="en-US"/>
        </w:rPr>
      </w:pPr>
      <w:r>
        <w:rPr>
          <w:rFonts w:hint="eastAsia"/>
          <w:lang w:val="en-US"/>
        </w:rPr>
        <w:t>上轮详细规划对规划范围内的道路系统按主干路、次干路、支路三级体系划分，形成“六横六纵”的主要道路结构。主干路和次干道构成骨架路网系统，支路构成基础性道路系统。城市主干路红线宽度为30-50米。城市次干路道路红线宽度30米。城市支路道路红线宽度20-30米。</w:t>
      </w:r>
    </w:p>
    <w:p w14:paraId="21288380">
      <w:pPr>
        <w:adjustRightInd/>
        <w:snapToGrid/>
        <w:spacing w:after="99" w:afterLines="30"/>
        <w:ind w:firstLine="500"/>
        <w:rPr>
          <w:lang w:val="en-US"/>
        </w:rPr>
      </w:pPr>
      <w:r>
        <w:rPr>
          <w:rFonts w:hint="eastAsia"/>
          <w:lang w:val="en-US"/>
        </w:rPr>
        <w:t>上轮详细规划的规划路网整体顺畅，对外联系便捷。经规划实施后，现状交通骨架已成雏形，但整体骨架支撑性偏弱。存在以下问题：（1）道路红线控制情况不理想，现状道路基本小于上轮详细规划的规划宽度；（2）现状道路线型基本吻合上轮详细规划，但存在实际建设与规划不一致、部分走向偏差的情况；（3）部分规划道路不符合实际。</w:t>
      </w:r>
    </w:p>
    <w:p w14:paraId="3C3A53E3">
      <w:pPr>
        <w:pStyle w:val="13"/>
        <w:snapToGrid w:val="0"/>
        <w:spacing w:after="0" w:afterLines="0"/>
        <w:ind w:firstLine="0" w:firstLineChars="0"/>
        <w:jc w:val="center"/>
      </w:pPr>
      <w:r>
        <w:drawing>
          <wp:inline distT="0" distB="0" distL="114300" distR="114300">
            <wp:extent cx="5266690" cy="2991485"/>
            <wp:effectExtent l="0" t="0" r="10160" b="18415"/>
            <wp:docPr id="2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1"/>
                    <pic:cNvPicPr>
                      <a:picLocks noChangeAspect="1"/>
                    </pic:cNvPicPr>
                  </pic:nvPicPr>
                  <pic:blipFill>
                    <a:blip r:embed="rId41"/>
                    <a:stretch>
                      <a:fillRect/>
                    </a:stretch>
                  </pic:blipFill>
                  <pic:spPr>
                    <a:xfrm>
                      <a:off x="0" y="0"/>
                      <a:ext cx="5266690" cy="2991485"/>
                    </a:xfrm>
                    <a:prstGeom prst="rect">
                      <a:avLst/>
                    </a:prstGeom>
                    <a:noFill/>
                    <a:ln>
                      <a:noFill/>
                    </a:ln>
                  </pic:spPr>
                </pic:pic>
              </a:graphicData>
            </a:graphic>
          </wp:inline>
        </w:drawing>
      </w:r>
    </w:p>
    <w:p w14:paraId="4597999A">
      <w:pPr>
        <w:pStyle w:val="268"/>
        <w:spacing w:after="166"/>
      </w:pPr>
      <w:r>
        <w:rPr>
          <w:rFonts w:hint="eastAsia"/>
        </w:rPr>
        <w:t>图</w:t>
      </w:r>
      <w:r>
        <w:rPr>
          <w:rFonts w:hint="eastAsia"/>
          <w:lang w:val="en-US"/>
        </w:rPr>
        <w:t>3</w:t>
      </w:r>
      <w:r>
        <w:rPr>
          <w:rFonts w:hint="eastAsia"/>
        </w:rPr>
        <w:t>-</w:t>
      </w:r>
      <w:r>
        <w:rPr>
          <w:rFonts w:hint="eastAsia"/>
          <w:lang w:val="en-US"/>
        </w:rPr>
        <w:t>10  上轮详细规划道路交通实施对比</w:t>
      </w:r>
      <w:r>
        <w:rPr>
          <w:rFonts w:hint="eastAsia"/>
        </w:rPr>
        <w:t>图</w:t>
      </w:r>
    </w:p>
    <w:p w14:paraId="0ECA8ABC">
      <w:pPr>
        <w:pStyle w:val="13"/>
        <w:spacing w:after="166"/>
        <w:ind w:firstLine="480"/>
        <w:rPr>
          <w:lang w:val="en-US"/>
        </w:rPr>
      </w:pPr>
      <w:r>
        <w:rPr>
          <w:rFonts w:hint="eastAsia"/>
          <w:lang w:val="en-US"/>
        </w:rPr>
        <w:t>本次规划需要在保障主要路网体系不变的基础上，针对规划范围的道路交通情况进行细化研究，对局部路网进行调整，并提出具体的交通优化措施。</w:t>
      </w:r>
    </w:p>
    <w:p w14:paraId="63A9F67C">
      <w:pPr>
        <w:pStyle w:val="5"/>
        <w:numPr>
          <w:ilvl w:val="0"/>
          <w:numId w:val="16"/>
        </w:numPr>
        <w:spacing w:after="166"/>
      </w:pPr>
      <w:r>
        <w:rPr>
          <w:rFonts w:hint="eastAsia"/>
        </w:rPr>
        <w:t>公共管理与公共服务设施评估</w:t>
      </w:r>
    </w:p>
    <w:p w14:paraId="378D72BA">
      <w:pPr>
        <w:spacing w:after="166"/>
        <w:ind w:firstLine="500"/>
        <w:rPr>
          <w:lang w:val="en-US"/>
        </w:rPr>
      </w:pPr>
      <w:r>
        <w:rPr>
          <w:rFonts w:hint="eastAsia"/>
          <w:lang w:val="en-US"/>
        </w:rPr>
        <w:t>上轮详细规划对于公共管理与公共服务用地规划聚合行政办公用地、提档文体设施用地、增加教育科研用地、新添医疗养老用地。公共管理与公共服务用地主要沿白云鄂博大街、稀土大街、矿山路布置。幼儿园用地、中小学用地分散布置在二类居住用地之间，满足合理的服务半径。整体来看，当前建设情况与规划区别较大。</w:t>
      </w:r>
    </w:p>
    <w:p w14:paraId="360D56AA">
      <w:pPr>
        <w:pStyle w:val="13"/>
        <w:spacing w:after="0" w:afterLines="0"/>
        <w:ind w:firstLine="0" w:firstLineChars="0"/>
      </w:pPr>
      <w:r>
        <w:drawing>
          <wp:inline distT="0" distB="0" distL="114300" distR="114300">
            <wp:extent cx="5263515" cy="2708910"/>
            <wp:effectExtent l="0" t="0" r="13335" b="15240"/>
            <wp:docPr id="2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2"/>
                    <pic:cNvPicPr>
                      <a:picLocks noChangeAspect="1"/>
                    </pic:cNvPicPr>
                  </pic:nvPicPr>
                  <pic:blipFill>
                    <a:blip r:embed="rId42"/>
                    <a:stretch>
                      <a:fillRect/>
                    </a:stretch>
                  </pic:blipFill>
                  <pic:spPr>
                    <a:xfrm>
                      <a:off x="0" y="0"/>
                      <a:ext cx="5263515" cy="2708910"/>
                    </a:xfrm>
                    <a:prstGeom prst="rect">
                      <a:avLst/>
                    </a:prstGeom>
                    <a:noFill/>
                    <a:ln>
                      <a:noFill/>
                    </a:ln>
                  </pic:spPr>
                </pic:pic>
              </a:graphicData>
            </a:graphic>
          </wp:inline>
        </w:drawing>
      </w:r>
    </w:p>
    <w:p w14:paraId="5C2BE54A">
      <w:pPr>
        <w:pStyle w:val="268"/>
        <w:spacing w:after="166"/>
      </w:pPr>
      <w:r>
        <w:rPr>
          <w:rFonts w:hint="eastAsia"/>
        </w:rPr>
        <w:t>图</w:t>
      </w:r>
      <w:r>
        <w:rPr>
          <w:rFonts w:hint="eastAsia"/>
          <w:lang w:val="en-US"/>
        </w:rPr>
        <w:t>3</w:t>
      </w:r>
      <w:r>
        <w:rPr>
          <w:rFonts w:hint="eastAsia"/>
        </w:rPr>
        <w:t>-</w:t>
      </w:r>
      <w:r>
        <w:rPr>
          <w:rFonts w:hint="eastAsia"/>
          <w:lang w:val="en-US"/>
        </w:rPr>
        <w:t>11  上轮详细规划公共管理与公共服务设施实施对比</w:t>
      </w:r>
      <w:r>
        <w:rPr>
          <w:rFonts w:hint="eastAsia"/>
        </w:rPr>
        <w:t>图</w:t>
      </w:r>
    </w:p>
    <w:p w14:paraId="65DB46BE">
      <w:pPr>
        <w:spacing w:after="166"/>
        <w:ind w:firstLine="500"/>
        <w:rPr>
          <w:lang w:val="en-US"/>
        </w:rPr>
      </w:pPr>
      <w:r>
        <w:rPr>
          <w:rFonts w:hint="eastAsia"/>
          <w:lang w:val="en-US"/>
        </w:rPr>
        <w:t>（1）行政办公用地：未能有效聚合，空间分布较为分散。</w:t>
      </w:r>
    </w:p>
    <w:p w14:paraId="6CDB1B29">
      <w:pPr>
        <w:spacing w:after="166"/>
        <w:ind w:firstLine="500"/>
        <w:rPr>
          <w:lang w:val="en-US"/>
        </w:rPr>
      </w:pPr>
      <w:r>
        <w:rPr>
          <w:rFonts w:hint="eastAsia"/>
          <w:lang w:val="en-US"/>
        </w:rPr>
        <w:t>（2）教育设施：规划在城区南部新建的小学和幼儿园未实施；原有的铁矿幼儿园现状已搬至新址，位置与上轮详细规划不同；铁矿一小已闲置，铁矿中学改造综合教育营地。</w:t>
      </w:r>
    </w:p>
    <w:p w14:paraId="2AC673FC">
      <w:pPr>
        <w:spacing w:after="166"/>
        <w:ind w:firstLine="500"/>
        <w:rPr>
          <w:lang w:val="en-US"/>
        </w:rPr>
      </w:pPr>
      <w:r>
        <w:rPr>
          <w:rFonts w:hint="eastAsia"/>
          <w:lang w:val="en-US"/>
        </w:rPr>
        <w:t>（3）养老院：规划新增的居住小区级养老院未实施。</w:t>
      </w:r>
    </w:p>
    <w:p w14:paraId="2AEDAA02">
      <w:pPr>
        <w:spacing w:after="166"/>
        <w:ind w:firstLine="500"/>
        <w:rPr>
          <w:lang w:val="en-US"/>
        </w:rPr>
      </w:pPr>
      <w:r>
        <w:rPr>
          <w:rFonts w:hint="eastAsia"/>
          <w:lang w:val="en-US"/>
        </w:rPr>
        <w:t>（4）科研用地：规划布局在城区东部的科研用地已被划入工业园区范围，实际作为工业用地使用。</w:t>
      </w:r>
    </w:p>
    <w:p w14:paraId="5FAF8FA4">
      <w:pPr>
        <w:pStyle w:val="5"/>
        <w:numPr>
          <w:ilvl w:val="0"/>
          <w:numId w:val="16"/>
        </w:numPr>
        <w:spacing w:after="166"/>
      </w:pPr>
      <w:r>
        <w:rPr>
          <w:rFonts w:hint="eastAsia"/>
        </w:rPr>
        <w:t>开发强度评估</w:t>
      </w:r>
    </w:p>
    <w:p w14:paraId="75C137D3">
      <w:pPr>
        <w:spacing w:after="166"/>
        <w:ind w:firstLine="500"/>
        <w:rPr>
          <w:lang w:val="en-US"/>
        </w:rPr>
      </w:pPr>
      <w:r>
        <w:rPr>
          <w:rFonts w:hint="eastAsia"/>
          <w:lang w:val="en-US"/>
        </w:rPr>
        <w:t>上轮详细规划结合生态宜居家园的环境塑造与城市风貌控制分析等因素，采用不同的开发强度控制策略：在体现土地资源的经济效益的同时，营造良好的休闲度假环境。依据《包头市城市规划技术标准＜试行＞(2011)》中相关用地开发强度规定，同时结合白云鄂博矿区绿色矿山、新能源产业基地的特点，将用地划为中高强度、中等强度与低强度三级进行控制。</w:t>
      </w:r>
    </w:p>
    <w:p w14:paraId="6235483E">
      <w:pPr>
        <w:spacing w:after="166"/>
        <w:ind w:firstLine="500"/>
        <w:rPr>
          <w:lang w:val="en-US"/>
        </w:rPr>
      </w:pPr>
      <w:r>
        <w:rPr>
          <w:rFonts w:hint="eastAsia"/>
          <w:lang w:val="en-US"/>
        </w:rPr>
        <w:t>中高强度开发区：建议开发强度控制在1.6-2.0，主要分布在白云鄂博大街与通阳道交汇处，主要用地功能为零售商业。</w:t>
      </w:r>
    </w:p>
    <w:p w14:paraId="386EC932">
      <w:pPr>
        <w:spacing w:after="166"/>
        <w:ind w:firstLine="500"/>
        <w:rPr>
          <w:lang w:val="en-US"/>
        </w:rPr>
      </w:pPr>
      <w:r>
        <w:rPr>
          <w:rFonts w:hint="eastAsia"/>
          <w:lang w:val="en-US"/>
        </w:rPr>
        <w:t>中等强度开发区：建议开发强度控制在0.8-1.6，主要用地功能为教育、医疗、居住、零售商业、餐饮酒店等。</w:t>
      </w:r>
    </w:p>
    <w:p w14:paraId="2C1EDB07">
      <w:pPr>
        <w:spacing w:after="166"/>
        <w:ind w:firstLine="500"/>
        <w:rPr>
          <w:lang w:val="en-US"/>
        </w:rPr>
      </w:pPr>
      <w:r>
        <w:rPr>
          <w:rFonts w:hint="eastAsia"/>
          <w:lang w:val="en-US"/>
        </w:rPr>
        <w:t>低强度开发区：开发强度控制在0.8以下，在矿山公园-市民广场-湿地公园的景观视廊轴线上，主要用地为康体娱乐、餐饮、住宅以及部分市政设施、公交场站等</w:t>
      </w:r>
    </w:p>
    <w:p w14:paraId="225FFC93">
      <w:pPr>
        <w:spacing w:after="166"/>
        <w:ind w:firstLine="500"/>
        <w:rPr>
          <w:lang w:val="en-US"/>
        </w:rPr>
      </w:pPr>
      <w:r>
        <w:rPr>
          <w:rFonts w:hint="eastAsia"/>
          <w:lang w:val="en-US"/>
        </w:rPr>
        <w:t>规划实施后，目前城区范围内用地容积率位于0-2.21区间内，平均容积率为0.40。上轮详细规划中的三处高点区域除区域1（白云鄂博大街与通阳道交叉口区域）实施较好外，其他两处容积率均为达到规划预期。</w:t>
      </w:r>
    </w:p>
    <w:p w14:paraId="3B5CD340">
      <w:pPr>
        <w:adjustRightInd/>
        <w:snapToGrid/>
        <w:spacing w:after="0" w:afterLines="0"/>
        <w:ind w:firstLine="0" w:firstLineChars="0"/>
      </w:pPr>
      <w:r>
        <w:drawing>
          <wp:inline distT="0" distB="0" distL="0" distR="0">
            <wp:extent cx="5266690" cy="2124710"/>
            <wp:effectExtent l="0" t="0" r="10160" b="8890"/>
            <wp:docPr id="1483870235" name="图片 1483870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870235" name="图片 1483870235"/>
                    <pic:cNvPicPr>
                      <a:picLocks noChangeAspect="1"/>
                    </pic:cNvPicPr>
                  </pic:nvPicPr>
                  <pic:blipFill>
                    <a:blip r:embed="rId43"/>
                    <a:srcRect l="1340"/>
                    <a:stretch>
                      <a:fillRect/>
                    </a:stretch>
                  </pic:blipFill>
                  <pic:spPr>
                    <a:xfrm>
                      <a:off x="0" y="0"/>
                      <a:ext cx="5266690" cy="2124710"/>
                    </a:xfrm>
                    <a:prstGeom prst="rect">
                      <a:avLst/>
                    </a:prstGeom>
                    <a:ln>
                      <a:noFill/>
                    </a:ln>
                  </pic:spPr>
                </pic:pic>
              </a:graphicData>
            </a:graphic>
          </wp:inline>
        </w:drawing>
      </w:r>
    </w:p>
    <w:p w14:paraId="2031E802">
      <w:pPr>
        <w:pStyle w:val="268"/>
        <w:spacing w:after="166"/>
      </w:pPr>
      <w:r>
        <w:rPr>
          <w:rFonts w:hint="eastAsia"/>
        </w:rPr>
        <w:t>图</w:t>
      </w:r>
      <w:r>
        <w:rPr>
          <w:rFonts w:hint="eastAsia"/>
          <w:lang w:val="en-US"/>
        </w:rPr>
        <w:t>3</w:t>
      </w:r>
      <w:r>
        <w:rPr>
          <w:rFonts w:hint="eastAsia"/>
        </w:rPr>
        <w:t>-</w:t>
      </w:r>
      <w:r>
        <w:rPr>
          <w:rFonts w:hint="eastAsia"/>
          <w:lang w:val="en-US"/>
        </w:rPr>
        <w:t>12  上轮详细规划开发强度实施对比</w:t>
      </w:r>
      <w:r>
        <w:rPr>
          <w:rFonts w:hint="eastAsia"/>
        </w:rPr>
        <w:t>图</w:t>
      </w:r>
    </w:p>
    <w:p w14:paraId="1565A209">
      <w:pPr>
        <w:pStyle w:val="13"/>
        <w:spacing w:after="166"/>
        <w:ind w:firstLine="320"/>
        <w:jc w:val="center"/>
        <w:rPr>
          <w:rFonts w:ascii="黑体" w:hAnsi="黑体" w:eastAsia="黑体"/>
          <w:sz w:val="16"/>
        </w:rPr>
      </w:pPr>
      <w:r>
        <w:rPr>
          <w:rFonts w:hint="eastAsia" w:ascii="黑体" w:hAnsi="黑体" w:eastAsia="黑体"/>
          <w:sz w:val="16"/>
        </w:rPr>
        <w:t>注：此处计算使用底图底数为</w:t>
      </w:r>
      <w:r>
        <w:rPr>
          <w:rFonts w:ascii="黑体" w:hAnsi="黑体" w:eastAsia="黑体"/>
          <w:sz w:val="16"/>
        </w:rPr>
        <w:t>20</w:t>
      </w:r>
      <w:r>
        <w:rPr>
          <w:rFonts w:hint="eastAsia" w:ascii="黑体" w:hAnsi="黑体" w:eastAsia="黑体"/>
          <w:sz w:val="16"/>
        </w:rPr>
        <w:t>23年变更调查数据，故而地块划分与不动产数据、实际批地数据范围有所差别</w:t>
      </w:r>
    </w:p>
    <w:p w14:paraId="27B8AF58">
      <w:pPr>
        <w:pStyle w:val="13"/>
        <w:spacing w:after="166"/>
        <w:ind w:firstLine="320"/>
        <w:jc w:val="center"/>
        <w:rPr>
          <w:rFonts w:ascii="黑体" w:hAnsi="黑体" w:eastAsia="黑体"/>
          <w:sz w:val="16"/>
        </w:rPr>
      </w:pPr>
    </w:p>
    <w:p w14:paraId="13623649">
      <w:pPr>
        <w:pStyle w:val="5"/>
        <w:numPr>
          <w:ilvl w:val="0"/>
          <w:numId w:val="16"/>
        </w:numPr>
        <w:spacing w:after="166"/>
      </w:pPr>
      <w:r>
        <w:rPr>
          <w:rFonts w:hint="eastAsia"/>
        </w:rPr>
        <w:t>建筑高度评估</w:t>
      </w:r>
    </w:p>
    <w:p w14:paraId="6F39A26C">
      <w:pPr>
        <w:spacing w:after="166"/>
        <w:ind w:firstLine="500"/>
        <w:rPr>
          <w:lang w:val="en-US"/>
        </w:rPr>
      </w:pPr>
      <w:r>
        <w:rPr>
          <w:rFonts w:hint="eastAsia"/>
          <w:lang w:val="en-US"/>
        </w:rPr>
        <w:t>上轮详细规划根据《包头市城市规划技术标准＜试行＞(2011)》中相关建筑高度控制规定，建筑高度控制采取低层、中高层的两级控制。</w:t>
      </w:r>
    </w:p>
    <w:p w14:paraId="1D3DE872">
      <w:pPr>
        <w:spacing w:after="166"/>
        <w:ind w:firstLine="500"/>
        <w:rPr>
          <w:lang w:val="en-US"/>
        </w:rPr>
      </w:pPr>
      <w:r>
        <w:rPr>
          <w:rFonts w:hint="eastAsia"/>
          <w:lang w:val="en-US"/>
        </w:rPr>
        <w:t>低层高度控制：建筑高度在15米以下。用地功能以居住、商业用地为主，部分商业、康体等用地，以及广场、市政设施如公交场站用地等。</w:t>
      </w:r>
    </w:p>
    <w:p w14:paraId="2B8B6A42">
      <w:pPr>
        <w:spacing w:after="166"/>
        <w:ind w:firstLine="500"/>
        <w:rPr>
          <w:lang w:val="en-US"/>
        </w:rPr>
      </w:pPr>
      <w:r>
        <w:rPr>
          <w:rFonts w:hint="eastAsia"/>
          <w:lang w:val="en-US"/>
        </w:rPr>
        <w:t>中高层高度控制：建筑高度15至20米，少部分超过20米。主要现状的多层建筑，南部未来开发的居住区，和白云鄂博大街中段的商业零售、医疗卫生、文化活动、行政办公、中小学等用地。</w:t>
      </w:r>
    </w:p>
    <w:p w14:paraId="277414D8">
      <w:pPr>
        <w:spacing w:after="166"/>
        <w:ind w:firstLine="500"/>
        <w:rPr>
          <w:lang w:val="en-US"/>
        </w:rPr>
      </w:pPr>
      <w:r>
        <w:rPr>
          <w:rFonts w:hint="eastAsia"/>
          <w:lang w:val="en-US"/>
        </w:rPr>
        <w:t>规划实施后，目前城区范围内现状用地建筑层数位于1-8层，建筑高度位于3-32米范围内，平均建筑高度为5米。与上轮详细规划对比，建筑高度整体偏低，局部有所突破（如白云鄂博大街和通阳道交叉口以北区域、工矿棚户区改造惠民安置区等）。</w:t>
      </w:r>
    </w:p>
    <w:p w14:paraId="363C421C">
      <w:pPr>
        <w:pStyle w:val="13"/>
        <w:spacing w:after="0" w:afterLines="0"/>
        <w:ind w:firstLine="0" w:firstLineChars="0"/>
        <w:rPr>
          <w:lang w:val="en-US"/>
        </w:rPr>
      </w:pPr>
      <w:r>
        <w:drawing>
          <wp:inline distT="0" distB="0" distL="0" distR="0">
            <wp:extent cx="5266690" cy="2286000"/>
            <wp:effectExtent l="0" t="0" r="10160" b="0"/>
            <wp:docPr id="1483870236" name="图片 1483870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870236" name="图片 1483870236"/>
                    <pic:cNvPicPr>
                      <a:picLocks noChangeAspect="1"/>
                    </pic:cNvPicPr>
                  </pic:nvPicPr>
                  <pic:blipFill>
                    <a:blip r:embed="rId44"/>
                    <a:stretch>
                      <a:fillRect/>
                    </a:stretch>
                  </pic:blipFill>
                  <pic:spPr>
                    <a:xfrm>
                      <a:off x="0" y="0"/>
                      <a:ext cx="5266690" cy="2286000"/>
                    </a:xfrm>
                    <a:prstGeom prst="rect">
                      <a:avLst/>
                    </a:prstGeom>
                  </pic:spPr>
                </pic:pic>
              </a:graphicData>
            </a:graphic>
          </wp:inline>
        </w:drawing>
      </w:r>
    </w:p>
    <w:p w14:paraId="22DF48DA">
      <w:pPr>
        <w:pStyle w:val="268"/>
        <w:spacing w:after="166"/>
      </w:pPr>
      <w:r>
        <w:rPr>
          <w:rFonts w:hint="eastAsia"/>
        </w:rPr>
        <w:t>图</w:t>
      </w:r>
      <w:r>
        <w:rPr>
          <w:rFonts w:hint="eastAsia"/>
          <w:lang w:val="en-US"/>
        </w:rPr>
        <w:t>3</w:t>
      </w:r>
      <w:r>
        <w:rPr>
          <w:rFonts w:hint="eastAsia"/>
        </w:rPr>
        <w:t>-</w:t>
      </w:r>
      <w:r>
        <w:rPr>
          <w:rFonts w:hint="eastAsia"/>
          <w:lang w:val="en-US"/>
        </w:rPr>
        <w:t>13  上轮详细规划建筑高度实施对比</w:t>
      </w:r>
      <w:r>
        <w:rPr>
          <w:rFonts w:hint="eastAsia"/>
        </w:rPr>
        <w:t>图</w:t>
      </w:r>
    </w:p>
    <w:p w14:paraId="6B07D621">
      <w:pPr>
        <w:pStyle w:val="5"/>
        <w:numPr>
          <w:ilvl w:val="0"/>
          <w:numId w:val="16"/>
        </w:numPr>
        <w:spacing w:after="166"/>
      </w:pPr>
      <w:r>
        <w:rPr>
          <w:rFonts w:hint="eastAsia"/>
        </w:rPr>
        <w:t>小结</w:t>
      </w:r>
    </w:p>
    <w:p w14:paraId="46BC24C2">
      <w:pPr>
        <w:spacing w:after="166"/>
        <w:ind w:firstLine="500"/>
        <w:rPr>
          <w:lang w:val="en-US"/>
        </w:rPr>
      </w:pPr>
      <w:r>
        <w:rPr>
          <w:rFonts w:hint="eastAsia"/>
          <w:lang w:val="en-US"/>
        </w:rPr>
        <w:t>上轮详细规划为白云矿区的各项开发建设活动提供了技术依据。但由于包头稀土高新技术产业开发区(白云工业集聚区)的确定，以及新一轮国土空间规划重新划定城镇开发边界等发展条件变化，上轮详细规划的部分内容与现状及未来发展情况已不相适应，需要对白云矿区城区的相关规划内容进行调整。</w:t>
      </w:r>
    </w:p>
    <w:p w14:paraId="083CF057">
      <w:pPr>
        <w:spacing w:after="166"/>
        <w:ind w:firstLine="500"/>
        <w:rPr>
          <w:lang w:val="en-US"/>
        </w:rPr>
      </w:pPr>
      <w:r>
        <w:rPr>
          <w:rFonts w:hint="eastAsia"/>
          <w:lang w:val="en-US"/>
        </w:rPr>
        <w:t>本次规划在部分延续上轮详细规划“北退南进，一圈、四带、三组团”的整体空间格局、“六横六纵”的主要道路结构等内容的基础上，结合当前发展条件的变化，对规划用地、道路交通、绿地公服、公用设施及开发容量等内容进行调整优化，从“为人服务”和“为产服务”两方面提供保障；同时完善各项设施、强化品质建设，提升白云矿区城区综合服务水平。</w:t>
      </w:r>
    </w:p>
    <w:p w14:paraId="1CFEE5E7">
      <w:pPr>
        <w:spacing w:after="166"/>
        <w:ind w:firstLine="0" w:firstLineChars="0"/>
        <w:rPr>
          <w:rFonts w:hint="eastAsia" w:ascii="宋体" w:hAnsi="宋体" w:cs="宋体"/>
          <w:u w:val="single"/>
          <w:lang w:val="en-US" w:bidi="ar"/>
        </w:rPr>
      </w:pPr>
      <w:r>
        <w:rPr>
          <w:rFonts w:ascii="宋体" w:hAnsi="宋体" w:cs="宋体"/>
          <w:u w:val="single"/>
          <w:lang w:val="en-US" w:bidi="ar"/>
        </w:rPr>
        <w:br w:type="page"/>
      </w:r>
    </w:p>
    <w:p w14:paraId="347C658A">
      <w:pPr>
        <w:pStyle w:val="2"/>
        <w:numPr>
          <w:ilvl w:val="0"/>
          <w:numId w:val="5"/>
        </w:numPr>
        <w:rPr>
          <w:rFonts w:hint="eastAsia"/>
        </w:rPr>
      </w:pPr>
      <w:bookmarkStart w:id="4" w:name="_Toc27205"/>
      <w:r>
        <w:rPr>
          <w:rFonts w:hint="eastAsia"/>
        </w:rPr>
        <w:t>功能定位与规模控制</w:t>
      </w:r>
      <w:bookmarkEnd w:id="4"/>
    </w:p>
    <w:p w14:paraId="306315B9">
      <w:pPr>
        <w:pStyle w:val="3"/>
        <w:numPr>
          <w:ilvl w:val="1"/>
          <w:numId w:val="5"/>
        </w:numPr>
        <w:spacing w:before="332" w:after="166"/>
        <w:rPr>
          <w:rFonts w:hint="eastAsia"/>
        </w:rPr>
      </w:pPr>
      <w:r>
        <w:rPr>
          <w:rFonts w:hint="eastAsia"/>
        </w:rPr>
        <w:t>规划定位</w:t>
      </w:r>
    </w:p>
    <w:p w14:paraId="2C4936DF">
      <w:pPr>
        <w:pStyle w:val="4"/>
        <w:numPr>
          <w:ilvl w:val="2"/>
          <w:numId w:val="5"/>
        </w:numPr>
        <w:spacing w:before="332" w:after="166"/>
        <w:rPr>
          <w:rFonts w:hint="eastAsia"/>
          <w:lang w:val="en-US"/>
        </w:rPr>
      </w:pPr>
      <w:r>
        <w:rPr>
          <w:rFonts w:hint="eastAsia"/>
          <w:lang w:val="en-US"/>
        </w:rPr>
        <w:t>规划定位确定依据</w:t>
      </w:r>
    </w:p>
    <w:p w14:paraId="0787A2D6">
      <w:pPr>
        <w:pStyle w:val="5"/>
        <w:numPr>
          <w:ilvl w:val="0"/>
          <w:numId w:val="17"/>
        </w:numPr>
      </w:pPr>
      <w:r>
        <w:rPr>
          <w:rFonts w:hint="eastAsia"/>
        </w:rPr>
        <w:t>市级层面要求</w:t>
      </w:r>
    </w:p>
    <w:p w14:paraId="74FAD9D3">
      <w:pPr>
        <w:spacing w:after="166"/>
        <w:ind w:firstLine="500"/>
      </w:pPr>
      <w:r>
        <w:rPr>
          <w:rFonts w:hint="eastAsia"/>
        </w:rPr>
        <w:t>在已有规划定位方面，《包头市国土空间总体规划（2021—2035年）》提出，包头市的城市性质为全国重要的工业基地，呼包鄂榆城市群副中心城市，中蒙俄经济走廊重要支点和产能合作区，幸福宜居的沿黄公园城市。对白云鄂博矿区的指引为，“建设成为现代工业基地和生态宜居家园。发挥区位与资源优势，立足中蒙俄经济走廊建设机遇，合理有序开发稀土资源，承接中心城区稀土产业链前端加工制造工业的转移。强化与达茂旗的园区共建，以白云矿区为主体，统筹巴润工业园的建设用地指标与布局，共同利用蒙古国矿产资源，建设成为矿产资源综合利用示范基地”。城镇体系中确定白云鄂博矿区为“县域中心城市”，城镇职能为“工矿及加工制造型”。</w:t>
      </w:r>
    </w:p>
    <w:p w14:paraId="4CDE09C3">
      <w:pPr>
        <w:spacing w:after="166"/>
        <w:ind w:firstLine="500"/>
      </w:pPr>
      <w:r>
        <w:rPr>
          <w:rFonts w:hint="eastAsia"/>
        </w:rPr>
        <w:t>在最新政策指引方面，《中共包头市委员会包头市人民政府 关于实施创新驱动发展战略大力发展战略性新兴产业的意见》提出聚焦“世界稀土之都”和“世界绿色硅都”，全力打造旗帜型产业集群。</w:t>
      </w:r>
    </w:p>
    <w:p w14:paraId="6F5F9439">
      <w:pPr>
        <w:pStyle w:val="5"/>
        <w:numPr>
          <w:ilvl w:val="0"/>
          <w:numId w:val="17"/>
        </w:numPr>
      </w:pPr>
      <w:r>
        <w:rPr>
          <w:rFonts w:hint="eastAsia"/>
        </w:rPr>
        <w:t>白云鄂博矿区层面要求</w:t>
      </w:r>
    </w:p>
    <w:p w14:paraId="5EC1E848">
      <w:pPr>
        <w:pStyle w:val="6"/>
        <w:numPr>
          <w:ilvl w:val="4"/>
          <w:numId w:val="0"/>
        </w:numPr>
        <w:ind w:leftChars="0"/>
      </w:pPr>
      <w:r>
        <w:rPr>
          <w:rFonts w:hint="eastAsia"/>
        </w:rPr>
        <w:t>①历版城市总体规划</w:t>
      </w:r>
    </w:p>
    <w:p w14:paraId="10413243">
      <w:pPr>
        <w:spacing w:after="166"/>
        <w:ind w:firstLine="500"/>
      </w:pPr>
      <w:r>
        <w:rPr>
          <w:rFonts w:hint="eastAsia"/>
        </w:rPr>
        <w:t>白云鄂博矿区先后历经多版城市总体规划，中心城区城市性质不断演进，2010年城市总体规划明确为“内蒙古自治区重要的有色金属和稀土矿产为主导的现代矿产业城市”，2016年版城市总体规划明确为“全国重要的有色金属和稀土矿产为主导的现代化矿业城市；包头向北开放的战略节点城市、草原丝绸之路重要节点城市、现代工业与特色文化旅游城市”。</w:t>
      </w:r>
    </w:p>
    <w:p w14:paraId="6CBC13A1">
      <w:pPr>
        <w:pStyle w:val="6"/>
        <w:numPr>
          <w:ilvl w:val="4"/>
          <w:numId w:val="0"/>
        </w:numPr>
        <w:ind w:leftChars="0"/>
      </w:pPr>
      <w:r>
        <w:rPr>
          <w:rFonts w:hint="eastAsia"/>
        </w:rPr>
        <w:t>②</w:t>
      </w:r>
      <w:r>
        <w:rPr>
          <w:rFonts w:hint="eastAsia"/>
          <w:lang w:eastAsia="zh-CN"/>
        </w:rPr>
        <w:t>“</w:t>
      </w:r>
      <w:r>
        <w:rPr>
          <w:rFonts w:hint="eastAsia"/>
        </w:rPr>
        <w:t>十四五</w:t>
      </w:r>
      <w:r>
        <w:rPr>
          <w:rFonts w:hint="eastAsia"/>
          <w:lang w:eastAsia="zh-CN"/>
        </w:rPr>
        <w:t>”</w:t>
      </w:r>
      <w:r>
        <w:rPr>
          <w:rFonts w:hint="eastAsia"/>
        </w:rPr>
        <w:t>规划</w:t>
      </w:r>
    </w:p>
    <w:p w14:paraId="6B36D867">
      <w:pPr>
        <w:spacing w:after="166"/>
        <w:ind w:firstLine="500"/>
      </w:pPr>
      <w:r>
        <w:rPr>
          <w:rFonts w:hint="eastAsia"/>
        </w:rPr>
        <w:t>《白云鄂博矿区国民经济和社会发展第十四个五年规划和二〇三五年远景目标纲要》中提出，紧紧围绕“三地一点”发展定位，建设成为世界新型稀土原料基地、国家战略性矿产资源综合利用基地、自治区观光旅游目的地、包头市对外开放的重要支点，着力建设“两园四区”（资源综合利用循环经济园、飞地经济双创示范园，智慧宜人的精品城区、科技创新集聚区、绿色低碳示范区、民族团结进步模范区）。</w:t>
      </w:r>
    </w:p>
    <w:p w14:paraId="10FC67A6">
      <w:pPr>
        <w:pStyle w:val="6"/>
        <w:numPr>
          <w:ilvl w:val="4"/>
          <w:numId w:val="0"/>
        </w:numPr>
        <w:ind w:leftChars="0"/>
      </w:pPr>
      <w:r>
        <w:rPr>
          <w:rFonts w:hint="eastAsia"/>
        </w:rPr>
        <w:t>③国土空间总体规划</w:t>
      </w:r>
    </w:p>
    <w:p w14:paraId="0EF45C54">
      <w:pPr>
        <w:spacing w:after="166"/>
        <w:ind w:firstLine="500"/>
      </w:pPr>
      <w:r>
        <w:rPr>
          <w:rFonts w:hint="eastAsia"/>
        </w:rPr>
        <w:t>《</w:t>
      </w:r>
      <w:r>
        <w:rPr>
          <w:rFonts w:hint="eastAsia"/>
          <w:lang w:val="en-US"/>
        </w:rPr>
        <w:t>包头市</w:t>
      </w:r>
      <w:r>
        <w:rPr>
          <w:rFonts w:hint="eastAsia"/>
        </w:rPr>
        <w:t>白云鄂博矿区</w:t>
      </w:r>
      <w:r>
        <w:rPr>
          <w:rFonts w:hint="eastAsia"/>
          <w:lang w:val="en-US"/>
        </w:rPr>
        <w:t>国土空间总体规划（2021-2035年）</w:t>
      </w:r>
      <w:r>
        <w:rPr>
          <w:rFonts w:hint="eastAsia"/>
        </w:rPr>
        <w:t>》中提出，白云鄂博矿区城市性质（核心功能定位）为“国家战略性稀土等矿产资源综合利用基地、包头市山北地区重要的生态屏障、包头市向北开放的战略支点和新型工业基地、产城矿旅融合发展绿色宜居城市”。</w:t>
      </w:r>
    </w:p>
    <w:p w14:paraId="6BC66891">
      <w:pPr>
        <w:pStyle w:val="4"/>
        <w:numPr>
          <w:ilvl w:val="2"/>
          <w:numId w:val="5"/>
        </w:numPr>
        <w:spacing w:before="332" w:after="166"/>
        <w:rPr>
          <w:rFonts w:hint="eastAsia"/>
          <w:lang w:val="en-US"/>
        </w:rPr>
      </w:pPr>
      <w:r>
        <w:rPr>
          <w:rFonts w:hint="eastAsia"/>
          <w:lang w:val="en-US"/>
        </w:rPr>
        <w:t>规划定位的延续与落实</w:t>
      </w:r>
    </w:p>
    <w:p w14:paraId="19329967">
      <w:pPr>
        <w:pStyle w:val="13"/>
        <w:spacing w:after="166"/>
        <w:ind w:firstLine="480"/>
        <w:rPr>
          <w:rFonts w:hint="eastAsia"/>
          <w:lang w:val="en-US"/>
        </w:rPr>
      </w:pPr>
      <w:r>
        <w:rPr>
          <w:rFonts w:hint="eastAsia"/>
        </w:rPr>
        <w:t>本规划一方面充分考虑对既有城市性质的继承和延续性，把握白云鄂博矿区作为国家级独立工矿区的优势，另一方面充分落实</w:t>
      </w:r>
      <w:r>
        <w:rPr>
          <w:rFonts w:hint="eastAsia"/>
          <w:lang w:val="en-US"/>
        </w:rPr>
        <w:t>上位规划</w:t>
      </w:r>
      <w:r>
        <w:rPr>
          <w:rFonts w:hint="eastAsia"/>
        </w:rPr>
        <w:t>的战略要求，</w:t>
      </w:r>
      <w:r>
        <w:rPr>
          <w:rFonts w:hint="eastAsia"/>
          <w:lang w:val="en-US"/>
        </w:rPr>
        <w:t>确定本次规划城区定位为“产城矿旅融合发展的宜业宜居城区”。</w:t>
      </w:r>
    </w:p>
    <w:p w14:paraId="77A27BCB">
      <w:pPr>
        <w:pStyle w:val="13"/>
        <w:spacing w:after="166"/>
        <w:ind w:firstLine="480"/>
        <w:rPr>
          <w:rFonts w:hint="eastAsia"/>
          <w:lang w:val="en-US"/>
        </w:rPr>
      </w:pPr>
      <w:r>
        <w:rPr>
          <w:rFonts w:hint="eastAsia"/>
          <w:lang w:val="en-US"/>
        </w:rPr>
        <w:t>建设融合发展的宜业城区，提升“为产服务”功能。立足白云矿区国土空间开发保护与全域产业发展需求，强化产城融合，增加新质生产力空间供给，完善生产性服务业配套，引导与园区产业错位发展，城市风貌协呼应，支撑营商环境改善，为居民提供充足就业岗位与创新创业机会。</w:t>
      </w:r>
    </w:p>
    <w:p w14:paraId="42659F0A">
      <w:pPr>
        <w:pStyle w:val="13"/>
        <w:spacing w:after="166"/>
        <w:ind w:firstLine="480"/>
        <w:rPr>
          <w:rFonts w:hint="eastAsia"/>
          <w:lang w:val="en-US"/>
        </w:rPr>
      </w:pPr>
      <w:r>
        <w:rPr>
          <w:rFonts w:hint="eastAsia"/>
          <w:lang w:val="en-US"/>
        </w:rPr>
        <w:t>营造生态怡人的宜居城区，提升“为人服务”功能。立足提升全体居民的获得感与幸福感，科学合理确定住房总量，优化供应结构，补足基础设施短板，提升公共服务品质，完善社区建设建设，改善人居环境，打造多元并蓄、全龄共享的宜居空间。</w:t>
      </w:r>
    </w:p>
    <w:p w14:paraId="32BA4621">
      <w:pPr>
        <w:pStyle w:val="3"/>
        <w:numPr>
          <w:ilvl w:val="1"/>
          <w:numId w:val="5"/>
        </w:numPr>
        <w:spacing w:before="332" w:after="166"/>
        <w:rPr>
          <w:rFonts w:hint="eastAsia"/>
        </w:rPr>
      </w:pPr>
      <w:r>
        <w:rPr>
          <w:rFonts w:hint="eastAsia"/>
        </w:rPr>
        <w:t>人口规模</w:t>
      </w:r>
    </w:p>
    <w:p w14:paraId="395067D4">
      <w:pPr>
        <w:widowControl/>
        <w:spacing w:after="166"/>
        <w:ind w:firstLine="500"/>
        <w:jc w:val="left"/>
        <w:rPr>
          <w:lang w:val="en-US"/>
        </w:rPr>
      </w:pPr>
      <w:r>
        <w:rPr>
          <w:rFonts w:hint="eastAsia"/>
          <w:lang w:val="en-US"/>
        </w:rPr>
        <w:t>规划范围内常住人口全部为城镇居住人口，采用以下两种方法进行计算，最终确定人口规模为3.00万人。</w:t>
      </w:r>
    </w:p>
    <w:p w14:paraId="4BAE9646">
      <w:pPr>
        <w:pStyle w:val="5"/>
        <w:widowControl/>
        <w:numPr>
          <w:ilvl w:val="0"/>
          <w:numId w:val="18"/>
        </w:numPr>
        <w:spacing w:after="166"/>
        <w:ind w:leftChars="0"/>
        <w:jc w:val="left"/>
      </w:pPr>
      <w:r>
        <w:rPr>
          <w:rFonts w:hint="eastAsia"/>
        </w:rPr>
        <w:t>根据人均居住用地面积推算</w:t>
      </w:r>
    </w:p>
    <w:p w14:paraId="7EF6106C">
      <w:pPr>
        <w:widowControl/>
        <w:spacing w:after="166"/>
        <w:ind w:firstLine="500"/>
        <w:jc w:val="left"/>
        <w:rPr>
          <w:lang w:val="en-US"/>
        </w:rPr>
      </w:pPr>
      <w:r>
        <w:rPr>
          <w:rFonts w:hint="eastAsia"/>
          <w:lang w:val="en-US"/>
        </w:rPr>
        <w:t>计算公式：规划常住人口=现状常住人口+新增居住用地面积÷人均居住用地面积</w:t>
      </w:r>
    </w:p>
    <w:p w14:paraId="23D2D8D1">
      <w:pPr>
        <w:widowControl/>
        <w:spacing w:after="166"/>
        <w:ind w:firstLine="500"/>
        <w:jc w:val="left"/>
        <w:rPr>
          <w:lang w:val="en-US"/>
        </w:rPr>
      </w:pPr>
      <w:r>
        <w:rPr>
          <w:rFonts w:hint="eastAsia"/>
          <w:lang w:val="en-US"/>
        </w:rPr>
        <w:t>现状常住人口约为2.27万人；新增居住用地面积29.67公顷；根据《城市用地分类与规划建设用地标准》（GB50137-2011），白云鄂博矿区处于Ⅰ气候区，规划人均居住用地面积约为28-38平方米/人，本次规划新建区域人均居住用地面积按38平方米计。则新增常住人口7807人，本次规划范围的总规划常住人口约3</w:t>
      </w:r>
      <w:r>
        <w:rPr>
          <w:rFonts w:hint="eastAsia"/>
          <w:lang w:val="en-US" w:eastAsia="zh-CN"/>
        </w:rPr>
        <w:t>.0</w:t>
      </w:r>
      <w:r>
        <w:rPr>
          <w:rFonts w:hint="eastAsia"/>
          <w:lang w:val="en-US"/>
        </w:rPr>
        <w:t>万人。</w:t>
      </w:r>
    </w:p>
    <w:p w14:paraId="43C4121A">
      <w:pPr>
        <w:pStyle w:val="5"/>
        <w:widowControl/>
        <w:numPr>
          <w:ilvl w:val="0"/>
          <w:numId w:val="18"/>
        </w:numPr>
        <w:spacing w:after="166"/>
        <w:ind w:leftChars="0"/>
        <w:jc w:val="left"/>
      </w:pPr>
      <w:r>
        <w:rPr>
          <w:rFonts w:hint="eastAsia"/>
        </w:rPr>
        <w:t>根据人均住房面积推算</w:t>
      </w:r>
    </w:p>
    <w:p w14:paraId="4BFA5D07">
      <w:pPr>
        <w:widowControl/>
        <w:spacing w:after="166"/>
        <w:ind w:firstLine="500"/>
        <w:jc w:val="left"/>
        <w:rPr>
          <w:lang w:val="en-US"/>
        </w:rPr>
      </w:pPr>
      <w:r>
        <w:rPr>
          <w:rFonts w:hint="eastAsia"/>
          <w:lang w:val="en-US"/>
        </w:rPr>
        <w:t>计算公式：规划常住人口=现状常住人口+新增住房面积÷人均居房面积</w:t>
      </w:r>
    </w:p>
    <w:p w14:paraId="1F0C7606">
      <w:pPr>
        <w:widowControl/>
        <w:spacing w:after="166"/>
        <w:ind w:firstLine="500"/>
        <w:jc w:val="left"/>
        <w:rPr>
          <w:rFonts w:hint="eastAsia"/>
          <w:lang w:val="en-US"/>
        </w:rPr>
      </w:pPr>
      <w:r>
        <w:rPr>
          <w:rFonts w:hint="eastAsia"/>
          <w:lang w:val="en-US"/>
        </w:rPr>
        <w:t>现状常住人口约为2.27万人；新增居住用地面积29.67公顷，按平均容积率1.1计，则新增住房面积32.64平方米；根据《白云鄂博矿区国土空间总体规划城市体检评估（2023）》，白云矿区2022年城镇人均住房用地面积为48.8平方米，本次规划则按48.8平方米/人的标准计算。则新增常住人口6687人，总规划常住人口约2.9万人。</w:t>
      </w:r>
    </w:p>
    <w:p w14:paraId="3424D097">
      <w:pPr>
        <w:pStyle w:val="13"/>
        <w:rPr>
          <w:rFonts w:hint="eastAsia"/>
          <w:lang w:val="en-US"/>
        </w:rPr>
      </w:pPr>
    </w:p>
    <w:p w14:paraId="1B5794E9">
      <w:pPr>
        <w:pStyle w:val="13"/>
        <w:rPr>
          <w:rFonts w:hint="eastAsia"/>
          <w:lang w:val="en-US"/>
        </w:rPr>
      </w:pPr>
    </w:p>
    <w:p w14:paraId="7048E86A">
      <w:pPr>
        <w:pStyle w:val="3"/>
        <w:numPr>
          <w:ilvl w:val="1"/>
          <w:numId w:val="5"/>
        </w:numPr>
        <w:spacing w:before="332" w:after="166"/>
        <w:rPr>
          <w:rFonts w:hint="eastAsia"/>
        </w:rPr>
      </w:pPr>
      <w:r>
        <w:rPr>
          <w:rFonts w:hint="eastAsia"/>
        </w:rPr>
        <w:t>规划结构</w:t>
      </w:r>
    </w:p>
    <w:p w14:paraId="5D725286">
      <w:pPr>
        <w:pStyle w:val="4"/>
        <w:numPr>
          <w:ilvl w:val="2"/>
          <w:numId w:val="5"/>
        </w:numPr>
        <w:spacing w:before="332" w:after="166"/>
        <w:rPr>
          <w:rFonts w:hint="eastAsia"/>
          <w:lang w:val="en-US"/>
        </w:rPr>
      </w:pPr>
      <w:r>
        <w:rPr>
          <w:rFonts w:hint="eastAsia"/>
          <w:lang w:val="en-US"/>
        </w:rPr>
        <w:t>规划结构确定依据</w:t>
      </w:r>
    </w:p>
    <w:p w14:paraId="1E4942A2">
      <w:pPr>
        <w:pStyle w:val="5"/>
        <w:numPr>
          <w:ilvl w:val="0"/>
          <w:numId w:val="19"/>
        </w:numPr>
      </w:pPr>
      <w:r>
        <w:rPr>
          <w:rFonts w:hint="eastAsia"/>
        </w:rPr>
        <w:t>衔接落实总体规划要求</w:t>
      </w:r>
    </w:p>
    <w:p w14:paraId="6759CCCB">
      <w:pPr>
        <w:widowControl/>
        <w:spacing w:after="166"/>
        <w:ind w:firstLine="500"/>
        <w:jc w:val="left"/>
      </w:pPr>
      <w:r>
        <w:rPr>
          <w:rFonts w:hint="eastAsia"/>
        </w:rPr>
        <w:t>《包头市白云鄂博矿区国土空间总体规划（2021-2035年）》中提出，根据县域核心发展空间（以两个街道为主体的城区及两大产业园）</w:t>
      </w:r>
      <w:r>
        <w:rPr>
          <w:rFonts w:hint="eastAsia"/>
          <w:lang w:val="en-US"/>
        </w:rPr>
        <w:t>和</w:t>
      </w:r>
      <w:r>
        <w:rPr>
          <w:rFonts w:hint="eastAsia"/>
        </w:rPr>
        <w:t>县域发展轴线（依托国道G335交通走廊串联工业园区与城区形成城镇发展轴）</w:t>
      </w:r>
      <w:r>
        <w:rPr>
          <w:rFonts w:hint="eastAsia"/>
          <w:lang w:val="en-US"/>
        </w:rPr>
        <w:t>两大</w:t>
      </w:r>
      <w:r>
        <w:rPr>
          <w:rFonts w:hint="eastAsia"/>
        </w:rPr>
        <w:t>要素，充分落实白云鄂博矿区在自治区城镇体系中Ⅱ型小城镇定位，以建设包头山北区域性中心城市为目标，着力构建中心+网络、组团式、集约型的空间发展模式，塑造环境友好的生态空间、集约高效的生产空间、宜居和谐的生活空间，规划形成“一带四组团”的城镇空间格局。</w:t>
      </w:r>
    </w:p>
    <w:p w14:paraId="5E17B934">
      <w:pPr>
        <w:pStyle w:val="5"/>
        <w:numPr>
          <w:ilvl w:val="0"/>
          <w:numId w:val="19"/>
        </w:numPr>
      </w:pPr>
      <w:r>
        <w:rPr>
          <w:rFonts w:hint="eastAsia"/>
        </w:rPr>
        <w:t>尊重并整合现有基础</w:t>
      </w:r>
    </w:p>
    <w:p w14:paraId="187E9DF3">
      <w:pPr>
        <w:spacing w:after="166"/>
        <w:ind w:firstLine="500"/>
        <w:rPr>
          <w:lang w:val="en-US"/>
        </w:rPr>
      </w:pPr>
      <w:r>
        <w:rPr>
          <w:rFonts w:hint="eastAsia"/>
          <w:lang w:val="en-US"/>
        </w:rPr>
        <w:t>当前城市化发展已经进入存量时代，虽然白云鄂博矿区城区随着未来产业人口集聚仍然有大量城市建设需求，但结合当前较低的土地利用绩效评估，综合判断未来城区发展的重点主要集中在存量空间的再开发和再利用，因此规划结构的确定需要充分考虑和整合现有规划基础要素。根据现状分析，城区的商业和服务业POI高度集中于矿山路、通阳道组成的“T”字型空间中，功能业态主要集中在面向本地居民的日常性、生活性服务功能，考虑未来城区承担的商务、现代服务等对外职能需求，将白云鄂博大街纳入形成“工”字型结构，形成更为完善的城市中轴体系。</w:t>
      </w:r>
    </w:p>
    <w:p w14:paraId="1DE3A516">
      <w:pPr>
        <w:pStyle w:val="13"/>
        <w:spacing w:after="166"/>
        <w:ind w:firstLine="480"/>
        <w:rPr>
          <w:rFonts w:hint="eastAsia"/>
          <w:lang w:val="en-US"/>
        </w:rPr>
      </w:pPr>
      <w:r>
        <w:rPr>
          <w:rFonts w:hint="eastAsia"/>
          <w:lang w:val="en-US"/>
        </w:rPr>
        <w:t>公园是白云鄂博矿区城区的最大特色，也是矿区历史记忆的重要载体。一方面是作为矿业发展的历史环境，也是展示白云矿业发展记忆的重要载体，是露天的“展览馆”。并且空间上已经初步形成了由南到北贯穿的基础格局。规划延续这一格局并进一步通过用地属性的界定、道路连通的优化和功能的加载使得公园更为凸显、互补、多元和鲜活，从“一群公园”升级为“公园群”。</w:t>
      </w:r>
    </w:p>
    <w:p w14:paraId="648EE725">
      <w:pPr>
        <w:pStyle w:val="5"/>
        <w:numPr>
          <w:ilvl w:val="0"/>
          <w:numId w:val="19"/>
        </w:numPr>
      </w:pPr>
      <w:r>
        <w:rPr>
          <w:rFonts w:hint="eastAsia"/>
        </w:rPr>
        <w:t>面向新需求优化结构</w:t>
      </w:r>
    </w:p>
    <w:p w14:paraId="64CDA08B">
      <w:pPr>
        <w:spacing w:after="166"/>
        <w:ind w:firstLine="500"/>
        <w:rPr>
          <w:rFonts w:hint="eastAsia"/>
          <w:lang w:val="en-US"/>
        </w:rPr>
      </w:pPr>
      <w:r>
        <w:rPr>
          <w:rFonts w:hint="eastAsia"/>
          <w:lang w:val="en-US"/>
        </w:rPr>
        <w:t>本阶段发展中对于产业空间（产城融合发展）有着更高要求。原本白云城区作为矿产资源开采的配套生活区，功能以单一的居住及相关服务功能为主。随着白云矿区从以矿产资源为中心向以向产业为中心转移，城区内部也产生了布局先进制造业、矿产资源深加工等需求。与此同时，人民群众利益 增长的对美好生活的向往日益提升，老龄化等新问题也开始出现，现有公共服务设施供给的短板更为突出，需要更关注社区生活圈建设，解决公共服务覆盖“最后一公里”问题。因此，本轮规划中需要强化“产业”和“服务（社区生活圈）”建设两个面向。</w:t>
      </w:r>
    </w:p>
    <w:p w14:paraId="23ADEDB2">
      <w:pPr>
        <w:pStyle w:val="4"/>
        <w:numPr>
          <w:ilvl w:val="2"/>
          <w:numId w:val="5"/>
        </w:numPr>
        <w:spacing w:before="332" w:after="166"/>
        <w:rPr>
          <w:rFonts w:hint="eastAsia"/>
          <w:lang w:val="en-US"/>
        </w:rPr>
      </w:pPr>
      <w:r>
        <w:rPr>
          <w:rFonts w:hint="eastAsia"/>
          <w:lang w:val="en-US" w:eastAsia="zh-CN"/>
        </w:rPr>
        <w:t>发展格局：</w:t>
      </w:r>
      <w:r>
        <w:rPr>
          <w:rFonts w:hint="eastAsia"/>
          <w:lang w:val="en-US"/>
        </w:rPr>
        <w:t>东转、西补、北新、南拓、中轴</w:t>
      </w:r>
    </w:p>
    <w:p w14:paraId="31CF49ED">
      <w:pPr>
        <w:spacing w:after="166"/>
        <w:ind w:firstLine="500"/>
        <w:rPr>
          <w:rFonts w:hint="eastAsia"/>
          <w:lang w:val="en-US"/>
        </w:rPr>
      </w:pPr>
      <w:r>
        <w:rPr>
          <w:rFonts w:hint="eastAsia"/>
          <w:lang w:val="en-US"/>
        </w:rPr>
        <w:t>东转（型）：地质道两侧和以东用地和功能整治更新</w:t>
      </w:r>
    </w:p>
    <w:p w14:paraId="6E1E2205">
      <w:pPr>
        <w:spacing w:after="166"/>
        <w:ind w:firstLine="500"/>
        <w:rPr>
          <w:rFonts w:hint="eastAsia"/>
          <w:lang w:val="en-US"/>
        </w:rPr>
      </w:pPr>
      <w:r>
        <w:rPr>
          <w:rFonts w:hint="eastAsia"/>
          <w:lang w:val="en-US"/>
        </w:rPr>
        <w:t>西补（产业、设施）：丁道衡路以西片区功能填充、闲置用地再开发</w:t>
      </w:r>
    </w:p>
    <w:p w14:paraId="70265986">
      <w:pPr>
        <w:spacing w:after="166"/>
        <w:ind w:firstLine="500"/>
        <w:rPr>
          <w:rFonts w:hint="eastAsia"/>
          <w:lang w:val="en-US"/>
        </w:rPr>
      </w:pPr>
      <w:r>
        <w:rPr>
          <w:rFonts w:hint="eastAsia"/>
          <w:lang w:val="en-US"/>
        </w:rPr>
        <w:t>北新（更新）：老城区更新，棚户区改造遗留空间的再开发，空间重新织补</w:t>
      </w:r>
    </w:p>
    <w:p w14:paraId="44A0CCD4">
      <w:pPr>
        <w:spacing w:after="166"/>
        <w:ind w:firstLine="500"/>
        <w:rPr>
          <w:rFonts w:hint="eastAsia"/>
          <w:lang w:val="en-US"/>
        </w:rPr>
      </w:pPr>
      <w:r>
        <w:rPr>
          <w:rFonts w:hint="eastAsia"/>
          <w:lang w:val="en-US"/>
        </w:rPr>
        <w:t>南拓（道路）：优化白云鄂博大街南侧道路体系，作为城市拓展战略储备</w:t>
      </w:r>
    </w:p>
    <w:p w14:paraId="59F2417A">
      <w:pPr>
        <w:spacing w:after="166"/>
        <w:ind w:firstLine="500"/>
        <w:rPr>
          <w:rFonts w:hint="eastAsia"/>
          <w:lang w:val="en-US"/>
        </w:rPr>
      </w:pPr>
      <w:r>
        <w:rPr>
          <w:rFonts w:hint="eastAsia"/>
          <w:lang w:val="en-US"/>
        </w:rPr>
        <w:t>中轴：提升优化城市骨架</w:t>
      </w:r>
    </w:p>
    <w:p w14:paraId="2D81274B">
      <w:pPr>
        <w:spacing w:after="166"/>
        <w:ind w:firstLine="500"/>
        <w:rPr>
          <w:rFonts w:hint="eastAsia"/>
          <w:lang w:val="en-US"/>
        </w:rPr>
      </w:pPr>
    </w:p>
    <w:p w14:paraId="7E9A6C1E">
      <w:pPr>
        <w:pStyle w:val="4"/>
        <w:numPr>
          <w:ilvl w:val="2"/>
          <w:numId w:val="5"/>
        </w:numPr>
        <w:spacing w:before="332" w:after="166"/>
        <w:rPr>
          <w:rFonts w:hint="default"/>
          <w:lang w:val="en-US"/>
        </w:rPr>
      </w:pPr>
      <w:r>
        <w:rPr>
          <w:rFonts w:hint="eastAsia"/>
          <w:lang w:val="en-US"/>
        </w:rPr>
        <w:t>空间</w:t>
      </w:r>
      <w:r>
        <w:rPr>
          <w:rFonts w:hint="eastAsia"/>
          <w:lang w:val="en-US" w:eastAsia="zh-CN"/>
        </w:rPr>
        <w:t>结构</w:t>
      </w:r>
    </w:p>
    <w:p w14:paraId="2B84FCD6">
      <w:pPr>
        <w:widowControl/>
        <w:spacing w:after="166"/>
        <w:ind w:firstLine="500"/>
        <w:jc w:val="left"/>
        <w:rPr>
          <w:rFonts w:hint="eastAsia" w:ascii="黑体" w:hAnsi="黑体" w:eastAsia="黑体" w:cs="黑体"/>
          <w:lang w:val="en-US"/>
        </w:rPr>
      </w:pPr>
      <w:r>
        <w:rPr>
          <w:rFonts w:hint="eastAsia"/>
          <w:lang w:val="en-US"/>
        </w:rPr>
        <w:t>本次规划形成“</w:t>
      </w:r>
      <w:r>
        <w:rPr>
          <w:rFonts w:hint="eastAsia" w:ascii="黑体" w:hAnsi="黑体" w:eastAsia="黑体" w:cs="黑体"/>
          <w:lang w:val="en-US"/>
        </w:rPr>
        <w:t>工字轴·公园群·产业带·生活圈</w:t>
      </w:r>
      <w:r>
        <w:rPr>
          <w:rFonts w:hint="eastAsia"/>
          <w:lang w:val="en-US"/>
        </w:rPr>
        <w:t>”的空间结构。</w:t>
      </w:r>
      <w:r>
        <w:rPr>
          <w:rFonts w:hint="eastAsia"/>
        </w:rPr>
        <w:t>其中：</w:t>
      </w:r>
    </w:p>
    <w:p w14:paraId="284E48AC">
      <w:pPr>
        <w:widowControl/>
        <w:spacing w:after="166"/>
        <w:ind w:firstLine="500"/>
        <w:jc w:val="left"/>
        <w:rPr>
          <w:lang w:val="en-US"/>
        </w:rPr>
      </w:pPr>
      <w:r>
        <w:rPr>
          <w:rFonts w:hint="eastAsia" w:ascii="黑体" w:hAnsi="黑体" w:eastAsia="黑体" w:cs="黑体"/>
          <w:lang w:val="en-US"/>
        </w:rPr>
        <w:t>工字轴</w:t>
      </w:r>
      <w:r>
        <w:rPr>
          <w:rFonts w:hint="eastAsia"/>
          <w:lang w:val="en-US"/>
        </w:rPr>
        <w:t>：为“矿山路——通阳道——白云鄂博大街”构成的“工”字型商业活力城市界面。其中矿山路集聚本地生活服务功能，建设</w:t>
      </w:r>
      <w:r>
        <w:rPr>
          <w:rFonts w:hint="eastAsia"/>
          <w:lang w:val="en-US" w:eastAsia="zh"/>
        </w:rPr>
        <w:t>“</w:t>
      </w:r>
      <w:r>
        <w:rPr>
          <w:rFonts w:hint="eastAsia"/>
          <w:lang w:val="en-US"/>
        </w:rPr>
        <w:t>烟火活力轴</w:t>
      </w:r>
      <w:r>
        <w:rPr>
          <w:rFonts w:hint="eastAsia"/>
          <w:lang w:val="en-US" w:eastAsia="zh"/>
        </w:rPr>
        <w:t>”</w:t>
      </w:r>
      <w:r>
        <w:rPr>
          <w:rFonts w:hint="eastAsia"/>
          <w:lang w:val="en-US"/>
        </w:rPr>
        <w:t>；通阳道集成对外特色商贸，建设</w:t>
      </w:r>
      <w:r>
        <w:rPr>
          <w:rFonts w:hint="eastAsia"/>
          <w:lang w:val="en-US" w:eastAsia="zh"/>
        </w:rPr>
        <w:t>“</w:t>
      </w:r>
      <w:r>
        <w:rPr>
          <w:rFonts w:hint="eastAsia"/>
          <w:lang w:val="en-US"/>
        </w:rPr>
        <w:t>特色消费轴</w:t>
      </w:r>
      <w:r>
        <w:rPr>
          <w:rFonts w:hint="eastAsia"/>
          <w:lang w:val="en-US" w:eastAsia="zh"/>
        </w:rPr>
        <w:t>”</w:t>
      </w:r>
      <w:r>
        <w:rPr>
          <w:rFonts w:hint="eastAsia"/>
          <w:lang w:val="en-US"/>
        </w:rPr>
        <w:t>；白云鄂博大街承担区域联系支撑，集聚现代城市服务功能，彰显</w:t>
      </w:r>
      <w:r>
        <w:rPr>
          <w:rFonts w:hint="eastAsia"/>
          <w:lang w:val="en-US" w:eastAsia="zh"/>
        </w:rPr>
        <w:t>“</w:t>
      </w:r>
      <w:r>
        <w:rPr>
          <w:rFonts w:hint="eastAsia"/>
          <w:lang w:val="en-US"/>
        </w:rPr>
        <w:t>现代城市轴</w:t>
      </w:r>
      <w:r>
        <w:rPr>
          <w:rFonts w:hint="eastAsia"/>
          <w:lang w:val="en-US" w:eastAsia="zh"/>
        </w:rPr>
        <w:t>”</w:t>
      </w:r>
      <w:r>
        <w:rPr>
          <w:rFonts w:hint="eastAsia"/>
          <w:lang w:val="en-US"/>
        </w:rPr>
        <w:t>。</w:t>
      </w:r>
    </w:p>
    <w:p w14:paraId="0FC90B1A">
      <w:pPr>
        <w:widowControl/>
        <w:spacing w:after="166"/>
        <w:ind w:firstLine="500"/>
        <w:jc w:val="left"/>
        <w:rPr>
          <w:lang w:val="en-US"/>
        </w:rPr>
      </w:pPr>
      <w:r>
        <w:rPr>
          <w:rFonts w:hint="eastAsia" w:ascii="黑体" w:hAnsi="黑体" w:eastAsia="黑体" w:cs="黑体"/>
          <w:lang w:val="en-US"/>
        </w:rPr>
        <w:t>公园群：</w:t>
      </w:r>
      <w:r>
        <w:rPr>
          <w:rFonts w:hint="eastAsia"/>
          <w:lang w:val="en-US" w:eastAsia="zh"/>
        </w:rPr>
        <w:t>以</w:t>
      </w:r>
      <w:r>
        <w:rPr>
          <w:rFonts w:hint="eastAsia"/>
          <w:lang w:val="en-US"/>
        </w:rPr>
        <w:t>“矿山公园——塔拉公园——湿地公园——丁香园”构成的</w:t>
      </w:r>
      <w:r>
        <w:rPr>
          <w:rFonts w:hint="eastAsia"/>
          <w:lang w:val="en-US" w:eastAsia="zh"/>
        </w:rPr>
        <w:t>南北贯穿城区的</w:t>
      </w:r>
      <w:r>
        <w:rPr>
          <w:rFonts w:hint="eastAsia"/>
          <w:lang w:val="en-US"/>
        </w:rPr>
        <w:t>休闲游憩生态界面。</w:t>
      </w:r>
    </w:p>
    <w:p w14:paraId="16A7B70E">
      <w:pPr>
        <w:widowControl/>
        <w:spacing w:after="166"/>
        <w:ind w:firstLine="500"/>
        <w:jc w:val="left"/>
        <w:rPr>
          <w:lang w:val="en-US"/>
        </w:rPr>
      </w:pPr>
      <w:r>
        <w:rPr>
          <w:rFonts w:hint="eastAsia" w:ascii="黑体" w:hAnsi="黑体" w:eastAsia="黑体" w:cs="黑体"/>
          <w:lang w:val="en-US"/>
        </w:rPr>
        <w:t>产业带</w:t>
      </w:r>
      <w:r>
        <w:rPr>
          <w:rFonts w:hint="eastAsia"/>
          <w:lang w:val="en-US"/>
        </w:rPr>
        <w:t>：</w:t>
      </w:r>
      <w:r>
        <w:rPr>
          <w:rFonts w:hint="eastAsia"/>
          <w:lang w:val="en-US" w:eastAsia="zh"/>
        </w:rPr>
        <w:t>依托城区与园区交界地区空间形成的“稀土+”与“服务+”两条产业带。城区</w:t>
      </w:r>
      <w:r>
        <w:rPr>
          <w:rFonts w:hint="eastAsia"/>
          <w:lang w:val="en-US"/>
        </w:rPr>
        <w:t>东部</w:t>
      </w:r>
      <w:r>
        <w:rPr>
          <w:rFonts w:hint="eastAsia"/>
          <w:lang w:val="en-US" w:eastAsia="zh"/>
        </w:rPr>
        <w:t>与白云鄂博产业园东部区交界处形成</w:t>
      </w:r>
      <w:r>
        <w:rPr>
          <w:rFonts w:hint="eastAsia"/>
          <w:lang w:val="en-US"/>
        </w:rPr>
        <w:t>“</w:t>
      </w:r>
      <w:r>
        <w:rPr>
          <w:rFonts w:hint="eastAsia"/>
          <w:lang w:val="en-US" w:eastAsia="zh"/>
        </w:rPr>
        <w:t>稀土</w:t>
      </w:r>
      <w:r>
        <w:rPr>
          <w:rFonts w:hint="eastAsia"/>
          <w:lang w:val="en-US"/>
        </w:rPr>
        <w:t>+”</w:t>
      </w:r>
      <w:r>
        <w:rPr>
          <w:rFonts w:hint="eastAsia"/>
          <w:lang w:val="en-US" w:eastAsia="zh"/>
        </w:rPr>
        <w:t>产业带，重点发展</w:t>
      </w:r>
      <w:r>
        <w:rPr>
          <w:rFonts w:hint="eastAsia"/>
          <w:lang w:val="en-US"/>
        </w:rPr>
        <w:t>稀土新材料</w:t>
      </w:r>
      <w:r>
        <w:rPr>
          <w:rFonts w:hint="eastAsia"/>
          <w:lang w:val="en-US" w:eastAsia="zh"/>
        </w:rPr>
        <w:t>研发中试与先进制造；城区西部与白云鄂博产业园西部区交界处形成“服务+”产业带，着力培育物流运输与企业生活配套功能。</w:t>
      </w:r>
    </w:p>
    <w:p w14:paraId="7131C500">
      <w:pPr>
        <w:widowControl/>
        <w:spacing w:after="166"/>
        <w:ind w:firstLine="500"/>
        <w:jc w:val="left"/>
        <w:rPr>
          <w:lang w:val="en-US"/>
        </w:rPr>
      </w:pPr>
      <w:r>
        <w:rPr>
          <w:rFonts w:hint="eastAsia" w:ascii="黑体" w:hAnsi="黑体" w:eastAsia="黑体" w:cs="黑体"/>
          <w:lang w:val="en-US"/>
        </w:rPr>
        <w:t>生活圈：</w:t>
      </w:r>
      <w:r>
        <w:rPr>
          <w:rFonts w:hint="eastAsia"/>
          <w:lang w:val="en-US"/>
        </w:rPr>
        <w:t>依托现状社区格局和单元划分传导内容进一步完善，形成四个5-10分钟单元社区生活圈。</w:t>
      </w:r>
    </w:p>
    <w:p w14:paraId="234C1750">
      <w:pPr>
        <w:widowControl/>
        <w:spacing w:after="166"/>
        <w:ind w:firstLine="500"/>
        <w:jc w:val="left"/>
        <w:rPr>
          <w:rFonts w:hint="eastAsia"/>
          <w:lang w:val="en-US"/>
        </w:rPr>
      </w:pPr>
      <w:r>
        <w:rPr>
          <w:rFonts w:hint="eastAsia"/>
          <w:lang w:val="en-US"/>
        </w:rPr>
        <w:t>“工字轴”中依托白云鄂博大街构建的“现代城市轴”</w:t>
      </w:r>
      <w:r>
        <w:rPr>
          <w:rFonts w:hint="eastAsia"/>
        </w:rPr>
        <w:t>落实</w:t>
      </w:r>
      <w:r>
        <w:rPr>
          <w:rFonts w:hint="eastAsia"/>
          <w:lang w:val="en-US"/>
        </w:rPr>
        <w:t>总体规划</w:t>
      </w:r>
      <w:r>
        <w:rPr>
          <w:rFonts w:hint="eastAsia"/>
        </w:rPr>
        <w:t>城镇空间格局</w:t>
      </w:r>
      <w:r>
        <w:rPr>
          <w:rFonts w:hint="eastAsia"/>
          <w:lang w:val="en-US"/>
        </w:rPr>
        <w:t>中的“一带”发展</w:t>
      </w:r>
      <w:r>
        <w:rPr>
          <w:rFonts w:hint="eastAsia"/>
        </w:rPr>
        <w:t>要求；“公园群·产业带·生活圈”</w:t>
      </w:r>
      <w:r>
        <w:rPr>
          <w:rFonts w:hint="eastAsia"/>
          <w:lang w:val="en-US"/>
        </w:rPr>
        <w:t>则是对总体规划</w:t>
      </w:r>
      <w:r>
        <w:rPr>
          <w:rFonts w:hint="eastAsia"/>
        </w:rPr>
        <w:t>城镇空间格局</w:t>
      </w:r>
      <w:r>
        <w:rPr>
          <w:rFonts w:hint="eastAsia"/>
          <w:lang w:val="en-US"/>
        </w:rPr>
        <w:t>“四组团”中的“城区组团”（以生活居住、公共服务、行政办公和休闲游憩为主导功能，是白云鄂博矿区的综合服务中心）的落实和细化。</w:t>
      </w:r>
    </w:p>
    <w:p w14:paraId="6550DEA2">
      <w:pPr>
        <w:pStyle w:val="13"/>
        <w:snapToGrid w:val="0"/>
        <w:spacing w:after="0" w:afterLines="0"/>
        <w:ind w:firstLine="0" w:firstLineChars="0"/>
      </w:pPr>
      <w:r>
        <w:drawing>
          <wp:inline distT="0" distB="0" distL="114300" distR="114300">
            <wp:extent cx="5271770" cy="4366260"/>
            <wp:effectExtent l="0" t="0" r="5080" b="15240"/>
            <wp:docPr id="4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
                    <pic:cNvPicPr>
                      <a:picLocks noChangeAspect="1"/>
                    </pic:cNvPicPr>
                  </pic:nvPicPr>
                  <pic:blipFill>
                    <a:blip r:embed="rId45"/>
                    <a:stretch>
                      <a:fillRect/>
                    </a:stretch>
                  </pic:blipFill>
                  <pic:spPr>
                    <a:xfrm>
                      <a:off x="0" y="0"/>
                      <a:ext cx="5271770" cy="4366260"/>
                    </a:xfrm>
                    <a:prstGeom prst="rect">
                      <a:avLst/>
                    </a:prstGeom>
                    <a:noFill/>
                    <a:ln>
                      <a:noFill/>
                    </a:ln>
                  </pic:spPr>
                </pic:pic>
              </a:graphicData>
            </a:graphic>
          </wp:inline>
        </w:drawing>
      </w:r>
    </w:p>
    <w:p w14:paraId="07E8A70F">
      <w:pPr>
        <w:pStyle w:val="117"/>
        <w:keepNext w:val="0"/>
        <w:widowControl/>
      </w:pPr>
      <w:r>
        <w:rPr>
          <w:rFonts w:hint="eastAsia"/>
        </w:rPr>
        <w:t>图4-1</w:t>
      </w:r>
      <w:r>
        <w:rPr>
          <w:rFonts w:hint="eastAsia"/>
          <w:lang w:val="en-US" w:eastAsia="zh-CN"/>
        </w:rPr>
        <w:t xml:space="preserve">  空间结构</w:t>
      </w:r>
      <w:r>
        <w:rPr>
          <w:rFonts w:hint="eastAsia"/>
        </w:rPr>
        <w:t>规划图</w:t>
      </w:r>
    </w:p>
    <w:p w14:paraId="61227338">
      <w:pPr>
        <w:pStyle w:val="3"/>
        <w:numPr>
          <w:ilvl w:val="1"/>
          <w:numId w:val="5"/>
        </w:numPr>
        <w:spacing w:before="332" w:after="166"/>
        <w:rPr>
          <w:rFonts w:hint="eastAsia"/>
        </w:rPr>
      </w:pPr>
      <w:r>
        <w:rPr>
          <w:rFonts w:hint="eastAsia"/>
        </w:rPr>
        <w:t>用地规模与各项用地构成</w:t>
      </w:r>
    </w:p>
    <w:p w14:paraId="3B64015E">
      <w:pPr>
        <w:pStyle w:val="4"/>
        <w:numPr>
          <w:ilvl w:val="2"/>
          <w:numId w:val="5"/>
        </w:numPr>
        <w:spacing w:before="332" w:after="166"/>
        <w:rPr>
          <w:rFonts w:hint="eastAsia"/>
          <w:lang w:val="en-US"/>
        </w:rPr>
      </w:pPr>
      <w:r>
        <w:rPr>
          <w:rFonts w:hint="eastAsia"/>
          <w:lang w:val="en-US"/>
        </w:rPr>
        <w:t>总体用地规模与构成</w:t>
      </w:r>
    </w:p>
    <w:p w14:paraId="361ECDD6">
      <w:pPr>
        <w:spacing w:after="166"/>
        <w:ind w:firstLine="500"/>
        <w:rPr>
          <w:rFonts w:hint="eastAsia"/>
          <w:lang w:val="en-US"/>
        </w:rPr>
      </w:pPr>
      <w:r>
        <w:rPr>
          <w:rFonts w:hint="eastAsia"/>
          <w:lang w:val="en-US"/>
        </w:rPr>
        <w:t>本规划区的建设用地面积为639.47公顷，其中城市建设用地面积615.85公顷，特殊用地2.65公顷，区域交通运输用地20.97公顷，以常住人口为统计口径，人均城市建设用地面积为212.36平方米。</w:t>
      </w:r>
    </w:p>
    <w:p w14:paraId="1F5854AE">
      <w:pPr>
        <w:pStyle w:val="4"/>
        <w:numPr>
          <w:ilvl w:val="2"/>
          <w:numId w:val="5"/>
        </w:numPr>
        <w:spacing w:before="332" w:after="166"/>
        <w:rPr>
          <w:rFonts w:hint="eastAsia"/>
          <w:lang w:val="en-US"/>
        </w:rPr>
      </w:pPr>
      <w:r>
        <w:rPr>
          <w:rFonts w:hint="eastAsia"/>
          <w:lang w:val="en-US"/>
        </w:rPr>
        <w:t>居住用地</w:t>
      </w:r>
    </w:p>
    <w:p w14:paraId="1AD722D2">
      <w:pPr>
        <w:spacing w:after="166"/>
        <w:ind w:firstLine="500"/>
        <w:rPr>
          <w:lang w:val="en-US"/>
        </w:rPr>
      </w:pPr>
      <w:r>
        <w:rPr>
          <w:rFonts w:hint="eastAsia"/>
          <w:lang w:val="en-US"/>
        </w:rPr>
        <w:t>规划区内规划居住用地面积144.79公顷，为城镇住宅用地及城镇社区服务设施用地，占规划区建设用地总面积的22.64%。 其中，二类城镇住宅用地面积141.31公顷，城镇社区服务设施用地面积3.48公顷。</w:t>
      </w:r>
    </w:p>
    <w:p w14:paraId="4125107E">
      <w:pPr>
        <w:pStyle w:val="4"/>
        <w:numPr>
          <w:ilvl w:val="2"/>
          <w:numId w:val="5"/>
        </w:numPr>
        <w:spacing w:before="332" w:after="166"/>
        <w:rPr>
          <w:rFonts w:hint="eastAsia"/>
          <w:lang w:val="en-US"/>
        </w:rPr>
      </w:pPr>
      <w:r>
        <w:rPr>
          <w:rFonts w:hint="eastAsia"/>
          <w:lang w:val="en-US"/>
        </w:rPr>
        <w:t>公共管理与公共服务用地</w:t>
      </w:r>
    </w:p>
    <w:p w14:paraId="79AB9073">
      <w:pPr>
        <w:spacing w:after="166"/>
        <w:ind w:firstLine="500"/>
        <w:rPr>
          <w:lang w:val="en-US"/>
        </w:rPr>
      </w:pPr>
      <w:r>
        <w:rPr>
          <w:rFonts w:hint="eastAsia"/>
          <w:lang w:val="en-US"/>
        </w:rPr>
        <w:t>规划区内规划公共管理与公共服务用地主要包括机关团体用地、科研用地、文化用地、教育用地、体育用地、医疗卫生用地、社会福利用地，总用地面积69.07公顷，占规划区建设用地总面积的10.80%。</w:t>
      </w:r>
    </w:p>
    <w:p w14:paraId="1D30F1FE">
      <w:pPr>
        <w:pStyle w:val="4"/>
        <w:numPr>
          <w:ilvl w:val="2"/>
          <w:numId w:val="5"/>
        </w:numPr>
        <w:spacing w:before="332" w:after="166"/>
        <w:rPr>
          <w:rFonts w:hint="eastAsia"/>
          <w:lang w:val="en-US"/>
        </w:rPr>
      </w:pPr>
      <w:r>
        <w:rPr>
          <w:rFonts w:hint="eastAsia"/>
          <w:lang w:val="en-US"/>
        </w:rPr>
        <w:t>商业服务业用地</w:t>
      </w:r>
    </w:p>
    <w:p w14:paraId="22B55E19">
      <w:pPr>
        <w:spacing w:after="166"/>
        <w:ind w:firstLine="500"/>
        <w:rPr>
          <w:rFonts w:hint="eastAsia"/>
          <w:lang w:val="en-US"/>
        </w:rPr>
      </w:pPr>
      <w:r>
        <w:rPr>
          <w:rFonts w:hint="eastAsia"/>
          <w:lang w:val="en-US"/>
        </w:rPr>
        <w:t xml:space="preserve">规划区内规划商业服务业用地主要集中在矿山路沿线、丁道衡路沿线、百灵道北段沿线、通阳道沿线和稀土大街沿线，用地面积57.70公顷，占规划区建设用地总面积的9.02 %。 </w:t>
      </w:r>
    </w:p>
    <w:p w14:paraId="1E9E9A1B">
      <w:pPr>
        <w:pStyle w:val="4"/>
        <w:numPr>
          <w:ilvl w:val="2"/>
          <w:numId w:val="5"/>
        </w:numPr>
        <w:spacing w:before="332" w:after="166"/>
        <w:rPr>
          <w:rFonts w:hint="eastAsia"/>
          <w:lang w:val="en-US"/>
        </w:rPr>
      </w:pPr>
      <w:r>
        <w:rPr>
          <w:rFonts w:hint="eastAsia"/>
          <w:lang w:val="en-US"/>
        </w:rPr>
        <w:t>交通运输用地</w:t>
      </w:r>
    </w:p>
    <w:p w14:paraId="0CC2D176">
      <w:pPr>
        <w:spacing w:after="166"/>
        <w:ind w:firstLine="500"/>
        <w:rPr>
          <w:lang w:val="en-US"/>
        </w:rPr>
      </w:pPr>
      <w:r>
        <w:rPr>
          <w:rFonts w:hint="eastAsia"/>
          <w:lang w:val="en-US"/>
        </w:rPr>
        <w:t>规划区内交通运输用地包括城镇道路用地与交通场站用地，用地面积约105.06公顷， 占规划区建设用地总面积的16.43%</w:t>
      </w:r>
    </w:p>
    <w:p w14:paraId="0842576F">
      <w:pPr>
        <w:pStyle w:val="4"/>
        <w:numPr>
          <w:ilvl w:val="2"/>
          <w:numId w:val="5"/>
        </w:numPr>
        <w:spacing w:before="332" w:after="166"/>
        <w:rPr>
          <w:rFonts w:hint="eastAsia"/>
          <w:lang w:val="en-US"/>
        </w:rPr>
      </w:pPr>
      <w:r>
        <w:rPr>
          <w:rFonts w:hint="eastAsia"/>
          <w:lang w:val="en-US"/>
        </w:rPr>
        <w:t>公用设施用地</w:t>
      </w:r>
    </w:p>
    <w:p w14:paraId="2D506B81">
      <w:pPr>
        <w:spacing w:after="166"/>
        <w:ind w:firstLine="500"/>
        <w:rPr>
          <w:lang w:val="en-US"/>
        </w:rPr>
      </w:pPr>
      <w:r>
        <w:rPr>
          <w:rFonts w:hint="eastAsia"/>
          <w:lang w:val="en-US"/>
        </w:rPr>
        <w:t xml:space="preserve">规划区内规划公用设施用地主要包括供水用地、排水用地、供电用地、供燃气用地、通信用地、 邮政用地、环卫用地、消防用地，总用地面积20.22公顷，占规划区建设用地总面积的3.16%。 </w:t>
      </w:r>
    </w:p>
    <w:p w14:paraId="64606B10">
      <w:pPr>
        <w:pStyle w:val="4"/>
        <w:numPr>
          <w:ilvl w:val="2"/>
          <w:numId w:val="5"/>
        </w:numPr>
        <w:spacing w:before="332" w:after="166"/>
        <w:rPr>
          <w:rFonts w:hint="eastAsia"/>
          <w:lang w:val="en-US"/>
        </w:rPr>
      </w:pPr>
      <w:r>
        <w:rPr>
          <w:rFonts w:hint="eastAsia"/>
          <w:lang w:val="en-US"/>
        </w:rPr>
        <w:t>绿地与开敞空间用地</w:t>
      </w:r>
    </w:p>
    <w:p w14:paraId="6725D045">
      <w:pPr>
        <w:spacing w:after="166"/>
        <w:ind w:firstLine="500"/>
        <w:rPr>
          <w:lang w:val="en-US"/>
        </w:rPr>
      </w:pPr>
      <w:r>
        <w:rPr>
          <w:rFonts w:hint="eastAsia"/>
          <w:lang w:val="en-US"/>
        </w:rPr>
        <w:t xml:space="preserve">规划区内绿地与开敞空间用地主要集中于城区矿山公园、塔拉公园、湿地公园、丁香公园形成的中央绿轴，以及各类邻里级公园，用地面积180.63 公顷，占规划区建设用地总面积的 28.25%。 </w:t>
      </w:r>
    </w:p>
    <w:p w14:paraId="1B139BEF">
      <w:pPr>
        <w:pStyle w:val="4"/>
        <w:numPr>
          <w:ilvl w:val="2"/>
          <w:numId w:val="5"/>
        </w:numPr>
        <w:spacing w:before="332" w:after="166"/>
        <w:rPr>
          <w:rFonts w:hint="eastAsia"/>
          <w:lang w:val="en-US"/>
        </w:rPr>
      </w:pPr>
      <w:r>
        <w:rPr>
          <w:rFonts w:hint="eastAsia"/>
          <w:lang w:val="en-US"/>
        </w:rPr>
        <w:t>工业和仓储用地</w:t>
      </w:r>
    </w:p>
    <w:p w14:paraId="15E79911">
      <w:pPr>
        <w:spacing w:after="166"/>
        <w:ind w:firstLine="500"/>
        <w:rPr>
          <w:lang w:val="en-US"/>
        </w:rPr>
      </w:pPr>
      <w:r>
        <w:rPr>
          <w:rFonts w:hint="eastAsia"/>
          <w:lang w:val="en-US"/>
        </w:rPr>
        <w:t>规划区工业用地主要为二类工业用地，位于地质道两侧，用地面积16.76公顷，占规划区建设用地总面积的2.62%。</w:t>
      </w:r>
    </w:p>
    <w:p w14:paraId="70BD05E3">
      <w:pPr>
        <w:spacing w:after="166"/>
        <w:ind w:firstLine="500"/>
        <w:rPr>
          <w:lang w:val="en-US"/>
        </w:rPr>
      </w:pPr>
      <w:r>
        <w:rPr>
          <w:rFonts w:hint="eastAsia"/>
          <w:lang w:val="en-US"/>
        </w:rPr>
        <w:t>规划区仓储用地主要位于白云鄂博大街沿线，用地面积26.87公顷，占规划区建设用地总面积的4.20%。</w:t>
      </w:r>
    </w:p>
    <w:p w14:paraId="5E7BB487">
      <w:pPr>
        <w:pStyle w:val="4"/>
        <w:numPr>
          <w:ilvl w:val="2"/>
          <w:numId w:val="5"/>
        </w:numPr>
        <w:spacing w:before="332" w:after="166"/>
        <w:rPr>
          <w:rFonts w:hint="eastAsia"/>
          <w:lang w:val="en-US"/>
        </w:rPr>
      </w:pPr>
      <w:r>
        <w:rPr>
          <w:rFonts w:hint="eastAsia"/>
          <w:lang w:val="en-US"/>
        </w:rPr>
        <w:t>留白用地</w:t>
      </w:r>
    </w:p>
    <w:p w14:paraId="2D3CBDEC">
      <w:pPr>
        <w:spacing w:after="166"/>
        <w:ind w:firstLine="500"/>
        <w:rPr>
          <w:lang w:val="en-US"/>
        </w:rPr>
      </w:pPr>
      <w:r>
        <w:rPr>
          <w:lang w:val="en-US"/>
        </w:rPr>
        <w:t>规划区留白用地位于白云鄂博大街南侧，用地面积15.75公顷，占规划区建设用地总面积的2.47%。</w:t>
      </w:r>
    </w:p>
    <w:p w14:paraId="2A6A360E">
      <w:pPr>
        <w:pStyle w:val="4"/>
        <w:numPr>
          <w:ilvl w:val="2"/>
          <w:numId w:val="5"/>
        </w:numPr>
        <w:spacing w:before="332" w:after="166"/>
        <w:rPr>
          <w:rFonts w:hint="eastAsia"/>
          <w:lang w:val="en-US"/>
        </w:rPr>
      </w:pPr>
      <w:r>
        <w:rPr>
          <w:rFonts w:hint="eastAsia"/>
          <w:lang w:val="en-US" w:eastAsia="zh-CN"/>
        </w:rPr>
        <w:t>各类用地变化原因</w:t>
      </w:r>
    </w:p>
    <w:p w14:paraId="1AEC263F">
      <w:pPr>
        <w:rPr>
          <w:rFonts w:hint="eastAsia"/>
          <w:lang w:val="en-US" w:eastAsia="zh-CN"/>
        </w:rPr>
      </w:pPr>
      <w:r>
        <w:rPr>
          <w:rFonts w:hint="eastAsia"/>
          <w:lang w:val="en-US" w:eastAsia="zh-CN"/>
        </w:rPr>
        <w:t>居住用地从“三调”现状194.23公顷减少至144.79公顷（净减少49.44公顷），变化原因主要包括两部分，一是将部分“三调”为居住，实际为闲置用地（主要为棚改拆迁后遗留的空地）转变为其他用途，二是通过规划进一步提升居住用地高度与强度、引导现状部分低效、低品质居住空间的更新、扩容和提质，实现居住品质与效益的“双提升”。</w:t>
      </w:r>
    </w:p>
    <w:p w14:paraId="0F8FC373">
      <w:pPr>
        <w:rPr>
          <w:rFonts w:hint="eastAsia"/>
          <w:lang w:val="en-US" w:eastAsia="zh-CN"/>
        </w:rPr>
      </w:pPr>
      <w:r>
        <w:rPr>
          <w:rFonts w:hint="default"/>
          <w:lang w:val="en-US" w:eastAsia="zh-CN"/>
        </w:rPr>
        <w:t>公共管理与</w:t>
      </w:r>
      <w:r>
        <w:rPr>
          <w:rFonts w:hint="eastAsia"/>
          <w:lang w:val="en-US" w:eastAsia="zh-CN"/>
        </w:rPr>
        <w:t>公共服务用地从“三调”现状62.56公顷增加至69.07公顷（净增加6.51公顷），主要变化原因是基于对现状公共服务设施供给空间面积和数量的评估基础上，重点补足文化用地和体育用地两类公共服务设施用地“短板”。</w:t>
      </w:r>
    </w:p>
    <w:p w14:paraId="11E29BB0">
      <w:pPr>
        <w:spacing w:after="166"/>
        <w:ind w:firstLine="500"/>
        <w:rPr>
          <w:rFonts w:hint="eastAsia"/>
          <w:lang w:val="en-US" w:eastAsia="zh-CN"/>
        </w:rPr>
      </w:pPr>
      <w:r>
        <w:rPr>
          <w:rFonts w:hint="eastAsia"/>
          <w:lang w:val="en-US" w:eastAsia="zh-CN"/>
        </w:rPr>
        <w:t>商业服务业用地从“三调”现状56.36公顷增加至57.70公顷（净增加1.34公顷），总体规模保持稳定。规划主要调整将现状以底店为主、沿街“一层皮”的分散式商业进一步集中、集约布局，形成多样化、多业态、复合行的商业空间供给。</w:t>
      </w:r>
    </w:p>
    <w:p w14:paraId="60156F72">
      <w:pPr>
        <w:spacing w:after="166"/>
        <w:ind w:firstLine="500"/>
        <w:rPr>
          <w:rFonts w:hint="eastAsia"/>
          <w:lang w:val="en-US" w:eastAsia="zh-CN"/>
        </w:rPr>
      </w:pPr>
      <w:r>
        <w:rPr>
          <w:rFonts w:hint="eastAsia"/>
          <w:lang w:val="en-US" w:eastAsia="zh-CN"/>
        </w:rPr>
        <w:t>工业用地从“三调”现状20.63公顷减少至16.76公顷（净减少3.87公顷），总体规模减量。主要变化原因包括三方面，一是将部分“三调”调查为其他用地的企业办公管理用地调整为工业用地；二是引导城区范围内低效工业用地减量；三是通过低效用地盘活在地质道沿线整体形成新质工业空间供给，实现“退二优二”。</w:t>
      </w:r>
    </w:p>
    <w:p w14:paraId="52469F37">
      <w:pPr>
        <w:spacing w:after="166"/>
        <w:ind w:firstLine="500"/>
        <w:rPr>
          <w:rFonts w:hint="eastAsia"/>
          <w:lang w:val="en-US" w:eastAsia="zh-CN"/>
        </w:rPr>
      </w:pPr>
      <w:r>
        <w:rPr>
          <w:rFonts w:hint="eastAsia"/>
          <w:lang w:val="en-US" w:eastAsia="zh-CN"/>
        </w:rPr>
        <w:t>仓储用地从“三调”现状0公顷增加至26.87公顷（净增加26.87公顷）</w:t>
      </w:r>
    </w:p>
    <w:p w14:paraId="3A07A7F2">
      <w:pPr>
        <w:spacing w:after="166"/>
        <w:ind w:firstLine="500"/>
        <w:rPr>
          <w:rFonts w:hint="default"/>
          <w:lang w:val="en-US" w:eastAsia="zh-CN"/>
        </w:rPr>
      </w:pPr>
      <w:r>
        <w:rPr>
          <w:rFonts w:hint="eastAsia"/>
          <w:lang w:val="en-US" w:eastAsia="zh-CN"/>
        </w:rPr>
        <w:t>交通运输用地从“三调”现状0公顷增加至26.87公顷</w:t>
      </w:r>
    </w:p>
    <w:p w14:paraId="24C50C96">
      <w:pPr>
        <w:spacing w:after="166"/>
        <w:ind w:left="0" w:leftChars="0" w:firstLine="0" w:firstLineChars="0"/>
        <w:rPr>
          <w:rFonts w:hint="eastAsia"/>
          <w:lang w:val="en-US" w:eastAsia="zh-CN"/>
        </w:rPr>
      </w:pPr>
      <w:r>
        <w:drawing>
          <wp:inline distT="0" distB="0" distL="114300" distR="114300">
            <wp:extent cx="5272405" cy="2421255"/>
            <wp:effectExtent l="0" t="0" r="0" b="1905"/>
            <wp:docPr id="5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
                    <pic:cNvPicPr>
                      <a:picLocks noChangeAspect="1"/>
                    </pic:cNvPicPr>
                  </pic:nvPicPr>
                  <pic:blipFill>
                    <a:blip r:embed="rId46"/>
                    <a:stretch>
                      <a:fillRect/>
                    </a:stretch>
                  </pic:blipFill>
                  <pic:spPr>
                    <a:xfrm>
                      <a:off x="0" y="0"/>
                      <a:ext cx="5272405" cy="2421255"/>
                    </a:xfrm>
                    <a:prstGeom prst="rect">
                      <a:avLst/>
                    </a:prstGeom>
                    <a:noFill/>
                    <a:ln>
                      <a:noFill/>
                    </a:ln>
                  </pic:spPr>
                </pic:pic>
              </a:graphicData>
            </a:graphic>
          </wp:inline>
        </w:drawing>
      </w:r>
    </w:p>
    <w:p w14:paraId="1E6F45EA">
      <w:pPr>
        <w:spacing w:after="166"/>
        <w:ind w:firstLine="500"/>
        <w:rPr>
          <w:lang w:val="en-US"/>
        </w:rPr>
      </w:pPr>
    </w:p>
    <w:p w14:paraId="48431CBE">
      <w:pPr>
        <w:widowControl/>
        <w:spacing w:after="0" w:afterLines="0"/>
        <w:ind w:firstLine="0" w:firstLineChars="0"/>
        <w:jc w:val="left"/>
      </w:pPr>
      <w:r>
        <w:drawing>
          <wp:inline distT="0" distB="0" distL="114300" distR="114300">
            <wp:extent cx="5264150" cy="4452620"/>
            <wp:effectExtent l="0" t="0" r="12700" b="5080"/>
            <wp:docPr id="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pic:cNvPicPr>
                      <a:picLocks noChangeAspect="1"/>
                    </pic:cNvPicPr>
                  </pic:nvPicPr>
                  <pic:blipFill>
                    <a:blip r:embed="rId47"/>
                    <a:stretch>
                      <a:fillRect/>
                    </a:stretch>
                  </pic:blipFill>
                  <pic:spPr>
                    <a:xfrm>
                      <a:off x="0" y="0"/>
                      <a:ext cx="5264150" cy="4452620"/>
                    </a:xfrm>
                    <a:prstGeom prst="rect">
                      <a:avLst/>
                    </a:prstGeom>
                    <a:noFill/>
                    <a:ln>
                      <a:noFill/>
                    </a:ln>
                  </pic:spPr>
                </pic:pic>
              </a:graphicData>
            </a:graphic>
          </wp:inline>
        </w:drawing>
      </w:r>
    </w:p>
    <w:p w14:paraId="2FAD2E29">
      <w:pPr>
        <w:pStyle w:val="117"/>
      </w:pPr>
      <w:r>
        <w:rPr>
          <w:rFonts w:hint="eastAsia"/>
        </w:rPr>
        <w:t>图4-</w:t>
      </w:r>
      <w:r>
        <w:rPr>
          <w:rFonts w:hint="eastAsia"/>
          <w:lang w:val="en-US" w:eastAsia="zh-CN"/>
        </w:rPr>
        <w:t xml:space="preserve">2  </w:t>
      </w:r>
      <w:r>
        <w:rPr>
          <w:rFonts w:hint="eastAsia"/>
        </w:rPr>
        <w:t>土地使用规划图</w:t>
      </w:r>
    </w:p>
    <w:p w14:paraId="0E5AE455">
      <w:pPr>
        <w:pStyle w:val="117"/>
      </w:pPr>
      <w:r>
        <w:rPr>
          <w:rFonts w:hint="eastAsia"/>
        </w:rPr>
        <w:t>表4-</w:t>
      </w:r>
      <w:r>
        <w:rPr>
          <w:rFonts w:hint="eastAsia"/>
          <w:lang w:val="en-US" w:eastAsia="zh-CN"/>
        </w:rPr>
        <w:t xml:space="preserve">1  </w:t>
      </w:r>
      <w:r>
        <w:t>土地利用规划结构表</w:t>
      </w:r>
    </w:p>
    <w:tbl>
      <w:tblPr>
        <w:tblStyle w:val="36"/>
        <w:tblW w:w="4608" w:type="pct"/>
        <w:tblInd w:w="0" w:type="dxa"/>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autofit"/>
        <w:tblCellMar>
          <w:top w:w="0" w:type="dxa"/>
          <w:left w:w="108" w:type="dxa"/>
          <w:bottom w:w="0" w:type="dxa"/>
          <w:right w:w="108" w:type="dxa"/>
        </w:tblCellMar>
      </w:tblPr>
      <w:tblGrid>
        <w:gridCol w:w="853"/>
        <w:gridCol w:w="891"/>
        <w:gridCol w:w="875"/>
        <w:gridCol w:w="2982"/>
        <w:gridCol w:w="1073"/>
        <w:gridCol w:w="1180"/>
      </w:tblGrid>
      <w:tr w14:paraId="1DAA5F53">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443" w:hRule="atLeast"/>
        </w:trPr>
        <w:tc>
          <w:tcPr>
            <w:tcW w:w="1667" w:type="pct"/>
            <w:gridSpan w:val="3"/>
            <w:tcBorders>
              <w:bottom w:val="single" w:color="000000" w:sz="4" w:space="0"/>
              <w:right w:val="single" w:color="000000" w:sz="4" w:space="0"/>
            </w:tcBorders>
            <w:shd w:val="clear" w:color="auto" w:fill="FFFFFF"/>
            <w:vAlign w:val="center"/>
          </w:tcPr>
          <w:p w14:paraId="7491DCB0">
            <w:pPr>
              <w:pStyle w:val="115"/>
              <w:jc w:val="center"/>
            </w:pPr>
            <w:r>
              <w:rPr>
                <w:rFonts w:hint="eastAsia"/>
              </w:rPr>
              <w:t>用地用海分类代码</w:t>
            </w:r>
          </w:p>
        </w:tc>
        <w:tc>
          <w:tcPr>
            <w:tcW w:w="1897" w:type="pct"/>
            <w:vMerge w:val="restart"/>
            <w:tcBorders>
              <w:left w:val="nil"/>
              <w:bottom w:val="nil"/>
              <w:right w:val="single" w:color="000000" w:sz="4" w:space="0"/>
            </w:tcBorders>
            <w:shd w:val="clear" w:color="auto" w:fill="FFFFFF"/>
            <w:vAlign w:val="center"/>
          </w:tcPr>
          <w:p w14:paraId="23380759">
            <w:pPr>
              <w:pStyle w:val="115"/>
              <w:jc w:val="center"/>
            </w:pPr>
            <w:r>
              <w:rPr>
                <w:rFonts w:hint="eastAsia"/>
              </w:rPr>
              <w:t>用地用海分类名称</w:t>
            </w:r>
          </w:p>
        </w:tc>
        <w:tc>
          <w:tcPr>
            <w:tcW w:w="683" w:type="pct"/>
            <w:vMerge w:val="restart"/>
            <w:tcBorders>
              <w:left w:val="nil"/>
              <w:bottom w:val="nil"/>
              <w:right w:val="single" w:color="000000" w:sz="4" w:space="0"/>
            </w:tcBorders>
            <w:shd w:val="clear" w:color="auto" w:fill="FFFFFF"/>
            <w:vAlign w:val="center"/>
          </w:tcPr>
          <w:p w14:paraId="29CD9C3B">
            <w:pPr>
              <w:pStyle w:val="115"/>
              <w:jc w:val="center"/>
            </w:pPr>
            <w:r>
              <w:rPr>
                <w:rFonts w:hint="eastAsia"/>
              </w:rPr>
              <w:t>用地面积</w:t>
            </w:r>
            <w:r>
              <w:t>(m²)</w:t>
            </w:r>
          </w:p>
        </w:tc>
        <w:tc>
          <w:tcPr>
            <w:tcW w:w="751" w:type="pct"/>
            <w:vMerge w:val="restart"/>
            <w:tcBorders>
              <w:left w:val="nil"/>
              <w:bottom w:val="nil"/>
            </w:tcBorders>
            <w:shd w:val="clear" w:color="auto" w:fill="FFFFFF"/>
            <w:vAlign w:val="center"/>
          </w:tcPr>
          <w:p w14:paraId="21AEB714">
            <w:pPr>
              <w:pStyle w:val="115"/>
              <w:jc w:val="center"/>
            </w:pPr>
            <w:r>
              <w:rPr>
                <w:rFonts w:hint="eastAsia"/>
              </w:rPr>
              <w:t>占建设用地比例</w:t>
            </w:r>
          </w:p>
        </w:tc>
      </w:tr>
      <w:tr w14:paraId="33C792DD">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543" w:type="pct"/>
            <w:tcBorders>
              <w:top w:val="single" w:color="000000" w:sz="4" w:space="0"/>
              <w:bottom w:val="single" w:color="000000" w:sz="4" w:space="0"/>
              <w:right w:val="single" w:color="000000" w:sz="4" w:space="0"/>
            </w:tcBorders>
            <w:shd w:val="clear" w:color="auto" w:fill="FFFFFF"/>
            <w:vAlign w:val="center"/>
          </w:tcPr>
          <w:p w14:paraId="6C9E49DB">
            <w:pPr>
              <w:pStyle w:val="115"/>
              <w:jc w:val="center"/>
            </w:pPr>
            <w:r>
              <w:rPr>
                <w:rFonts w:hint="eastAsia"/>
              </w:rPr>
              <w:t>一级类</w:t>
            </w:r>
          </w:p>
        </w:tc>
        <w:tc>
          <w:tcPr>
            <w:tcW w:w="567" w:type="pct"/>
            <w:tcBorders>
              <w:top w:val="single" w:color="000000" w:sz="4" w:space="0"/>
              <w:left w:val="nil"/>
              <w:bottom w:val="single" w:color="000000" w:sz="4" w:space="0"/>
              <w:right w:val="single" w:color="000000" w:sz="4" w:space="0"/>
            </w:tcBorders>
            <w:shd w:val="clear" w:color="auto" w:fill="FFFFFF"/>
            <w:vAlign w:val="center"/>
          </w:tcPr>
          <w:p w14:paraId="03453A8B">
            <w:pPr>
              <w:pStyle w:val="115"/>
              <w:jc w:val="center"/>
            </w:pPr>
            <w:r>
              <w:rPr>
                <w:rFonts w:hint="eastAsia"/>
              </w:rPr>
              <w:t>二级类</w:t>
            </w: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652DAB07">
            <w:pPr>
              <w:pStyle w:val="115"/>
              <w:jc w:val="center"/>
            </w:pPr>
            <w:r>
              <w:rPr>
                <w:rFonts w:hint="eastAsia"/>
              </w:rPr>
              <w:t>三级类</w:t>
            </w:r>
          </w:p>
        </w:tc>
        <w:tc>
          <w:tcPr>
            <w:tcW w:w="1897" w:type="pct"/>
            <w:vMerge w:val="continue"/>
            <w:tcBorders>
              <w:top w:val="single" w:color="000000" w:sz="12" w:space="0"/>
              <w:left w:val="nil"/>
              <w:bottom w:val="nil"/>
              <w:right w:val="single" w:color="000000" w:sz="4" w:space="0"/>
            </w:tcBorders>
            <w:shd w:val="clear" w:color="auto" w:fill="FFFFFF"/>
            <w:vAlign w:val="center"/>
          </w:tcPr>
          <w:p w14:paraId="3BEC77F3">
            <w:pPr>
              <w:pStyle w:val="115"/>
              <w:jc w:val="center"/>
            </w:pPr>
          </w:p>
        </w:tc>
        <w:tc>
          <w:tcPr>
            <w:tcW w:w="683" w:type="pct"/>
            <w:vMerge w:val="continue"/>
            <w:tcBorders>
              <w:top w:val="single" w:color="000000" w:sz="12" w:space="0"/>
              <w:left w:val="nil"/>
              <w:bottom w:val="nil"/>
              <w:right w:val="single" w:color="000000" w:sz="4" w:space="0"/>
            </w:tcBorders>
            <w:shd w:val="clear" w:color="auto" w:fill="FFFFFF"/>
            <w:vAlign w:val="center"/>
          </w:tcPr>
          <w:p w14:paraId="0C17DF42">
            <w:pPr>
              <w:pStyle w:val="115"/>
              <w:jc w:val="center"/>
            </w:pPr>
          </w:p>
        </w:tc>
        <w:tc>
          <w:tcPr>
            <w:tcW w:w="751" w:type="pct"/>
            <w:vMerge w:val="continue"/>
            <w:tcBorders>
              <w:top w:val="single" w:color="000000" w:sz="12" w:space="0"/>
              <w:left w:val="nil"/>
              <w:bottom w:val="nil"/>
            </w:tcBorders>
            <w:shd w:val="clear" w:color="auto" w:fill="FFFFFF"/>
            <w:vAlign w:val="center"/>
          </w:tcPr>
          <w:p w14:paraId="54EB9A82">
            <w:pPr>
              <w:pStyle w:val="115"/>
              <w:jc w:val="center"/>
            </w:pPr>
          </w:p>
        </w:tc>
      </w:tr>
      <w:tr w14:paraId="18A487D5">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543" w:type="pct"/>
            <w:vMerge w:val="restart"/>
            <w:tcBorders>
              <w:top w:val="nil"/>
              <w:bottom w:val="single" w:color="000000" w:sz="4" w:space="0"/>
              <w:right w:val="single" w:color="000000" w:sz="4" w:space="0"/>
            </w:tcBorders>
            <w:shd w:val="clear" w:color="auto" w:fill="FFFFFF"/>
            <w:vAlign w:val="center"/>
          </w:tcPr>
          <w:p w14:paraId="62B07458">
            <w:pPr>
              <w:pStyle w:val="115"/>
              <w:jc w:val="center"/>
            </w:pPr>
            <w:r>
              <w:rPr>
                <w:rFonts w:hint="eastAsia"/>
              </w:rPr>
              <w:t>07</w:t>
            </w:r>
          </w:p>
        </w:tc>
        <w:tc>
          <w:tcPr>
            <w:tcW w:w="567" w:type="pct"/>
            <w:tcBorders>
              <w:top w:val="single" w:color="000000" w:sz="4" w:space="0"/>
              <w:left w:val="nil"/>
              <w:bottom w:val="single" w:color="000000" w:sz="4" w:space="0"/>
              <w:right w:val="single" w:color="000000" w:sz="4" w:space="0"/>
            </w:tcBorders>
            <w:shd w:val="clear" w:color="auto" w:fill="FFFFFF"/>
            <w:vAlign w:val="center"/>
          </w:tcPr>
          <w:p w14:paraId="788B06ED">
            <w:pPr>
              <w:pStyle w:val="115"/>
              <w:jc w:val="center"/>
            </w:pP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331D77A6">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69B8A170">
            <w:pPr>
              <w:pStyle w:val="115"/>
              <w:jc w:val="center"/>
            </w:pPr>
            <w:r>
              <w:rPr>
                <w:rFonts w:hint="eastAsia"/>
              </w:rPr>
              <w:t>居住用地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2CA7FE5C">
            <w:pPr>
              <w:pStyle w:val="115"/>
              <w:jc w:val="center"/>
            </w:pPr>
            <w:r>
              <w:rPr>
                <w:rFonts w:hint="eastAsia"/>
              </w:rPr>
              <w:t>144.79</w:t>
            </w:r>
          </w:p>
        </w:tc>
        <w:tc>
          <w:tcPr>
            <w:tcW w:w="751" w:type="pct"/>
            <w:tcBorders>
              <w:top w:val="single" w:color="000000" w:sz="4" w:space="0"/>
              <w:left w:val="nil"/>
              <w:bottom w:val="single" w:color="000000" w:sz="4" w:space="0"/>
            </w:tcBorders>
            <w:shd w:val="clear" w:color="auto" w:fill="FFFFFF"/>
            <w:vAlign w:val="center"/>
          </w:tcPr>
          <w:p w14:paraId="37938237">
            <w:pPr>
              <w:pStyle w:val="115"/>
              <w:jc w:val="center"/>
            </w:pPr>
            <w:r>
              <w:rPr>
                <w:rFonts w:hint="eastAsia"/>
              </w:rPr>
              <w:t>22.64%</w:t>
            </w:r>
          </w:p>
        </w:tc>
      </w:tr>
      <w:tr w14:paraId="79F94DE8">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84" w:hRule="atLeast"/>
        </w:trPr>
        <w:tc>
          <w:tcPr>
            <w:tcW w:w="543" w:type="pct"/>
            <w:vMerge w:val="continue"/>
            <w:tcBorders>
              <w:top w:val="nil"/>
              <w:bottom w:val="single" w:color="000000" w:sz="4" w:space="0"/>
              <w:right w:val="single" w:color="000000" w:sz="4" w:space="0"/>
            </w:tcBorders>
            <w:shd w:val="clear" w:color="auto" w:fill="FFFFFF"/>
            <w:vAlign w:val="center"/>
          </w:tcPr>
          <w:p w14:paraId="60ECD1D0">
            <w:pPr>
              <w:pStyle w:val="115"/>
              <w:jc w:val="center"/>
            </w:pPr>
          </w:p>
        </w:tc>
        <w:tc>
          <w:tcPr>
            <w:tcW w:w="567" w:type="pct"/>
            <w:vMerge w:val="restart"/>
            <w:tcBorders>
              <w:top w:val="nil"/>
              <w:left w:val="nil"/>
              <w:bottom w:val="single" w:color="000000" w:sz="4" w:space="0"/>
              <w:right w:val="single" w:color="000000" w:sz="4" w:space="0"/>
            </w:tcBorders>
            <w:shd w:val="clear" w:color="auto" w:fill="FFFFFF"/>
            <w:vAlign w:val="center"/>
          </w:tcPr>
          <w:p w14:paraId="68F2AEFC">
            <w:pPr>
              <w:pStyle w:val="115"/>
              <w:jc w:val="center"/>
            </w:pPr>
            <w:r>
              <w:rPr>
                <w:rFonts w:hint="eastAsia"/>
              </w:rPr>
              <w:t>0701</w:t>
            </w: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49700F89">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3C407368">
            <w:pPr>
              <w:pStyle w:val="115"/>
              <w:jc w:val="center"/>
            </w:pPr>
            <w:r>
              <w:rPr>
                <w:rFonts w:hint="eastAsia"/>
              </w:rPr>
              <w:t>城镇住宅用地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21170B86">
            <w:pPr>
              <w:pStyle w:val="115"/>
              <w:jc w:val="center"/>
            </w:pPr>
            <w:r>
              <w:rPr>
                <w:rFonts w:hint="eastAsia"/>
              </w:rPr>
              <w:t>141.31</w:t>
            </w:r>
          </w:p>
        </w:tc>
        <w:tc>
          <w:tcPr>
            <w:tcW w:w="751" w:type="pct"/>
            <w:tcBorders>
              <w:top w:val="single" w:color="000000" w:sz="4" w:space="0"/>
              <w:left w:val="nil"/>
              <w:bottom w:val="single" w:color="000000" w:sz="4" w:space="0"/>
            </w:tcBorders>
            <w:shd w:val="clear" w:color="auto" w:fill="FFFFFF"/>
            <w:vAlign w:val="center"/>
          </w:tcPr>
          <w:p w14:paraId="5445A93A">
            <w:pPr>
              <w:pStyle w:val="115"/>
              <w:jc w:val="center"/>
            </w:pPr>
            <w:r>
              <w:rPr>
                <w:rFonts w:hint="eastAsia"/>
              </w:rPr>
              <w:t>22.10%</w:t>
            </w:r>
          </w:p>
        </w:tc>
      </w:tr>
      <w:tr w14:paraId="7F8C72F6">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12E976F3">
            <w:pPr>
              <w:pStyle w:val="115"/>
              <w:jc w:val="center"/>
            </w:pPr>
          </w:p>
        </w:tc>
        <w:tc>
          <w:tcPr>
            <w:tcW w:w="567" w:type="pct"/>
            <w:vMerge w:val="continue"/>
            <w:tcBorders>
              <w:top w:val="nil"/>
              <w:left w:val="nil"/>
              <w:bottom w:val="single" w:color="000000" w:sz="4" w:space="0"/>
              <w:right w:val="single" w:color="000000" w:sz="4" w:space="0"/>
            </w:tcBorders>
            <w:shd w:val="clear" w:color="auto" w:fill="FFFFFF"/>
            <w:vAlign w:val="center"/>
          </w:tcPr>
          <w:p w14:paraId="77CBBC96">
            <w:pPr>
              <w:pStyle w:val="115"/>
              <w:jc w:val="center"/>
            </w:pP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1F1A4BD5">
            <w:pPr>
              <w:pStyle w:val="115"/>
              <w:jc w:val="center"/>
            </w:pPr>
            <w:r>
              <w:rPr>
                <w:rFonts w:hint="eastAsia"/>
              </w:rPr>
              <w:t>070102</w:t>
            </w: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19BD50DB">
            <w:pPr>
              <w:pStyle w:val="115"/>
              <w:jc w:val="center"/>
            </w:pPr>
            <w:r>
              <w:rPr>
                <w:rFonts w:hint="eastAsia"/>
              </w:rPr>
              <w:t>二类城镇住宅用地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387615F3">
            <w:pPr>
              <w:pStyle w:val="115"/>
              <w:jc w:val="center"/>
            </w:pPr>
            <w:r>
              <w:rPr>
                <w:rFonts w:hint="eastAsia"/>
              </w:rPr>
              <w:t>141.31</w:t>
            </w:r>
          </w:p>
        </w:tc>
        <w:tc>
          <w:tcPr>
            <w:tcW w:w="751" w:type="pct"/>
            <w:tcBorders>
              <w:top w:val="single" w:color="000000" w:sz="4" w:space="0"/>
              <w:left w:val="nil"/>
              <w:bottom w:val="single" w:color="000000" w:sz="4" w:space="0"/>
            </w:tcBorders>
            <w:shd w:val="clear" w:color="auto" w:fill="FFFFFF"/>
            <w:vAlign w:val="center"/>
          </w:tcPr>
          <w:p w14:paraId="49810119">
            <w:pPr>
              <w:pStyle w:val="115"/>
              <w:jc w:val="center"/>
            </w:pPr>
            <w:r>
              <w:rPr>
                <w:rFonts w:hint="eastAsia"/>
              </w:rPr>
              <w:t>22.10%</w:t>
            </w:r>
          </w:p>
        </w:tc>
      </w:tr>
      <w:tr w14:paraId="10DCBC1E">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512722FC">
            <w:pPr>
              <w:pStyle w:val="115"/>
              <w:jc w:val="center"/>
            </w:pPr>
          </w:p>
        </w:tc>
        <w:tc>
          <w:tcPr>
            <w:tcW w:w="567" w:type="pct"/>
            <w:tcBorders>
              <w:top w:val="single" w:color="000000" w:sz="4" w:space="0"/>
              <w:left w:val="nil"/>
              <w:bottom w:val="single" w:color="000000" w:sz="4" w:space="0"/>
              <w:right w:val="single" w:color="000000" w:sz="4" w:space="0"/>
            </w:tcBorders>
            <w:shd w:val="clear" w:color="auto" w:fill="FFFFFF"/>
            <w:vAlign w:val="center"/>
          </w:tcPr>
          <w:p w14:paraId="1896F777">
            <w:pPr>
              <w:pStyle w:val="115"/>
              <w:jc w:val="center"/>
            </w:pPr>
            <w:r>
              <w:rPr>
                <w:rFonts w:hint="eastAsia"/>
              </w:rPr>
              <w:t>0702</w:t>
            </w: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481A7EBE">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5E95F10B">
            <w:pPr>
              <w:pStyle w:val="115"/>
              <w:jc w:val="center"/>
            </w:pPr>
            <w:r>
              <w:rPr>
                <w:rFonts w:hint="eastAsia"/>
              </w:rPr>
              <w:t>城镇社区服务设施用地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51001F84">
            <w:pPr>
              <w:pStyle w:val="115"/>
              <w:jc w:val="center"/>
            </w:pPr>
            <w:r>
              <w:rPr>
                <w:rFonts w:hint="eastAsia"/>
              </w:rPr>
              <w:t>3.48</w:t>
            </w:r>
          </w:p>
        </w:tc>
        <w:tc>
          <w:tcPr>
            <w:tcW w:w="751" w:type="pct"/>
            <w:tcBorders>
              <w:top w:val="single" w:color="000000" w:sz="4" w:space="0"/>
              <w:left w:val="nil"/>
              <w:bottom w:val="single" w:color="000000" w:sz="4" w:space="0"/>
            </w:tcBorders>
            <w:shd w:val="clear" w:color="auto" w:fill="FFFFFF"/>
            <w:vAlign w:val="center"/>
          </w:tcPr>
          <w:p w14:paraId="1EB08E61">
            <w:pPr>
              <w:pStyle w:val="115"/>
              <w:jc w:val="center"/>
            </w:pPr>
            <w:r>
              <w:rPr>
                <w:rFonts w:hint="eastAsia"/>
              </w:rPr>
              <w:t>0.54%</w:t>
            </w:r>
          </w:p>
        </w:tc>
      </w:tr>
      <w:tr w14:paraId="78002598">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restart"/>
            <w:tcBorders>
              <w:top w:val="nil"/>
              <w:bottom w:val="single" w:color="000000" w:sz="4" w:space="0"/>
              <w:right w:val="single" w:color="000000" w:sz="4" w:space="0"/>
            </w:tcBorders>
            <w:shd w:val="clear" w:color="auto" w:fill="FFFFFF"/>
            <w:vAlign w:val="center"/>
          </w:tcPr>
          <w:p w14:paraId="5F3D6C1E">
            <w:pPr>
              <w:pStyle w:val="115"/>
              <w:jc w:val="center"/>
            </w:pPr>
            <w:r>
              <w:rPr>
                <w:rFonts w:hint="eastAsia"/>
              </w:rPr>
              <w:t>08</w:t>
            </w:r>
          </w:p>
        </w:tc>
        <w:tc>
          <w:tcPr>
            <w:tcW w:w="567" w:type="pct"/>
            <w:tcBorders>
              <w:top w:val="single" w:color="000000" w:sz="4" w:space="0"/>
              <w:left w:val="nil"/>
              <w:bottom w:val="single" w:color="000000" w:sz="4" w:space="0"/>
              <w:right w:val="single" w:color="000000" w:sz="4" w:space="0"/>
            </w:tcBorders>
            <w:shd w:val="clear" w:color="auto" w:fill="FFFFFF"/>
            <w:vAlign w:val="center"/>
          </w:tcPr>
          <w:p w14:paraId="6BCDE030">
            <w:pPr>
              <w:pStyle w:val="115"/>
              <w:jc w:val="center"/>
            </w:pP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486D37CB">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1EF3B438">
            <w:pPr>
              <w:pStyle w:val="115"/>
              <w:jc w:val="center"/>
            </w:pPr>
            <w:r>
              <w:rPr>
                <w:rFonts w:hint="eastAsia"/>
              </w:rPr>
              <w:t>公共管理与公共服务用地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6DC5EA7C">
            <w:pPr>
              <w:pStyle w:val="115"/>
              <w:jc w:val="center"/>
            </w:pPr>
            <w:r>
              <w:rPr>
                <w:rFonts w:hint="eastAsia"/>
              </w:rPr>
              <w:t>69.07</w:t>
            </w:r>
          </w:p>
        </w:tc>
        <w:tc>
          <w:tcPr>
            <w:tcW w:w="751" w:type="pct"/>
            <w:tcBorders>
              <w:top w:val="single" w:color="000000" w:sz="4" w:space="0"/>
              <w:left w:val="nil"/>
              <w:bottom w:val="single" w:color="000000" w:sz="4" w:space="0"/>
            </w:tcBorders>
            <w:shd w:val="clear" w:color="auto" w:fill="FFFFFF"/>
            <w:vAlign w:val="center"/>
          </w:tcPr>
          <w:p w14:paraId="70E7BAC1">
            <w:pPr>
              <w:pStyle w:val="115"/>
              <w:jc w:val="center"/>
            </w:pPr>
            <w:r>
              <w:rPr>
                <w:rFonts w:hint="eastAsia"/>
              </w:rPr>
              <w:t>10.80%</w:t>
            </w:r>
          </w:p>
        </w:tc>
      </w:tr>
      <w:tr w14:paraId="3351BA62">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39CEB0F3">
            <w:pPr>
              <w:pStyle w:val="115"/>
              <w:jc w:val="center"/>
            </w:pPr>
          </w:p>
        </w:tc>
        <w:tc>
          <w:tcPr>
            <w:tcW w:w="567" w:type="pct"/>
            <w:tcBorders>
              <w:top w:val="single" w:color="000000" w:sz="4" w:space="0"/>
              <w:left w:val="nil"/>
              <w:bottom w:val="single" w:color="000000" w:sz="4" w:space="0"/>
              <w:right w:val="single" w:color="000000" w:sz="4" w:space="0"/>
            </w:tcBorders>
            <w:shd w:val="clear" w:color="auto" w:fill="FFFFFF"/>
            <w:vAlign w:val="center"/>
          </w:tcPr>
          <w:p w14:paraId="67D3F7B9">
            <w:pPr>
              <w:pStyle w:val="115"/>
              <w:jc w:val="center"/>
            </w:pPr>
            <w:r>
              <w:rPr>
                <w:rFonts w:hint="eastAsia"/>
              </w:rPr>
              <w:t>0801</w:t>
            </w: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18AA78D0">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3C4439B3">
            <w:pPr>
              <w:pStyle w:val="115"/>
              <w:jc w:val="center"/>
            </w:pPr>
            <w:r>
              <w:rPr>
                <w:rFonts w:hint="eastAsia"/>
              </w:rPr>
              <w:t>机关团体用地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40E76A12">
            <w:pPr>
              <w:pStyle w:val="115"/>
              <w:jc w:val="center"/>
            </w:pPr>
            <w:r>
              <w:rPr>
                <w:rFonts w:hint="eastAsia"/>
              </w:rPr>
              <w:t>27.98</w:t>
            </w:r>
          </w:p>
        </w:tc>
        <w:tc>
          <w:tcPr>
            <w:tcW w:w="751" w:type="pct"/>
            <w:tcBorders>
              <w:top w:val="single" w:color="000000" w:sz="4" w:space="0"/>
              <w:left w:val="nil"/>
              <w:bottom w:val="single" w:color="000000" w:sz="4" w:space="0"/>
            </w:tcBorders>
            <w:shd w:val="clear" w:color="auto" w:fill="FFFFFF"/>
            <w:vAlign w:val="center"/>
          </w:tcPr>
          <w:p w14:paraId="024EF2D1">
            <w:pPr>
              <w:pStyle w:val="115"/>
              <w:jc w:val="center"/>
            </w:pPr>
            <w:r>
              <w:rPr>
                <w:rFonts w:hint="eastAsia"/>
              </w:rPr>
              <w:t>4.38%</w:t>
            </w:r>
          </w:p>
        </w:tc>
      </w:tr>
      <w:tr w14:paraId="020E9BF5">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24D4991E">
            <w:pPr>
              <w:pStyle w:val="115"/>
              <w:jc w:val="center"/>
            </w:pPr>
          </w:p>
        </w:tc>
        <w:tc>
          <w:tcPr>
            <w:tcW w:w="567" w:type="pct"/>
            <w:tcBorders>
              <w:top w:val="single" w:color="000000" w:sz="4" w:space="0"/>
              <w:left w:val="nil"/>
              <w:bottom w:val="single" w:color="000000" w:sz="4" w:space="0"/>
              <w:right w:val="single" w:color="000000" w:sz="4" w:space="0"/>
            </w:tcBorders>
            <w:shd w:val="clear" w:color="auto" w:fill="FFFFFF"/>
            <w:vAlign w:val="center"/>
          </w:tcPr>
          <w:p w14:paraId="25F5AC5D">
            <w:pPr>
              <w:pStyle w:val="115"/>
              <w:jc w:val="center"/>
            </w:pPr>
            <w:r>
              <w:rPr>
                <w:rFonts w:hint="eastAsia"/>
              </w:rPr>
              <w:t>0802</w:t>
            </w: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578A0C72">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53950A40">
            <w:pPr>
              <w:pStyle w:val="115"/>
              <w:jc w:val="center"/>
            </w:pPr>
            <w:r>
              <w:rPr>
                <w:rFonts w:hint="eastAsia"/>
              </w:rPr>
              <w:t>科研用地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55526D38">
            <w:pPr>
              <w:pStyle w:val="115"/>
              <w:jc w:val="center"/>
            </w:pPr>
            <w:r>
              <w:rPr>
                <w:rFonts w:hint="eastAsia"/>
              </w:rPr>
              <w:t>0.89</w:t>
            </w:r>
          </w:p>
        </w:tc>
        <w:tc>
          <w:tcPr>
            <w:tcW w:w="751" w:type="pct"/>
            <w:tcBorders>
              <w:top w:val="single" w:color="000000" w:sz="4" w:space="0"/>
              <w:left w:val="nil"/>
              <w:bottom w:val="single" w:color="000000" w:sz="4" w:space="0"/>
            </w:tcBorders>
            <w:shd w:val="clear" w:color="auto" w:fill="FFFFFF"/>
            <w:vAlign w:val="center"/>
          </w:tcPr>
          <w:p w14:paraId="1D2F8F08">
            <w:pPr>
              <w:pStyle w:val="115"/>
              <w:jc w:val="center"/>
            </w:pPr>
            <w:r>
              <w:rPr>
                <w:rFonts w:hint="eastAsia"/>
              </w:rPr>
              <w:t>0.14%</w:t>
            </w:r>
          </w:p>
        </w:tc>
      </w:tr>
      <w:tr w14:paraId="77F3618B">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47F08B6B">
            <w:pPr>
              <w:pStyle w:val="115"/>
              <w:jc w:val="center"/>
            </w:pPr>
          </w:p>
        </w:tc>
        <w:tc>
          <w:tcPr>
            <w:tcW w:w="567" w:type="pct"/>
            <w:vMerge w:val="restart"/>
            <w:tcBorders>
              <w:top w:val="nil"/>
              <w:left w:val="nil"/>
              <w:bottom w:val="single" w:color="000000" w:sz="4" w:space="0"/>
              <w:right w:val="single" w:color="000000" w:sz="4" w:space="0"/>
            </w:tcBorders>
            <w:shd w:val="clear" w:color="auto" w:fill="FFFFFF"/>
            <w:vAlign w:val="center"/>
          </w:tcPr>
          <w:p w14:paraId="17052B9B">
            <w:pPr>
              <w:pStyle w:val="115"/>
              <w:jc w:val="center"/>
            </w:pPr>
            <w:r>
              <w:rPr>
                <w:rFonts w:hint="eastAsia"/>
              </w:rPr>
              <w:t>0803</w:t>
            </w: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2FEFB0F9">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24CACE4D">
            <w:pPr>
              <w:pStyle w:val="115"/>
              <w:jc w:val="center"/>
            </w:pPr>
            <w:r>
              <w:rPr>
                <w:rFonts w:hint="eastAsia"/>
              </w:rPr>
              <w:t>文化用地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43D1B554">
            <w:pPr>
              <w:pStyle w:val="115"/>
              <w:jc w:val="center"/>
            </w:pPr>
            <w:r>
              <w:rPr>
                <w:rFonts w:hint="eastAsia"/>
              </w:rPr>
              <w:t>6.91</w:t>
            </w:r>
          </w:p>
        </w:tc>
        <w:tc>
          <w:tcPr>
            <w:tcW w:w="751" w:type="pct"/>
            <w:tcBorders>
              <w:top w:val="single" w:color="000000" w:sz="4" w:space="0"/>
              <w:left w:val="nil"/>
              <w:bottom w:val="single" w:color="000000" w:sz="4" w:space="0"/>
            </w:tcBorders>
            <w:shd w:val="clear" w:color="auto" w:fill="FFFFFF"/>
            <w:vAlign w:val="center"/>
          </w:tcPr>
          <w:p w14:paraId="0B7FED0D">
            <w:pPr>
              <w:pStyle w:val="115"/>
              <w:jc w:val="center"/>
            </w:pPr>
            <w:r>
              <w:rPr>
                <w:rFonts w:hint="eastAsia"/>
              </w:rPr>
              <w:t>1.08%</w:t>
            </w:r>
          </w:p>
        </w:tc>
      </w:tr>
      <w:tr w14:paraId="4BA631B6">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7736E8E3">
            <w:pPr>
              <w:pStyle w:val="115"/>
              <w:jc w:val="center"/>
            </w:pPr>
          </w:p>
        </w:tc>
        <w:tc>
          <w:tcPr>
            <w:tcW w:w="567" w:type="pct"/>
            <w:vMerge w:val="continue"/>
            <w:tcBorders>
              <w:top w:val="nil"/>
              <w:left w:val="nil"/>
              <w:bottom w:val="single" w:color="000000" w:sz="4" w:space="0"/>
              <w:right w:val="single" w:color="000000" w:sz="4" w:space="0"/>
            </w:tcBorders>
            <w:shd w:val="clear" w:color="auto" w:fill="FFFFFF"/>
            <w:vAlign w:val="center"/>
          </w:tcPr>
          <w:p w14:paraId="44F05BCE">
            <w:pPr>
              <w:pStyle w:val="115"/>
              <w:jc w:val="center"/>
            </w:pP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2924B127">
            <w:pPr>
              <w:pStyle w:val="115"/>
              <w:jc w:val="center"/>
            </w:pPr>
            <w:r>
              <w:rPr>
                <w:rFonts w:hint="eastAsia"/>
              </w:rPr>
              <w:t>080301</w:t>
            </w: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5B3190FC">
            <w:pPr>
              <w:pStyle w:val="115"/>
              <w:jc w:val="center"/>
            </w:pPr>
            <w:r>
              <w:rPr>
                <w:rFonts w:hint="eastAsia"/>
              </w:rPr>
              <w:t>图书与展览用地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41F6212E">
            <w:pPr>
              <w:pStyle w:val="115"/>
              <w:jc w:val="center"/>
            </w:pPr>
            <w:r>
              <w:rPr>
                <w:rFonts w:hint="eastAsia"/>
              </w:rPr>
              <w:t>4.85</w:t>
            </w:r>
          </w:p>
        </w:tc>
        <w:tc>
          <w:tcPr>
            <w:tcW w:w="751" w:type="pct"/>
            <w:tcBorders>
              <w:top w:val="single" w:color="000000" w:sz="4" w:space="0"/>
              <w:left w:val="nil"/>
              <w:bottom w:val="single" w:color="000000" w:sz="4" w:space="0"/>
            </w:tcBorders>
            <w:shd w:val="clear" w:color="auto" w:fill="FFFFFF"/>
            <w:vAlign w:val="center"/>
          </w:tcPr>
          <w:p w14:paraId="341FC6E6">
            <w:pPr>
              <w:pStyle w:val="115"/>
              <w:jc w:val="center"/>
            </w:pPr>
            <w:r>
              <w:rPr>
                <w:rFonts w:hint="eastAsia"/>
              </w:rPr>
              <w:t>0.76%</w:t>
            </w:r>
          </w:p>
        </w:tc>
      </w:tr>
      <w:tr w14:paraId="0ABA22BF">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269AF1D4">
            <w:pPr>
              <w:pStyle w:val="115"/>
              <w:jc w:val="center"/>
            </w:pPr>
          </w:p>
        </w:tc>
        <w:tc>
          <w:tcPr>
            <w:tcW w:w="567" w:type="pct"/>
            <w:vMerge w:val="continue"/>
            <w:tcBorders>
              <w:top w:val="nil"/>
              <w:left w:val="nil"/>
              <w:bottom w:val="single" w:color="000000" w:sz="4" w:space="0"/>
              <w:right w:val="single" w:color="000000" w:sz="4" w:space="0"/>
            </w:tcBorders>
            <w:shd w:val="clear" w:color="auto" w:fill="FFFFFF"/>
            <w:vAlign w:val="center"/>
          </w:tcPr>
          <w:p w14:paraId="109E9586">
            <w:pPr>
              <w:pStyle w:val="115"/>
              <w:jc w:val="center"/>
            </w:pP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35DBAD6F">
            <w:pPr>
              <w:pStyle w:val="115"/>
              <w:jc w:val="center"/>
            </w:pPr>
            <w:r>
              <w:rPr>
                <w:rFonts w:hint="eastAsia"/>
              </w:rPr>
              <w:t>080302</w:t>
            </w: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36CC1DDE">
            <w:pPr>
              <w:pStyle w:val="115"/>
              <w:jc w:val="center"/>
            </w:pPr>
            <w:r>
              <w:rPr>
                <w:rFonts w:hint="eastAsia"/>
              </w:rPr>
              <w:t>文化活动用地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36200B1D">
            <w:pPr>
              <w:pStyle w:val="115"/>
              <w:jc w:val="center"/>
            </w:pPr>
            <w:r>
              <w:rPr>
                <w:rFonts w:hint="eastAsia"/>
              </w:rPr>
              <w:t>2.06</w:t>
            </w:r>
          </w:p>
        </w:tc>
        <w:tc>
          <w:tcPr>
            <w:tcW w:w="751" w:type="pct"/>
            <w:tcBorders>
              <w:top w:val="single" w:color="000000" w:sz="4" w:space="0"/>
              <w:left w:val="nil"/>
              <w:bottom w:val="single" w:color="000000" w:sz="4" w:space="0"/>
            </w:tcBorders>
            <w:shd w:val="clear" w:color="auto" w:fill="FFFFFF"/>
            <w:vAlign w:val="center"/>
          </w:tcPr>
          <w:p w14:paraId="22DCAD2C">
            <w:pPr>
              <w:pStyle w:val="115"/>
              <w:jc w:val="center"/>
            </w:pPr>
            <w:r>
              <w:rPr>
                <w:rFonts w:hint="eastAsia"/>
              </w:rPr>
              <w:t>0.32%</w:t>
            </w:r>
          </w:p>
        </w:tc>
      </w:tr>
      <w:tr w14:paraId="73265E92">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23C91BFF">
            <w:pPr>
              <w:pStyle w:val="115"/>
              <w:jc w:val="center"/>
            </w:pPr>
          </w:p>
        </w:tc>
        <w:tc>
          <w:tcPr>
            <w:tcW w:w="567" w:type="pct"/>
            <w:vMerge w:val="restart"/>
            <w:tcBorders>
              <w:top w:val="nil"/>
              <w:left w:val="nil"/>
              <w:bottom w:val="single" w:color="000000" w:sz="4" w:space="0"/>
              <w:right w:val="single" w:color="000000" w:sz="4" w:space="0"/>
            </w:tcBorders>
            <w:shd w:val="clear" w:color="auto" w:fill="FFFFFF"/>
            <w:vAlign w:val="center"/>
          </w:tcPr>
          <w:p w14:paraId="7630EF5C">
            <w:pPr>
              <w:pStyle w:val="115"/>
              <w:jc w:val="center"/>
            </w:pPr>
            <w:r>
              <w:rPr>
                <w:rFonts w:hint="eastAsia"/>
              </w:rPr>
              <w:t>0804</w:t>
            </w: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737A13AF">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5C35DFC4">
            <w:pPr>
              <w:pStyle w:val="115"/>
              <w:jc w:val="center"/>
            </w:pPr>
            <w:r>
              <w:rPr>
                <w:rFonts w:hint="eastAsia"/>
              </w:rPr>
              <w:t>教育用地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7455BF27">
            <w:pPr>
              <w:pStyle w:val="115"/>
              <w:jc w:val="center"/>
            </w:pPr>
            <w:r>
              <w:rPr>
                <w:rFonts w:hint="eastAsia"/>
              </w:rPr>
              <w:t>18.43</w:t>
            </w:r>
          </w:p>
        </w:tc>
        <w:tc>
          <w:tcPr>
            <w:tcW w:w="751" w:type="pct"/>
            <w:tcBorders>
              <w:top w:val="single" w:color="000000" w:sz="4" w:space="0"/>
              <w:left w:val="nil"/>
              <w:bottom w:val="single" w:color="000000" w:sz="4" w:space="0"/>
            </w:tcBorders>
            <w:shd w:val="clear" w:color="auto" w:fill="FFFFFF"/>
            <w:vAlign w:val="center"/>
          </w:tcPr>
          <w:p w14:paraId="0293F3B5">
            <w:pPr>
              <w:pStyle w:val="115"/>
              <w:jc w:val="center"/>
            </w:pPr>
            <w:r>
              <w:rPr>
                <w:rFonts w:hint="eastAsia"/>
              </w:rPr>
              <w:t>2.88%</w:t>
            </w:r>
          </w:p>
        </w:tc>
      </w:tr>
      <w:tr w14:paraId="37B34444">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1A93C792">
            <w:pPr>
              <w:pStyle w:val="115"/>
              <w:jc w:val="center"/>
            </w:pPr>
          </w:p>
        </w:tc>
        <w:tc>
          <w:tcPr>
            <w:tcW w:w="567" w:type="pct"/>
            <w:vMerge w:val="continue"/>
            <w:tcBorders>
              <w:top w:val="nil"/>
              <w:left w:val="nil"/>
              <w:bottom w:val="single" w:color="000000" w:sz="4" w:space="0"/>
              <w:right w:val="single" w:color="000000" w:sz="4" w:space="0"/>
            </w:tcBorders>
            <w:shd w:val="clear" w:color="auto" w:fill="FFFFFF"/>
            <w:vAlign w:val="center"/>
          </w:tcPr>
          <w:p w14:paraId="048D4783">
            <w:pPr>
              <w:pStyle w:val="115"/>
              <w:jc w:val="center"/>
            </w:pP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759D870A">
            <w:pPr>
              <w:pStyle w:val="115"/>
              <w:jc w:val="center"/>
            </w:pPr>
            <w:r>
              <w:rPr>
                <w:rFonts w:hint="eastAsia"/>
              </w:rPr>
              <w:t>080402</w:t>
            </w: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054997F8">
            <w:pPr>
              <w:pStyle w:val="115"/>
              <w:jc w:val="center"/>
            </w:pPr>
            <w:r>
              <w:rPr>
                <w:rFonts w:hint="eastAsia"/>
              </w:rPr>
              <w:t>中等职业教育用地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1B547761">
            <w:pPr>
              <w:pStyle w:val="115"/>
              <w:jc w:val="center"/>
            </w:pPr>
            <w:r>
              <w:rPr>
                <w:rFonts w:hint="eastAsia"/>
              </w:rPr>
              <w:t>4.18</w:t>
            </w:r>
          </w:p>
        </w:tc>
        <w:tc>
          <w:tcPr>
            <w:tcW w:w="751" w:type="pct"/>
            <w:tcBorders>
              <w:top w:val="single" w:color="000000" w:sz="4" w:space="0"/>
              <w:left w:val="nil"/>
              <w:bottom w:val="single" w:color="000000" w:sz="4" w:space="0"/>
            </w:tcBorders>
            <w:shd w:val="clear" w:color="auto" w:fill="FFFFFF"/>
            <w:vAlign w:val="center"/>
          </w:tcPr>
          <w:p w14:paraId="23A29BBC">
            <w:pPr>
              <w:pStyle w:val="115"/>
              <w:jc w:val="center"/>
            </w:pPr>
            <w:r>
              <w:rPr>
                <w:rFonts w:hint="eastAsia"/>
              </w:rPr>
              <w:t>0.65%</w:t>
            </w:r>
          </w:p>
        </w:tc>
      </w:tr>
      <w:tr w14:paraId="6B8DD79F">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5D666F94">
            <w:pPr>
              <w:pStyle w:val="115"/>
              <w:jc w:val="center"/>
            </w:pPr>
          </w:p>
        </w:tc>
        <w:tc>
          <w:tcPr>
            <w:tcW w:w="567" w:type="pct"/>
            <w:vMerge w:val="continue"/>
            <w:tcBorders>
              <w:top w:val="nil"/>
              <w:left w:val="nil"/>
              <w:bottom w:val="single" w:color="000000" w:sz="4" w:space="0"/>
              <w:right w:val="single" w:color="000000" w:sz="4" w:space="0"/>
            </w:tcBorders>
            <w:shd w:val="clear" w:color="auto" w:fill="FFFFFF"/>
            <w:vAlign w:val="center"/>
          </w:tcPr>
          <w:p w14:paraId="16BF8557">
            <w:pPr>
              <w:pStyle w:val="115"/>
              <w:jc w:val="center"/>
            </w:pP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216ABEFA">
            <w:pPr>
              <w:pStyle w:val="115"/>
              <w:jc w:val="center"/>
            </w:pPr>
            <w:r>
              <w:rPr>
                <w:rFonts w:hint="eastAsia"/>
              </w:rPr>
              <w:t>080403</w:t>
            </w: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28A0381B">
            <w:pPr>
              <w:pStyle w:val="115"/>
              <w:jc w:val="center"/>
            </w:pPr>
            <w:r>
              <w:rPr>
                <w:rFonts w:hint="eastAsia"/>
              </w:rPr>
              <w:t>中小学用地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0E74B4A9">
            <w:pPr>
              <w:pStyle w:val="115"/>
              <w:jc w:val="center"/>
            </w:pPr>
            <w:r>
              <w:rPr>
                <w:rFonts w:hint="eastAsia"/>
              </w:rPr>
              <w:t>11.62</w:t>
            </w:r>
          </w:p>
        </w:tc>
        <w:tc>
          <w:tcPr>
            <w:tcW w:w="751" w:type="pct"/>
            <w:tcBorders>
              <w:top w:val="single" w:color="000000" w:sz="4" w:space="0"/>
              <w:left w:val="nil"/>
              <w:bottom w:val="single" w:color="000000" w:sz="4" w:space="0"/>
            </w:tcBorders>
            <w:shd w:val="clear" w:color="auto" w:fill="FFFFFF"/>
            <w:vAlign w:val="center"/>
          </w:tcPr>
          <w:p w14:paraId="4ACB2835">
            <w:pPr>
              <w:pStyle w:val="115"/>
              <w:jc w:val="center"/>
            </w:pPr>
            <w:r>
              <w:rPr>
                <w:rFonts w:hint="eastAsia"/>
              </w:rPr>
              <w:t>1.82%</w:t>
            </w:r>
          </w:p>
        </w:tc>
      </w:tr>
      <w:tr w14:paraId="03591239">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214F5C90">
            <w:pPr>
              <w:pStyle w:val="115"/>
              <w:jc w:val="center"/>
            </w:pPr>
          </w:p>
        </w:tc>
        <w:tc>
          <w:tcPr>
            <w:tcW w:w="567" w:type="pct"/>
            <w:vMerge w:val="continue"/>
            <w:tcBorders>
              <w:top w:val="nil"/>
              <w:left w:val="nil"/>
              <w:bottom w:val="single" w:color="000000" w:sz="4" w:space="0"/>
              <w:right w:val="single" w:color="000000" w:sz="4" w:space="0"/>
            </w:tcBorders>
            <w:shd w:val="clear" w:color="auto" w:fill="FFFFFF"/>
            <w:vAlign w:val="center"/>
          </w:tcPr>
          <w:p w14:paraId="54E3C554">
            <w:pPr>
              <w:pStyle w:val="115"/>
              <w:jc w:val="center"/>
            </w:pP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2E2C6486">
            <w:pPr>
              <w:pStyle w:val="115"/>
              <w:jc w:val="center"/>
            </w:pPr>
            <w:r>
              <w:rPr>
                <w:rFonts w:hint="eastAsia"/>
              </w:rPr>
              <w:t>080404</w:t>
            </w: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55AF110F">
            <w:pPr>
              <w:pStyle w:val="115"/>
              <w:jc w:val="center"/>
            </w:pPr>
            <w:r>
              <w:rPr>
                <w:rFonts w:hint="eastAsia"/>
              </w:rPr>
              <w:t>幼儿园用地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5A119F14">
            <w:pPr>
              <w:pStyle w:val="115"/>
              <w:jc w:val="center"/>
            </w:pPr>
            <w:r>
              <w:rPr>
                <w:rFonts w:hint="eastAsia"/>
              </w:rPr>
              <w:t>2.63</w:t>
            </w:r>
          </w:p>
        </w:tc>
        <w:tc>
          <w:tcPr>
            <w:tcW w:w="751" w:type="pct"/>
            <w:tcBorders>
              <w:top w:val="single" w:color="000000" w:sz="4" w:space="0"/>
              <w:left w:val="nil"/>
              <w:bottom w:val="single" w:color="000000" w:sz="4" w:space="0"/>
            </w:tcBorders>
            <w:shd w:val="clear" w:color="auto" w:fill="FFFFFF"/>
            <w:vAlign w:val="center"/>
          </w:tcPr>
          <w:p w14:paraId="3D8DF5F5">
            <w:pPr>
              <w:pStyle w:val="115"/>
              <w:jc w:val="center"/>
            </w:pPr>
            <w:r>
              <w:rPr>
                <w:rFonts w:hint="eastAsia"/>
              </w:rPr>
              <w:t>0.41%</w:t>
            </w:r>
          </w:p>
        </w:tc>
      </w:tr>
      <w:tr w14:paraId="274374E5">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193B627E">
            <w:pPr>
              <w:pStyle w:val="115"/>
              <w:jc w:val="center"/>
            </w:pPr>
          </w:p>
        </w:tc>
        <w:tc>
          <w:tcPr>
            <w:tcW w:w="567" w:type="pct"/>
            <w:vMerge w:val="restart"/>
            <w:tcBorders>
              <w:top w:val="nil"/>
              <w:left w:val="nil"/>
              <w:bottom w:val="single" w:color="000000" w:sz="4" w:space="0"/>
              <w:right w:val="single" w:color="000000" w:sz="4" w:space="0"/>
            </w:tcBorders>
            <w:shd w:val="clear" w:color="auto" w:fill="FFFFFF"/>
            <w:vAlign w:val="center"/>
          </w:tcPr>
          <w:p w14:paraId="098E35A2">
            <w:pPr>
              <w:pStyle w:val="115"/>
              <w:jc w:val="center"/>
            </w:pPr>
            <w:r>
              <w:rPr>
                <w:rFonts w:hint="eastAsia"/>
              </w:rPr>
              <w:t>0805</w:t>
            </w: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169E7C81">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31A97A77">
            <w:pPr>
              <w:pStyle w:val="115"/>
              <w:jc w:val="center"/>
            </w:pPr>
            <w:r>
              <w:rPr>
                <w:rFonts w:hint="eastAsia"/>
              </w:rPr>
              <w:t>体育用地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0F944535">
            <w:pPr>
              <w:pStyle w:val="115"/>
              <w:jc w:val="center"/>
            </w:pPr>
            <w:r>
              <w:rPr>
                <w:rFonts w:hint="eastAsia"/>
              </w:rPr>
              <w:t>4.02</w:t>
            </w:r>
          </w:p>
        </w:tc>
        <w:tc>
          <w:tcPr>
            <w:tcW w:w="751" w:type="pct"/>
            <w:tcBorders>
              <w:top w:val="single" w:color="000000" w:sz="4" w:space="0"/>
              <w:left w:val="nil"/>
              <w:bottom w:val="single" w:color="000000" w:sz="4" w:space="0"/>
            </w:tcBorders>
            <w:shd w:val="clear" w:color="auto" w:fill="FFFFFF"/>
            <w:vAlign w:val="center"/>
          </w:tcPr>
          <w:p w14:paraId="1CBB5588">
            <w:pPr>
              <w:pStyle w:val="115"/>
              <w:jc w:val="center"/>
            </w:pPr>
            <w:r>
              <w:rPr>
                <w:rFonts w:hint="eastAsia"/>
              </w:rPr>
              <w:t>0.63%</w:t>
            </w:r>
          </w:p>
        </w:tc>
      </w:tr>
      <w:tr w14:paraId="25D7516A">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0D9940F5">
            <w:pPr>
              <w:pStyle w:val="115"/>
              <w:jc w:val="center"/>
            </w:pPr>
          </w:p>
        </w:tc>
        <w:tc>
          <w:tcPr>
            <w:tcW w:w="567" w:type="pct"/>
            <w:vMerge w:val="continue"/>
            <w:tcBorders>
              <w:top w:val="nil"/>
              <w:left w:val="nil"/>
              <w:bottom w:val="single" w:color="000000" w:sz="4" w:space="0"/>
              <w:right w:val="single" w:color="000000" w:sz="4" w:space="0"/>
            </w:tcBorders>
            <w:shd w:val="clear" w:color="auto" w:fill="FFFFFF"/>
            <w:vAlign w:val="center"/>
          </w:tcPr>
          <w:p w14:paraId="638631B1">
            <w:pPr>
              <w:pStyle w:val="115"/>
              <w:jc w:val="center"/>
            </w:pP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7F5D2D45">
            <w:pPr>
              <w:pStyle w:val="115"/>
              <w:jc w:val="center"/>
            </w:pPr>
            <w:r>
              <w:rPr>
                <w:rFonts w:hint="eastAsia"/>
              </w:rPr>
              <w:t>080501</w:t>
            </w: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0980425B">
            <w:pPr>
              <w:pStyle w:val="115"/>
              <w:jc w:val="center"/>
            </w:pPr>
            <w:r>
              <w:rPr>
                <w:rFonts w:hint="eastAsia"/>
              </w:rPr>
              <w:t>体育场馆用地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1A4D8089">
            <w:pPr>
              <w:pStyle w:val="115"/>
              <w:jc w:val="center"/>
            </w:pPr>
            <w:r>
              <w:rPr>
                <w:rFonts w:hint="eastAsia"/>
              </w:rPr>
              <w:t>4.02</w:t>
            </w:r>
          </w:p>
        </w:tc>
        <w:tc>
          <w:tcPr>
            <w:tcW w:w="751" w:type="pct"/>
            <w:tcBorders>
              <w:top w:val="single" w:color="000000" w:sz="4" w:space="0"/>
              <w:left w:val="nil"/>
              <w:bottom w:val="single" w:color="000000" w:sz="4" w:space="0"/>
            </w:tcBorders>
            <w:shd w:val="clear" w:color="auto" w:fill="FFFFFF"/>
            <w:vAlign w:val="center"/>
          </w:tcPr>
          <w:p w14:paraId="497C2283">
            <w:pPr>
              <w:pStyle w:val="115"/>
              <w:jc w:val="center"/>
            </w:pPr>
            <w:r>
              <w:rPr>
                <w:rFonts w:hint="eastAsia"/>
              </w:rPr>
              <w:t>0.63%</w:t>
            </w:r>
          </w:p>
        </w:tc>
      </w:tr>
      <w:tr w14:paraId="71DA8AB0">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50BDC847">
            <w:pPr>
              <w:pStyle w:val="115"/>
              <w:jc w:val="center"/>
            </w:pPr>
          </w:p>
        </w:tc>
        <w:tc>
          <w:tcPr>
            <w:tcW w:w="567" w:type="pct"/>
            <w:vMerge w:val="restart"/>
            <w:tcBorders>
              <w:top w:val="nil"/>
              <w:left w:val="nil"/>
              <w:bottom w:val="single" w:color="000000" w:sz="4" w:space="0"/>
              <w:right w:val="single" w:color="000000" w:sz="4" w:space="0"/>
            </w:tcBorders>
            <w:shd w:val="clear" w:color="auto" w:fill="FFFFFF"/>
            <w:vAlign w:val="center"/>
          </w:tcPr>
          <w:p w14:paraId="65D9BF85">
            <w:pPr>
              <w:pStyle w:val="115"/>
              <w:jc w:val="center"/>
            </w:pPr>
            <w:r>
              <w:rPr>
                <w:rFonts w:hint="eastAsia"/>
              </w:rPr>
              <w:t>0806</w:t>
            </w: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2D4B160D">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52CE87C5">
            <w:pPr>
              <w:pStyle w:val="115"/>
              <w:jc w:val="center"/>
            </w:pPr>
            <w:r>
              <w:rPr>
                <w:rFonts w:hint="eastAsia"/>
              </w:rPr>
              <w:t>医疗卫生用地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3679E7FF">
            <w:pPr>
              <w:pStyle w:val="115"/>
              <w:jc w:val="center"/>
            </w:pPr>
            <w:r>
              <w:rPr>
                <w:rFonts w:hint="eastAsia"/>
              </w:rPr>
              <w:t>8.25</w:t>
            </w:r>
          </w:p>
        </w:tc>
        <w:tc>
          <w:tcPr>
            <w:tcW w:w="751" w:type="pct"/>
            <w:tcBorders>
              <w:top w:val="single" w:color="000000" w:sz="4" w:space="0"/>
              <w:left w:val="nil"/>
              <w:bottom w:val="single" w:color="000000" w:sz="4" w:space="0"/>
            </w:tcBorders>
            <w:shd w:val="clear" w:color="auto" w:fill="FFFFFF"/>
            <w:vAlign w:val="center"/>
          </w:tcPr>
          <w:p w14:paraId="4765065A">
            <w:pPr>
              <w:pStyle w:val="115"/>
              <w:jc w:val="center"/>
            </w:pPr>
            <w:r>
              <w:rPr>
                <w:rFonts w:hint="eastAsia"/>
              </w:rPr>
              <w:t>1.29%</w:t>
            </w:r>
          </w:p>
        </w:tc>
      </w:tr>
      <w:tr w14:paraId="7BC4B49B">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7A86D073">
            <w:pPr>
              <w:pStyle w:val="115"/>
              <w:jc w:val="center"/>
            </w:pPr>
          </w:p>
        </w:tc>
        <w:tc>
          <w:tcPr>
            <w:tcW w:w="567" w:type="pct"/>
            <w:vMerge w:val="continue"/>
            <w:tcBorders>
              <w:top w:val="nil"/>
              <w:left w:val="nil"/>
              <w:bottom w:val="single" w:color="000000" w:sz="4" w:space="0"/>
              <w:right w:val="single" w:color="000000" w:sz="4" w:space="0"/>
            </w:tcBorders>
            <w:shd w:val="clear" w:color="auto" w:fill="FFFFFF"/>
            <w:vAlign w:val="center"/>
          </w:tcPr>
          <w:p w14:paraId="6E4C87C3">
            <w:pPr>
              <w:pStyle w:val="115"/>
              <w:jc w:val="center"/>
            </w:pP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3205AC9F">
            <w:pPr>
              <w:pStyle w:val="115"/>
              <w:jc w:val="center"/>
            </w:pPr>
            <w:r>
              <w:rPr>
                <w:rFonts w:hint="eastAsia"/>
              </w:rPr>
              <w:t>080601</w:t>
            </w: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1637DD01">
            <w:pPr>
              <w:pStyle w:val="115"/>
              <w:jc w:val="center"/>
            </w:pPr>
            <w:r>
              <w:rPr>
                <w:rFonts w:hint="eastAsia"/>
              </w:rPr>
              <w:t>医院用地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2E73A63A">
            <w:pPr>
              <w:pStyle w:val="115"/>
              <w:jc w:val="center"/>
            </w:pPr>
            <w:r>
              <w:rPr>
                <w:rFonts w:hint="eastAsia"/>
              </w:rPr>
              <w:t>3.91</w:t>
            </w:r>
          </w:p>
        </w:tc>
        <w:tc>
          <w:tcPr>
            <w:tcW w:w="751" w:type="pct"/>
            <w:tcBorders>
              <w:top w:val="single" w:color="000000" w:sz="4" w:space="0"/>
              <w:left w:val="nil"/>
              <w:bottom w:val="single" w:color="000000" w:sz="4" w:space="0"/>
            </w:tcBorders>
            <w:shd w:val="clear" w:color="auto" w:fill="FFFFFF"/>
            <w:vAlign w:val="center"/>
          </w:tcPr>
          <w:p w14:paraId="1D072D56">
            <w:pPr>
              <w:pStyle w:val="115"/>
              <w:jc w:val="center"/>
            </w:pPr>
            <w:r>
              <w:rPr>
                <w:rFonts w:hint="eastAsia"/>
              </w:rPr>
              <w:t>0.61%</w:t>
            </w:r>
          </w:p>
        </w:tc>
      </w:tr>
      <w:tr w14:paraId="4807CB45">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2260EF59">
            <w:pPr>
              <w:pStyle w:val="115"/>
              <w:jc w:val="center"/>
            </w:pPr>
          </w:p>
        </w:tc>
        <w:tc>
          <w:tcPr>
            <w:tcW w:w="567" w:type="pct"/>
            <w:vMerge w:val="continue"/>
            <w:tcBorders>
              <w:top w:val="nil"/>
              <w:left w:val="nil"/>
              <w:bottom w:val="single" w:color="000000" w:sz="4" w:space="0"/>
              <w:right w:val="single" w:color="000000" w:sz="4" w:space="0"/>
            </w:tcBorders>
            <w:shd w:val="clear" w:color="auto" w:fill="FFFFFF"/>
            <w:vAlign w:val="center"/>
          </w:tcPr>
          <w:p w14:paraId="568E7E81">
            <w:pPr>
              <w:pStyle w:val="115"/>
              <w:jc w:val="center"/>
            </w:pP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05068ADC">
            <w:pPr>
              <w:pStyle w:val="115"/>
              <w:jc w:val="center"/>
            </w:pPr>
            <w:r>
              <w:rPr>
                <w:rFonts w:hint="eastAsia"/>
              </w:rPr>
              <w:t>080602</w:t>
            </w: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63A45166">
            <w:pPr>
              <w:pStyle w:val="115"/>
              <w:jc w:val="center"/>
            </w:pPr>
            <w:r>
              <w:rPr>
                <w:rFonts w:hint="eastAsia"/>
              </w:rPr>
              <w:t>基层医疗卫生设施用地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5D845D13">
            <w:pPr>
              <w:pStyle w:val="115"/>
              <w:jc w:val="center"/>
            </w:pPr>
            <w:r>
              <w:rPr>
                <w:rFonts w:hint="eastAsia"/>
              </w:rPr>
              <w:t>0.81</w:t>
            </w:r>
          </w:p>
        </w:tc>
        <w:tc>
          <w:tcPr>
            <w:tcW w:w="751" w:type="pct"/>
            <w:tcBorders>
              <w:top w:val="single" w:color="000000" w:sz="4" w:space="0"/>
              <w:left w:val="nil"/>
              <w:bottom w:val="single" w:color="000000" w:sz="4" w:space="0"/>
            </w:tcBorders>
            <w:shd w:val="clear" w:color="auto" w:fill="FFFFFF"/>
            <w:vAlign w:val="center"/>
          </w:tcPr>
          <w:p w14:paraId="47714799">
            <w:pPr>
              <w:pStyle w:val="115"/>
              <w:jc w:val="center"/>
            </w:pPr>
            <w:r>
              <w:rPr>
                <w:rFonts w:hint="eastAsia"/>
              </w:rPr>
              <w:t>0.13%</w:t>
            </w:r>
          </w:p>
        </w:tc>
      </w:tr>
      <w:tr w14:paraId="68C00574">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0A5C21FE">
            <w:pPr>
              <w:pStyle w:val="115"/>
              <w:jc w:val="center"/>
            </w:pPr>
          </w:p>
        </w:tc>
        <w:tc>
          <w:tcPr>
            <w:tcW w:w="567" w:type="pct"/>
            <w:vMerge w:val="continue"/>
            <w:tcBorders>
              <w:top w:val="nil"/>
              <w:left w:val="nil"/>
              <w:bottom w:val="single" w:color="000000" w:sz="4" w:space="0"/>
              <w:right w:val="single" w:color="000000" w:sz="4" w:space="0"/>
            </w:tcBorders>
            <w:shd w:val="clear" w:color="auto" w:fill="FFFFFF"/>
            <w:vAlign w:val="center"/>
          </w:tcPr>
          <w:p w14:paraId="2E695790">
            <w:pPr>
              <w:pStyle w:val="115"/>
              <w:jc w:val="center"/>
            </w:pP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05BF50C1">
            <w:pPr>
              <w:pStyle w:val="115"/>
              <w:jc w:val="center"/>
            </w:pPr>
            <w:r>
              <w:rPr>
                <w:rFonts w:hint="eastAsia"/>
              </w:rPr>
              <w:t>080603</w:t>
            </w: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43A7A352">
            <w:pPr>
              <w:pStyle w:val="115"/>
              <w:jc w:val="center"/>
            </w:pPr>
            <w:r>
              <w:rPr>
                <w:rFonts w:hint="eastAsia"/>
              </w:rPr>
              <w:t>公共卫生用地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118A15AA">
            <w:pPr>
              <w:pStyle w:val="115"/>
              <w:jc w:val="center"/>
            </w:pPr>
            <w:r>
              <w:rPr>
                <w:rFonts w:hint="eastAsia"/>
              </w:rPr>
              <w:t>3.53</w:t>
            </w:r>
          </w:p>
        </w:tc>
        <w:tc>
          <w:tcPr>
            <w:tcW w:w="751" w:type="pct"/>
            <w:tcBorders>
              <w:top w:val="single" w:color="000000" w:sz="4" w:space="0"/>
              <w:left w:val="nil"/>
              <w:bottom w:val="single" w:color="000000" w:sz="4" w:space="0"/>
            </w:tcBorders>
            <w:shd w:val="clear" w:color="auto" w:fill="FFFFFF"/>
            <w:vAlign w:val="center"/>
          </w:tcPr>
          <w:p w14:paraId="7A2AC6FE">
            <w:pPr>
              <w:pStyle w:val="115"/>
              <w:jc w:val="center"/>
            </w:pPr>
            <w:r>
              <w:rPr>
                <w:rFonts w:hint="eastAsia"/>
              </w:rPr>
              <w:t>0.55%</w:t>
            </w:r>
          </w:p>
        </w:tc>
      </w:tr>
      <w:tr w14:paraId="728C981F">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68FC4ABE">
            <w:pPr>
              <w:pStyle w:val="115"/>
              <w:jc w:val="center"/>
            </w:pPr>
          </w:p>
        </w:tc>
        <w:tc>
          <w:tcPr>
            <w:tcW w:w="567" w:type="pct"/>
            <w:tcBorders>
              <w:top w:val="single" w:color="000000" w:sz="4" w:space="0"/>
              <w:left w:val="nil"/>
              <w:bottom w:val="single" w:color="000000" w:sz="4" w:space="0"/>
              <w:right w:val="single" w:color="000000" w:sz="4" w:space="0"/>
            </w:tcBorders>
            <w:shd w:val="clear" w:color="auto" w:fill="FFFFFF"/>
            <w:vAlign w:val="center"/>
          </w:tcPr>
          <w:p w14:paraId="2935D972">
            <w:pPr>
              <w:pStyle w:val="115"/>
              <w:jc w:val="center"/>
            </w:pPr>
            <w:r>
              <w:rPr>
                <w:rFonts w:hint="eastAsia"/>
              </w:rPr>
              <w:t>0807</w:t>
            </w: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3188D19A">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395C1824">
            <w:pPr>
              <w:pStyle w:val="115"/>
              <w:jc w:val="center"/>
            </w:pPr>
            <w:r>
              <w:rPr>
                <w:rFonts w:hint="eastAsia"/>
              </w:rPr>
              <w:t>社会福利用地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311EC154">
            <w:pPr>
              <w:pStyle w:val="115"/>
              <w:jc w:val="center"/>
            </w:pPr>
            <w:r>
              <w:rPr>
                <w:rFonts w:hint="eastAsia"/>
              </w:rPr>
              <w:t>2.59</w:t>
            </w:r>
          </w:p>
        </w:tc>
        <w:tc>
          <w:tcPr>
            <w:tcW w:w="751" w:type="pct"/>
            <w:tcBorders>
              <w:top w:val="single" w:color="000000" w:sz="4" w:space="0"/>
              <w:left w:val="nil"/>
              <w:bottom w:val="single" w:color="000000" w:sz="4" w:space="0"/>
            </w:tcBorders>
            <w:shd w:val="clear" w:color="auto" w:fill="FFFFFF"/>
            <w:vAlign w:val="center"/>
          </w:tcPr>
          <w:p w14:paraId="09073578">
            <w:pPr>
              <w:pStyle w:val="115"/>
              <w:jc w:val="center"/>
            </w:pPr>
            <w:r>
              <w:rPr>
                <w:rFonts w:hint="eastAsia"/>
              </w:rPr>
              <w:t>0.41%</w:t>
            </w:r>
          </w:p>
        </w:tc>
      </w:tr>
      <w:tr w14:paraId="7C8C2146">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restart"/>
            <w:tcBorders>
              <w:top w:val="nil"/>
              <w:bottom w:val="single" w:color="000000" w:sz="4" w:space="0"/>
              <w:right w:val="single" w:color="000000" w:sz="4" w:space="0"/>
            </w:tcBorders>
            <w:shd w:val="clear" w:color="auto" w:fill="FFFFFF"/>
            <w:vAlign w:val="center"/>
          </w:tcPr>
          <w:p w14:paraId="2A60BFA9">
            <w:pPr>
              <w:pStyle w:val="115"/>
              <w:jc w:val="center"/>
            </w:pPr>
            <w:r>
              <w:rPr>
                <w:rFonts w:hint="eastAsia"/>
              </w:rPr>
              <w:t>09</w:t>
            </w:r>
          </w:p>
        </w:tc>
        <w:tc>
          <w:tcPr>
            <w:tcW w:w="567" w:type="pct"/>
            <w:tcBorders>
              <w:top w:val="single" w:color="000000" w:sz="4" w:space="0"/>
              <w:left w:val="nil"/>
              <w:bottom w:val="single" w:color="000000" w:sz="4" w:space="0"/>
              <w:right w:val="single" w:color="000000" w:sz="4" w:space="0"/>
            </w:tcBorders>
            <w:shd w:val="clear" w:color="auto" w:fill="FFFFFF"/>
            <w:vAlign w:val="center"/>
          </w:tcPr>
          <w:p w14:paraId="511D59AD">
            <w:pPr>
              <w:pStyle w:val="115"/>
              <w:jc w:val="center"/>
            </w:pP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6B635BD8">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57F65A55">
            <w:pPr>
              <w:pStyle w:val="115"/>
              <w:jc w:val="center"/>
            </w:pPr>
            <w:r>
              <w:rPr>
                <w:rFonts w:hint="eastAsia"/>
              </w:rPr>
              <w:t>商业服务业用地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2DB5F9E8">
            <w:pPr>
              <w:pStyle w:val="115"/>
              <w:jc w:val="center"/>
            </w:pPr>
            <w:r>
              <w:rPr>
                <w:rFonts w:hint="eastAsia"/>
              </w:rPr>
              <w:t>57.70</w:t>
            </w:r>
          </w:p>
        </w:tc>
        <w:tc>
          <w:tcPr>
            <w:tcW w:w="751" w:type="pct"/>
            <w:tcBorders>
              <w:top w:val="single" w:color="000000" w:sz="4" w:space="0"/>
              <w:left w:val="nil"/>
              <w:bottom w:val="single" w:color="000000" w:sz="4" w:space="0"/>
            </w:tcBorders>
            <w:shd w:val="clear" w:color="auto" w:fill="FFFFFF"/>
            <w:vAlign w:val="center"/>
          </w:tcPr>
          <w:p w14:paraId="03300206">
            <w:pPr>
              <w:pStyle w:val="115"/>
              <w:jc w:val="center"/>
            </w:pPr>
            <w:r>
              <w:rPr>
                <w:rFonts w:hint="eastAsia"/>
              </w:rPr>
              <w:t>9.02%</w:t>
            </w:r>
          </w:p>
        </w:tc>
      </w:tr>
      <w:tr w14:paraId="5E64F687">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29DCC8C3">
            <w:pPr>
              <w:pStyle w:val="115"/>
              <w:jc w:val="center"/>
            </w:pPr>
          </w:p>
        </w:tc>
        <w:tc>
          <w:tcPr>
            <w:tcW w:w="567" w:type="pct"/>
            <w:vMerge w:val="restart"/>
            <w:tcBorders>
              <w:top w:val="nil"/>
              <w:left w:val="nil"/>
              <w:bottom w:val="single" w:color="000000" w:sz="4" w:space="0"/>
              <w:right w:val="single" w:color="000000" w:sz="4" w:space="0"/>
            </w:tcBorders>
            <w:shd w:val="clear" w:color="auto" w:fill="FFFFFF"/>
            <w:vAlign w:val="center"/>
          </w:tcPr>
          <w:p w14:paraId="524891CC">
            <w:pPr>
              <w:pStyle w:val="115"/>
              <w:jc w:val="center"/>
            </w:pPr>
            <w:r>
              <w:rPr>
                <w:rFonts w:hint="eastAsia"/>
              </w:rPr>
              <w:t>0901</w:t>
            </w: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44BD768A">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0EA7AD20">
            <w:pPr>
              <w:pStyle w:val="115"/>
              <w:jc w:val="center"/>
            </w:pPr>
            <w:r>
              <w:rPr>
                <w:rFonts w:hint="eastAsia"/>
              </w:rPr>
              <w:t>商业用地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5298F286">
            <w:pPr>
              <w:pStyle w:val="115"/>
              <w:jc w:val="center"/>
            </w:pPr>
            <w:r>
              <w:rPr>
                <w:rFonts w:hint="eastAsia"/>
              </w:rPr>
              <w:t>38.46</w:t>
            </w:r>
          </w:p>
        </w:tc>
        <w:tc>
          <w:tcPr>
            <w:tcW w:w="751" w:type="pct"/>
            <w:tcBorders>
              <w:top w:val="single" w:color="000000" w:sz="4" w:space="0"/>
              <w:left w:val="nil"/>
              <w:bottom w:val="single" w:color="000000" w:sz="4" w:space="0"/>
            </w:tcBorders>
            <w:shd w:val="clear" w:color="auto" w:fill="FFFFFF"/>
            <w:vAlign w:val="center"/>
          </w:tcPr>
          <w:p w14:paraId="12CC8300">
            <w:pPr>
              <w:pStyle w:val="115"/>
              <w:jc w:val="center"/>
            </w:pPr>
            <w:r>
              <w:rPr>
                <w:rFonts w:hint="eastAsia"/>
              </w:rPr>
              <w:t>6.01%</w:t>
            </w:r>
          </w:p>
        </w:tc>
      </w:tr>
      <w:tr w14:paraId="796B529B">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77682867">
            <w:pPr>
              <w:pStyle w:val="115"/>
              <w:jc w:val="center"/>
            </w:pPr>
          </w:p>
        </w:tc>
        <w:tc>
          <w:tcPr>
            <w:tcW w:w="567" w:type="pct"/>
            <w:vMerge w:val="continue"/>
            <w:tcBorders>
              <w:top w:val="nil"/>
              <w:left w:val="nil"/>
              <w:bottom w:val="single" w:color="000000" w:sz="4" w:space="0"/>
              <w:right w:val="single" w:color="000000" w:sz="4" w:space="0"/>
            </w:tcBorders>
            <w:shd w:val="clear" w:color="auto" w:fill="FFFFFF"/>
            <w:vAlign w:val="center"/>
          </w:tcPr>
          <w:p w14:paraId="3455BDEB">
            <w:pPr>
              <w:pStyle w:val="115"/>
              <w:jc w:val="center"/>
            </w:pP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79DF58BA">
            <w:pPr>
              <w:pStyle w:val="115"/>
              <w:jc w:val="center"/>
            </w:pPr>
            <w:r>
              <w:rPr>
                <w:rFonts w:hint="eastAsia"/>
              </w:rPr>
              <w:t>090101</w:t>
            </w: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4E961A32">
            <w:pPr>
              <w:pStyle w:val="115"/>
              <w:jc w:val="center"/>
            </w:pPr>
            <w:r>
              <w:rPr>
                <w:rFonts w:hint="eastAsia"/>
              </w:rPr>
              <w:t>零售商业用地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15D2DC71">
            <w:pPr>
              <w:pStyle w:val="115"/>
              <w:jc w:val="center"/>
            </w:pPr>
            <w:r>
              <w:rPr>
                <w:rFonts w:hint="eastAsia"/>
              </w:rPr>
              <w:t>5.00</w:t>
            </w:r>
          </w:p>
        </w:tc>
        <w:tc>
          <w:tcPr>
            <w:tcW w:w="751" w:type="pct"/>
            <w:tcBorders>
              <w:top w:val="single" w:color="000000" w:sz="4" w:space="0"/>
              <w:left w:val="nil"/>
              <w:bottom w:val="single" w:color="000000" w:sz="4" w:space="0"/>
            </w:tcBorders>
            <w:shd w:val="clear" w:color="auto" w:fill="FFFFFF"/>
            <w:vAlign w:val="center"/>
          </w:tcPr>
          <w:p w14:paraId="7F67240E">
            <w:pPr>
              <w:pStyle w:val="115"/>
              <w:jc w:val="center"/>
            </w:pPr>
            <w:r>
              <w:rPr>
                <w:rFonts w:hint="eastAsia"/>
              </w:rPr>
              <w:t>0.78%</w:t>
            </w:r>
          </w:p>
        </w:tc>
      </w:tr>
      <w:tr w14:paraId="13FF5417">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5B4A36FB">
            <w:pPr>
              <w:pStyle w:val="115"/>
              <w:jc w:val="center"/>
            </w:pPr>
          </w:p>
        </w:tc>
        <w:tc>
          <w:tcPr>
            <w:tcW w:w="567" w:type="pct"/>
            <w:vMerge w:val="continue"/>
            <w:tcBorders>
              <w:top w:val="nil"/>
              <w:left w:val="nil"/>
              <w:bottom w:val="single" w:color="000000" w:sz="4" w:space="0"/>
              <w:right w:val="single" w:color="000000" w:sz="4" w:space="0"/>
            </w:tcBorders>
            <w:shd w:val="clear" w:color="auto" w:fill="FFFFFF"/>
            <w:vAlign w:val="center"/>
          </w:tcPr>
          <w:p w14:paraId="5A36EEF6">
            <w:pPr>
              <w:pStyle w:val="115"/>
              <w:jc w:val="center"/>
            </w:pP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3A33EC54">
            <w:pPr>
              <w:pStyle w:val="115"/>
              <w:jc w:val="center"/>
            </w:pPr>
            <w:r>
              <w:rPr>
                <w:rFonts w:hint="eastAsia"/>
              </w:rPr>
              <w:t>090104</w:t>
            </w: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509B006C">
            <w:pPr>
              <w:pStyle w:val="115"/>
              <w:jc w:val="center"/>
            </w:pPr>
            <w:r>
              <w:rPr>
                <w:rFonts w:hint="eastAsia"/>
              </w:rPr>
              <w:t>旅馆用地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7331E6D4">
            <w:pPr>
              <w:pStyle w:val="115"/>
              <w:jc w:val="center"/>
            </w:pPr>
            <w:r>
              <w:rPr>
                <w:rFonts w:hint="eastAsia"/>
              </w:rPr>
              <w:t>5.80</w:t>
            </w:r>
          </w:p>
        </w:tc>
        <w:tc>
          <w:tcPr>
            <w:tcW w:w="751" w:type="pct"/>
            <w:tcBorders>
              <w:top w:val="single" w:color="000000" w:sz="4" w:space="0"/>
              <w:left w:val="nil"/>
              <w:bottom w:val="single" w:color="000000" w:sz="4" w:space="0"/>
            </w:tcBorders>
            <w:shd w:val="clear" w:color="auto" w:fill="FFFFFF"/>
            <w:vAlign w:val="center"/>
          </w:tcPr>
          <w:p w14:paraId="5EBA8FB9">
            <w:pPr>
              <w:pStyle w:val="115"/>
              <w:jc w:val="center"/>
            </w:pPr>
            <w:r>
              <w:rPr>
                <w:rFonts w:hint="eastAsia"/>
              </w:rPr>
              <w:t>0.91%</w:t>
            </w:r>
          </w:p>
        </w:tc>
      </w:tr>
      <w:tr w14:paraId="70356E91">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45C2BA27">
            <w:pPr>
              <w:pStyle w:val="115"/>
              <w:jc w:val="center"/>
            </w:pPr>
          </w:p>
        </w:tc>
        <w:tc>
          <w:tcPr>
            <w:tcW w:w="567" w:type="pct"/>
            <w:vMerge w:val="continue"/>
            <w:tcBorders>
              <w:top w:val="nil"/>
              <w:left w:val="nil"/>
              <w:bottom w:val="single" w:color="000000" w:sz="4" w:space="0"/>
              <w:right w:val="single" w:color="000000" w:sz="4" w:space="0"/>
            </w:tcBorders>
            <w:shd w:val="clear" w:color="auto" w:fill="FFFFFF"/>
            <w:vAlign w:val="center"/>
          </w:tcPr>
          <w:p w14:paraId="22DDCCB1">
            <w:pPr>
              <w:pStyle w:val="115"/>
              <w:jc w:val="center"/>
            </w:pP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3F6B195C">
            <w:pPr>
              <w:pStyle w:val="115"/>
              <w:jc w:val="center"/>
            </w:pPr>
            <w:r>
              <w:rPr>
                <w:rFonts w:hint="eastAsia"/>
              </w:rPr>
              <w:t>090105</w:t>
            </w: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1E4E756E">
            <w:pPr>
              <w:pStyle w:val="115"/>
              <w:jc w:val="center"/>
            </w:pPr>
            <w:r>
              <w:rPr>
                <w:rFonts w:hint="eastAsia"/>
              </w:rPr>
              <w:t>公用设施营业网点用地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3283AF4E">
            <w:pPr>
              <w:pStyle w:val="115"/>
              <w:jc w:val="center"/>
            </w:pPr>
            <w:r>
              <w:rPr>
                <w:rFonts w:hint="eastAsia"/>
              </w:rPr>
              <w:t>1.33</w:t>
            </w:r>
          </w:p>
        </w:tc>
        <w:tc>
          <w:tcPr>
            <w:tcW w:w="751" w:type="pct"/>
            <w:tcBorders>
              <w:top w:val="single" w:color="000000" w:sz="4" w:space="0"/>
              <w:left w:val="nil"/>
              <w:bottom w:val="single" w:color="000000" w:sz="4" w:space="0"/>
            </w:tcBorders>
            <w:shd w:val="clear" w:color="auto" w:fill="FFFFFF"/>
            <w:vAlign w:val="center"/>
          </w:tcPr>
          <w:p w14:paraId="5B76E4BA">
            <w:pPr>
              <w:pStyle w:val="115"/>
              <w:jc w:val="center"/>
            </w:pPr>
            <w:r>
              <w:rPr>
                <w:rFonts w:hint="eastAsia"/>
              </w:rPr>
              <w:t>0.21%</w:t>
            </w:r>
          </w:p>
        </w:tc>
      </w:tr>
      <w:tr w14:paraId="1067C169">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2B0579F0">
            <w:pPr>
              <w:pStyle w:val="115"/>
              <w:jc w:val="center"/>
            </w:pPr>
          </w:p>
        </w:tc>
        <w:tc>
          <w:tcPr>
            <w:tcW w:w="567" w:type="pct"/>
            <w:tcBorders>
              <w:top w:val="single" w:color="000000" w:sz="4" w:space="0"/>
              <w:left w:val="nil"/>
              <w:bottom w:val="single" w:color="000000" w:sz="4" w:space="0"/>
              <w:right w:val="single" w:color="000000" w:sz="4" w:space="0"/>
            </w:tcBorders>
            <w:shd w:val="clear" w:color="auto" w:fill="FFFFFF"/>
            <w:vAlign w:val="center"/>
          </w:tcPr>
          <w:p w14:paraId="6055E8D0">
            <w:pPr>
              <w:pStyle w:val="115"/>
              <w:jc w:val="center"/>
            </w:pPr>
            <w:r>
              <w:rPr>
                <w:rFonts w:hint="eastAsia"/>
              </w:rPr>
              <w:t>0902</w:t>
            </w: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058AA921">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58096005">
            <w:pPr>
              <w:pStyle w:val="115"/>
              <w:jc w:val="center"/>
            </w:pPr>
            <w:r>
              <w:rPr>
                <w:rFonts w:hint="eastAsia"/>
              </w:rPr>
              <w:t>商务金融用地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5B1185AB">
            <w:pPr>
              <w:pStyle w:val="115"/>
              <w:jc w:val="center"/>
            </w:pPr>
            <w:r>
              <w:rPr>
                <w:rFonts w:hint="eastAsia"/>
              </w:rPr>
              <w:t>6.86</w:t>
            </w:r>
          </w:p>
        </w:tc>
        <w:tc>
          <w:tcPr>
            <w:tcW w:w="751" w:type="pct"/>
            <w:tcBorders>
              <w:top w:val="single" w:color="000000" w:sz="4" w:space="0"/>
              <w:left w:val="nil"/>
              <w:bottom w:val="single" w:color="000000" w:sz="4" w:space="0"/>
            </w:tcBorders>
            <w:shd w:val="clear" w:color="auto" w:fill="FFFFFF"/>
            <w:vAlign w:val="center"/>
          </w:tcPr>
          <w:p w14:paraId="1D28CA7B">
            <w:pPr>
              <w:pStyle w:val="115"/>
              <w:jc w:val="center"/>
            </w:pPr>
            <w:r>
              <w:rPr>
                <w:rFonts w:hint="eastAsia"/>
              </w:rPr>
              <w:t>1.07%</w:t>
            </w:r>
          </w:p>
        </w:tc>
      </w:tr>
      <w:tr w14:paraId="3C05FDB0">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5963FF24">
            <w:pPr>
              <w:pStyle w:val="115"/>
              <w:jc w:val="center"/>
            </w:pPr>
          </w:p>
        </w:tc>
        <w:tc>
          <w:tcPr>
            <w:tcW w:w="567" w:type="pct"/>
            <w:tcBorders>
              <w:top w:val="single" w:color="000000" w:sz="4" w:space="0"/>
              <w:left w:val="nil"/>
              <w:bottom w:val="single" w:color="000000" w:sz="4" w:space="0"/>
              <w:right w:val="single" w:color="000000" w:sz="4" w:space="0"/>
            </w:tcBorders>
            <w:shd w:val="clear" w:color="auto" w:fill="FFFFFF"/>
            <w:vAlign w:val="center"/>
          </w:tcPr>
          <w:p w14:paraId="43D3018A">
            <w:pPr>
              <w:pStyle w:val="115"/>
              <w:jc w:val="center"/>
            </w:pPr>
            <w:r>
              <w:rPr>
                <w:rFonts w:hint="eastAsia"/>
              </w:rPr>
              <w:t>0904</w:t>
            </w: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0E3C900B">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18A05296">
            <w:pPr>
              <w:pStyle w:val="115"/>
              <w:jc w:val="center"/>
            </w:pPr>
            <w:r>
              <w:rPr>
                <w:rFonts w:hint="eastAsia"/>
              </w:rPr>
              <w:t>其他商业服务业用地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38743E15">
            <w:pPr>
              <w:pStyle w:val="115"/>
              <w:jc w:val="center"/>
            </w:pPr>
            <w:r>
              <w:rPr>
                <w:rFonts w:hint="eastAsia"/>
              </w:rPr>
              <w:t>12.38</w:t>
            </w:r>
          </w:p>
        </w:tc>
        <w:tc>
          <w:tcPr>
            <w:tcW w:w="751" w:type="pct"/>
            <w:tcBorders>
              <w:top w:val="single" w:color="000000" w:sz="4" w:space="0"/>
              <w:left w:val="nil"/>
              <w:bottom w:val="single" w:color="000000" w:sz="4" w:space="0"/>
            </w:tcBorders>
            <w:shd w:val="clear" w:color="auto" w:fill="FFFFFF"/>
            <w:vAlign w:val="center"/>
          </w:tcPr>
          <w:p w14:paraId="7C9CFEA6">
            <w:pPr>
              <w:pStyle w:val="115"/>
              <w:jc w:val="center"/>
            </w:pPr>
            <w:r>
              <w:rPr>
                <w:rFonts w:hint="eastAsia"/>
              </w:rPr>
              <w:t>1.94%</w:t>
            </w:r>
          </w:p>
        </w:tc>
      </w:tr>
      <w:tr w14:paraId="2D93B355">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restart"/>
            <w:tcBorders>
              <w:top w:val="nil"/>
              <w:bottom w:val="single" w:color="000000" w:sz="4" w:space="0"/>
              <w:right w:val="single" w:color="000000" w:sz="4" w:space="0"/>
            </w:tcBorders>
            <w:shd w:val="clear" w:color="auto" w:fill="FFFFFF"/>
            <w:vAlign w:val="center"/>
          </w:tcPr>
          <w:p w14:paraId="469F9C8F">
            <w:pPr>
              <w:pStyle w:val="115"/>
              <w:jc w:val="center"/>
            </w:pPr>
            <w:r>
              <w:rPr>
                <w:rFonts w:hint="eastAsia"/>
              </w:rPr>
              <w:t>10</w:t>
            </w:r>
          </w:p>
        </w:tc>
        <w:tc>
          <w:tcPr>
            <w:tcW w:w="567" w:type="pct"/>
            <w:tcBorders>
              <w:top w:val="single" w:color="000000" w:sz="4" w:space="0"/>
              <w:left w:val="nil"/>
              <w:bottom w:val="single" w:color="000000" w:sz="4" w:space="0"/>
              <w:right w:val="single" w:color="000000" w:sz="4" w:space="0"/>
            </w:tcBorders>
            <w:shd w:val="clear" w:color="auto" w:fill="FFFFFF"/>
            <w:vAlign w:val="center"/>
          </w:tcPr>
          <w:p w14:paraId="26EDA255">
            <w:pPr>
              <w:pStyle w:val="115"/>
              <w:jc w:val="center"/>
            </w:pP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195E9722">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41DF29FE">
            <w:pPr>
              <w:pStyle w:val="115"/>
              <w:jc w:val="center"/>
            </w:pPr>
            <w:r>
              <w:rPr>
                <w:rFonts w:hint="eastAsia"/>
              </w:rPr>
              <w:t>工矿用地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54ADE864">
            <w:pPr>
              <w:pStyle w:val="115"/>
              <w:jc w:val="center"/>
            </w:pPr>
            <w:r>
              <w:rPr>
                <w:rFonts w:hint="eastAsia"/>
              </w:rPr>
              <w:t>16.76</w:t>
            </w:r>
          </w:p>
        </w:tc>
        <w:tc>
          <w:tcPr>
            <w:tcW w:w="751" w:type="pct"/>
            <w:tcBorders>
              <w:top w:val="single" w:color="000000" w:sz="4" w:space="0"/>
              <w:left w:val="nil"/>
              <w:bottom w:val="single" w:color="000000" w:sz="4" w:space="0"/>
            </w:tcBorders>
            <w:shd w:val="clear" w:color="auto" w:fill="FFFFFF"/>
            <w:vAlign w:val="center"/>
          </w:tcPr>
          <w:p w14:paraId="34688F81">
            <w:pPr>
              <w:pStyle w:val="115"/>
              <w:jc w:val="center"/>
            </w:pPr>
            <w:r>
              <w:rPr>
                <w:rFonts w:hint="eastAsia"/>
              </w:rPr>
              <w:t>2.62%</w:t>
            </w:r>
          </w:p>
        </w:tc>
      </w:tr>
      <w:tr w14:paraId="13BBD6B2">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55C0EF17">
            <w:pPr>
              <w:pStyle w:val="115"/>
              <w:jc w:val="center"/>
            </w:pPr>
          </w:p>
        </w:tc>
        <w:tc>
          <w:tcPr>
            <w:tcW w:w="567" w:type="pct"/>
            <w:vMerge w:val="restart"/>
            <w:tcBorders>
              <w:top w:val="nil"/>
              <w:left w:val="nil"/>
              <w:bottom w:val="single" w:color="000000" w:sz="4" w:space="0"/>
              <w:right w:val="single" w:color="000000" w:sz="4" w:space="0"/>
            </w:tcBorders>
            <w:shd w:val="clear" w:color="auto" w:fill="FFFFFF"/>
            <w:vAlign w:val="center"/>
          </w:tcPr>
          <w:p w14:paraId="34D74AAA">
            <w:pPr>
              <w:pStyle w:val="115"/>
              <w:jc w:val="center"/>
            </w:pPr>
            <w:r>
              <w:rPr>
                <w:rFonts w:hint="eastAsia"/>
              </w:rPr>
              <w:t>1001</w:t>
            </w: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14F85E7E">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7BE5A1B9">
            <w:pPr>
              <w:pStyle w:val="115"/>
              <w:jc w:val="center"/>
            </w:pPr>
            <w:r>
              <w:rPr>
                <w:rFonts w:hint="eastAsia"/>
              </w:rPr>
              <w:t>工业用地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5F4FBDE3">
            <w:pPr>
              <w:pStyle w:val="115"/>
              <w:jc w:val="center"/>
            </w:pPr>
            <w:r>
              <w:rPr>
                <w:rFonts w:hint="eastAsia"/>
              </w:rPr>
              <w:t>16.76</w:t>
            </w:r>
          </w:p>
        </w:tc>
        <w:tc>
          <w:tcPr>
            <w:tcW w:w="751" w:type="pct"/>
            <w:tcBorders>
              <w:top w:val="single" w:color="000000" w:sz="4" w:space="0"/>
              <w:left w:val="nil"/>
              <w:bottom w:val="single" w:color="000000" w:sz="4" w:space="0"/>
            </w:tcBorders>
            <w:shd w:val="clear" w:color="auto" w:fill="FFFFFF"/>
            <w:vAlign w:val="center"/>
          </w:tcPr>
          <w:p w14:paraId="412F2657">
            <w:pPr>
              <w:pStyle w:val="115"/>
              <w:jc w:val="center"/>
            </w:pPr>
            <w:r>
              <w:rPr>
                <w:rFonts w:hint="eastAsia"/>
              </w:rPr>
              <w:t>2.62%</w:t>
            </w:r>
          </w:p>
        </w:tc>
      </w:tr>
      <w:tr w14:paraId="3EAB7762">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6C0F401E">
            <w:pPr>
              <w:pStyle w:val="115"/>
              <w:jc w:val="center"/>
            </w:pPr>
          </w:p>
        </w:tc>
        <w:tc>
          <w:tcPr>
            <w:tcW w:w="567" w:type="pct"/>
            <w:vMerge w:val="continue"/>
            <w:tcBorders>
              <w:top w:val="nil"/>
              <w:left w:val="nil"/>
              <w:bottom w:val="single" w:color="000000" w:sz="4" w:space="0"/>
              <w:right w:val="single" w:color="000000" w:sz="4" w:space="0"/>
            </w:tcBorders>
            <w:shd w:val="clear" w:color="auto" w:fill="FFFFFF"/>
            <w:vAlign w:val="center"/>
          </w:tcPr>
          <w:p w14:paraId="66F33E45">
            <w:pPr>
              <w:pStyle w:val="115"/>
              <w:jc w:val="center"/>
            </w:pP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1FD0DE5C">
            <w:pPr>
              <w:pStyle w:val="115"/>
              <w:jc w:val="center"/>
            </w:pPr>
            <w:r>
              <w:rPr>
                <w:rFonts w:hint="eastAsia"/>
              </w:rPr>
              <w:t>100102</w:t>
            </w: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22BEC223">
            <w:pPr>
              <w:pStyle w:val="115"/>
              <w:jc w:val="center"/>
            </w:pPr>
            <w:r>
              <w:rPr>
                <w:rFonts w:hint="eastAsia"/>
              </w:rPr>
              <w:t>二类工业用地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1E756B49">
            <w:pPr>
              <w:pStyle w:val="115"/>
              <w:jc w:val="center"/>
            </w:pPr>
            <w:r>
              <w:rPr>
                <w:rFonts w:hint="eastAsia"/>
              </w:rPr>
              <w:t>16.76</w:t>
            </w:r>
          </w:p>
        </w:tc>
        <w:tc>
          <w:tcPr>
            <w:tcW w:w="751" w:type="pct"/>
            <w:tcBorders>
              <w:top w:val="single" w:color="000000" w:sz="4" w:space="0"/>
              <w:left w:val="nil"/>
              <w:bottom w:val="single" w:color="000000" w:sz="4" w:space="0"/>
            </w:tcBorders>
            <w:shd w:val="clear" w:color="auto" w:fill="FFFFFF"/>
            <w:vAlign w:val="center"/>
          </w:tcPr>
          <w:p w14:paraId="15414620">
            <w:pPr>
              <w:pStyle w:val="115"/>
              <w:jc w:val="center"/>
            </w:pPr>
            <w:r>
              <w:rPr>
                <w:rFonts w:hint="eastAsia"/>
              </w:rPr>
              <w:t>2.62%</w:t>
            </w:r>
          </w:p>
        </w:tc>
      </w:tr>
      <w:tr w14:paraId="55C5E156">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restart"/>
            <w:tcBorders>
              <w:top w:val="nil"/>
              <w:bottom w:val="single" w:color="000000" w:sz="4" w:space="0"/>
              <w:right w:val="single" w:color="000000" w:sz="4" w:space="0"/>
            </w:tcBorders>
            <w:shd w:val="clear" w:color="auto" w:fill="FFFFFF"/>
            <w:vAlign w:val="center"/>
          </w:tcPr>
          <w:p w14:paraId="4AD7F952">
            <w:pPr>
              <w:pStyle w:val="115"/>
              <w:jc w:val="center"/>
            </w:pPr>
            <w:r>
              <w:rPr>
                <w:rFonts w:hint="eastAsia"/>
              </w:rPr>
              <w:t>11</w:t>
            </w:r>
          </w:p>
        </w:tc>
        <w:tc>
          <w:tcPr>
            <w:tcW w:w="567" w:type="pct"/>
            <w:tcBorders>
              <w:top w:val="single" w:color="000000" w:sz="4" w:space="0"/>
              <w:left w:val="nil"/>
              <w:bottom w:val="single" w:color="000000" w:sz="4" w:space="0"/>
              <w:right w:val="single" w:color="000000" w:sz="4" w:space="0"/>
            </w:tcBorders>
            <w:shd w:val="clear" w:color="auto" w:fill="FFFFFF"/>
            <w:vAlign w:val="center"/>
          </w:tcPr>
          <w:p w14:paraId="0E02B9FC">
            <w:pPr>
              <w:pStyle w:val="115"/>
              <w:jc w:val="center"/>
            </w:pP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0E2C845A">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285A071E">
            <w:pPr>
              <w:pStyle w:val="115"/>
              <w:jc w:val="center"/>
            </w:pPr>
            <w:r>
              <w:rPr>
                <w:rFonts w:hint="eastAsia"/>
              </w:rPr>
              <w:t>仓储用地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228AC5A1">
            <w:pPr>
              <w:pStyle w:val="115"/>
              <w:jc w:val="center"/>
            </w:pPr>
            <w:r>
              <w:rPr>
                <w:rFonts w:hint="eastAsia"/>
              </w:rPr>
              <w:t>26.87</w:t>
            </w:r>
          </w:p>
        </w:tc>
        <w:tc>
          <w:tcPr>
            <w:tcW w:w="751" w:type="pct"/>
            <w:tcBorders>
              <w:top w:val="single" w:color="000000" w:sz="4" w:space="0"/>
              <w:left w:val="nil"/>
              <w:bottom w:val="single" w:color="000000" w:sz="4" w:space="0"/>
            </w:tcBorders>
            <w:shd w:val="clear" w:color="auto" w:fill="FFFFFF"/>
            <w:vAlign w:val="center"/>
          </w:tcPr>
          <w:p w14:paraId="2DE40707">
            <w:pPr>
              <w:pStyle w:val="115"/>
              <w:jc w:val="center"/>
            </w:pPr>
            <w:r>
              <w:rPr>
                <w:rFonts w:hint="eastAsia"/>
              </w:rPr>
              <w:t>4.20%</w:t>
            </w:r>
          </w:p>
        </w:tc>
      </w:tr>
      <w:tr w14:paraId="41DE2FAA">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41C71410">
            <w:pPr>
              <w:pStyle w:val="115"/>
              <w:jc w:val="center"/>
            </w:pPr>
          </w:p>
        </w:tc>
        <w:tc>
          <w:tcPr>
            <w:tcW w:w="567" w:type="pct"/>
            <w:tcBorders>
              <w:top w:val="single" w:color="000000" w:sz="4" w:space="0"/>
              <w:left w:val="nil"/>
              <w:bottom w:val="single" w:color="000000" w:sz="4" w:space="0"/>
              <w:right w:val="single" w:color="000000" w:sz="4" w:space="0"/>
            </w:tcBorders>
            <w:shd w:val="clear" w:color="auto" w:fill="FFFFFF"/>
            <w:vAlign w:val="center"/>
          </w:tcPr>
          <w:p w14:paraId="0D034B18">
            <w:pPr>
              <w:pStyle w:val="115"/>
              <w:jc w:val="center"/>
            </w:pPr>
            <w:r>
              <w:rPr>
                <w:rFonts w:hint="eastAsia"/>
              </w:rPr>
              <w:t>1101</w:t>
            </w: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4353015F">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432CBFCC">
            <w:pPr>
              <w:pStyle w:val="115"/>
              <w:jc w:val="center"/>
            </w:pPr>
            <w:r>
              <w:rPr>
                <w:rFonts w:hint="eastAsia"/>
              </w:rPr>
              <w:t>物流仓储用地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2404A5A6">
            <w:pPr>
              <w:pStyle w:val="115"/>
              <w:jc w:val="center"/>
            </w:pPr>
            <w:r>
              <w:rPr>
                <w:rFonts w:hint="eastAsia"/>
              </w:rPr>
              <w:t>22.26</w:t>
            </w:r>
          </w:p>
        </w:tc>
        <w:tc>
          <w:tcPr>
            <w:tcW w:w="751" w:type="pct"/>
            <w:tcBorders>
              <w:top w:val="single" w:color="000000" w:sz="4" w:space="0"/>
              <w:left w:val="nil"/>
              <w:bottom w:val="single" w:color="000000" w:sz="4" w:space="0"/>
            </w:tcBorders>
            <w:shd w:val="clear" w:color="auto" w:fill="FFFFFF"/>
            <w:vAlign w:val="center"/>
          </w:tcPr>
          <w:p w14:paraId="2630B440">
            <w:pPr>
              <w:pStyle w:val="115"/>
              <w:jc w:val="center"/>
            </w:pPr>
            <w:r>
              <w:rPr>
                <w:rFonts w:hint="eastAsia"/>
              </w:rPr>
              <w:t>3.48%</w:t>
            </w:r>
          </w:p>
        </w:tc>
      </w:tr>
      <w:tr w14:paraId="793C03E1">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05E792E9">
            <w:pPr>
              <w:pStyle w:val="115"/>
              <w:jc w:val="center"/>
            </w:pPr>
          </w:p>
        </w:tc>
        <w:tc>
          <w:tcPr>
            <w:tcW w:w="567" w:type="pct"/>
            <w:tcBorders>
              <w:top w:val="single" w:color="000000" w:sz="4" w:space="0"/>
              <w:left w:val="nil"/>
              <w:bottom w:val="single" w:color="000000" w:sz="4" w:space="0"/>
              <w:right w:val="single" w:color="000000" w:sz="4" w:space="0"/>
            </w:tcBorders>
            <w:shd w:val="clear" w:color="auto" w:fill="FFFFFF"/>
            <w:vAlign w:val="center"/>
          </w:tcPr>
          <w:p w14:paraId="25503962">
            <w:pPr>
              <w:pStyle w:val="115"/>
              <w:jc w:val="center"/>
            </w:pPr>
            <w:r>
              <w:rPr>
                <w:rFonts w:hint="eastAsia"/>
              </w:rPr>
              <w:t>1102</w:t>
            </w: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00DE861F">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7421966D">
            <w:pPr>
              <w:pStyle w:val="115"/>
              <w:jc w:val="center"/>
            </w:pPr>
            <w:r>
              <w:rPr>
                <w:rFonts w:hint="eastAsia"/>
              </w:rPr>
              <w:t>储备库用地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7E4F24A5">
            <w:pPr>
              <w:pStyle w:val="115"/>
              <w:jc w:val="center"/>
            </w:pPr>
            <w:r>
              <w:rPr>
                <w:rFonts w:hint="eastAsia"/>
              </w:rPr>
              <w:t>4.60</w:t>
            </w:r>
          </w:p>
        </w:tc>
        <w:tc>
          <w:tcPr>
            <w:tcW w:w="751" w:type="pct"/>
            <w:tcBorders>
              <w:top w:val="single" w:color="000000" w:sz="4" w:space="0"/>
              <w:left w:val="nil"/>
              <w:bottom w:val="single" w:color="000000" w:sz="4" w:space="0"/>
            </w:tcBorders>
            <w:shd w:val="clear" w:color="auto" w:fill="FFFFFF"/>
            <w:vAlign w:val="center"/>
          </w:tcPr>
          <w:p w14:paraId="66373051">
            <w:pPr>
              <w:pStyle w:val="115"/>
              <w:jc w:val="center"/>
            </w:pPr>
            <w:r>
              <w:rPr>
                <w:rFonts w:hint="eastAsia"/>
              </w:rPr>
              <w:t>0.72%</w:t>
            </w:r>
          </w:p>
        </w:tc>
      </w:tr>
      <w:tr w14:paraId="552E2635">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restart"/>
            <w:tcBorders>
              <w:top w:val="nil"/>
              <w:bottom w:val="single" w:color="000000" w:sz="4" w:space="0"/>
              <w:right w:val="single" w:color="000000" w:sz="4" w:space="0"/>
            </w:tcBorders>
            <w:shd w:val="clear" w:color="auto" w:fill="FFFFFF"/>
            <w:vAlign w:val="center"/>
          </w:tcPr>
          <w:p w14:paraId="00F22331">
            <w:pPr>
              <w:pStyle w:val="115"/>
              <w:jc w:val="center"/>
            </w:pPr>
            <w:r>
              <w:rPr>
                <w:rFonts w:hint="eastAsia"/>
              </w:rPr>
              <w:t>12</w:t>
            </w:r>
          </w:p>
        </w:tc>
        <w:tc>
          <w:tcPr>
            <w:tcW w:w="567" w:type="pct"/>
            <w:tcBorders>
              <w:top w:val="single" w:color="000000" w:sz="4" w:space="0"/>
              <w:left w:val="nil"/>
              <w:bottom w:val="single" w:color="000000" w:sz="4" w:space="0"/>
              <w:right w:val="single" w:color="000000" w:sz="4" w:space="0"/>
            </w:tcBorders>
            <w:shd w:val="clear" w:color="auto" w:fill="FFFFFF"/>
            <w:vAlign w:val="center"/>
          </w:tcPr>
          <w:p w14:paraId="548AB417">
            <w:pPr>
              <w:pStyle w:val="115"/>
              <w:jc w:val="center"/>
            </w:pP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1C2C912F">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14676943">
            <w:pPr>
              <w:pStyle w:val="115"/>
              <w:jc w:val="center"/>
            </w:pPr>
            <w:r>
              <w:rPr>
                <w:rFonts w:hint="eastAsia"/>
              </w:rPr>
              <w:t>交通运输用地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2BF92A64">
            <w:pPr>
              <w:pStyle w:val="115"/>
              <w:jc w:val="center"/>
            </w:pPr>
            <w:r>
              <w:rPr>
                <w:rFonts w:hint="eastAsia"/>
              </w:rPr>
              <w:t>105.06</w:t>
            </w:r>
          </w:p>
        </w:tc>
        <w:tc>
          <w:tcPr>
            <w:tcW w:w="751" w:type="pct"/>
            <w:tcBorders>
              <w:top w:val="single" w:color="000000" w:sz="4" w:space="0"/>
              <w:left w:val="nil"/>
              <w:bottom w:val="single" w:color="000000" w:sz="4" w:space="0"/>
            </w:tcBorders>
            <w:shd w:val="clear" w:color="auto" w:fill="FFFFFF"/>
            <w:vAlign w:val="center"/>
          </w:tcPr>
          <w:p w14:paraId="51DE78E5">
            <w:pPr>
              <w:pStyle w:val="115"/>
              <w:jc w:val="center"/>
            </w:pPr>
            <w:r>
              <w:rPr>
                <w:rFonts w:hint="eastAsia"/>
              </w:rPr>
              <w:t>16.43%</w:t>
            </w:r>
          </w:p>
        </w:tc>
      </w:tr>
      <w:tr w14:paraId="12A72044">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6C8CF3D4">
            <w:pPr>
              <w:pStyle w:val="115"/>
              <w:jc w:val="center"/>
            </w:pPr>
          </w:p>
        </w:tc>
        <w:tc>
          <w:tcPr>
            <w:tcW w:w="567" w:type="pct"/>
            <w:tcBorders>
              <w:top w:val="single" w:color="000000" w:sz="4" w:space="0"/>
              <w:left w:val="nil"/>
              <w:bottom w:val="single" w:color="000000" w:sz="4" w:space="0"/>
              <w:right w:val="single" w:color="000000" w:sz="4" w:space="0"/>
            </w:tcBorders>
            <w:shd w:val="clear" w:color="auto" w:fill="FFFFFF"/>
            <w:vAlign w:val="center"/>
          </w:tcPr>
          <w:p w14:paraId="789E778F">
            <w:pPr>
              <w:pStyle w:val="115"/>
              <w:jc w:val="center"/>
            </w:pPr>
            <w:r>
              <w:rPr>
                <w:rFonts w:hint="eastAsia"/>
              </w:rPr>
              <w:t>1201</w:t>
            </w: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73D41D30">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2510EC85">
            <w:pPr>
              <w:pStyle w:val="115"/>
              <w:jc w:val="center"/>
            </w:pPr>
            <w:r>
              <w:rPr>
                <w:rFonts w:hint="eastAsia"/>
              </w:rPr>
              <w:t>铁路用地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163A8A0D">
            <w:pPr>
              <w:pStyle w:val="115"/>
              <w:jc w:val="center"/>
            </w:pPr>
            <w:r>
              <w:rPr>
                <w:rFonts w:hint="eastAsia"/>
              </w:rPr>
              <w:t>20.97</w:t>
            </w:r>
          </w:p>
        </w:tc>
        <w:tc>
          <w:tcPr>
            <w:tcW w:w="751" w:type="pct"/>
            <w:tcBorders>
              <w:top w:val="single" w:color="000000" w:sz="4" w:space="0"/>
              <w:left w:val="nil"/>
              <w:bottom w:val="single" w:color="000000" w:sz="4" w:space="0"/>
            </w:tcBorders>
            <w:shd w:val="clear" w:color="auto" w:fill="FFFFFF"/>
            <w:vAlign w:val="center"/>
          </w:tcPr>
          <w:p w14:paraId="11521B12">
            <w:pPr>
              <w:pStyle w:val="115"/>
              <w:jc w:val="center"/>
            </w:pPr>
            <w:r>
              <w:rPr>
                <w:rFonts w:hint="eastAsia"/>
              </w:rPr>
              <w:t>3.28%</w:t>
            </w:r>
          </w:p>
        </w:tc>
      </w:tr>
      <w:tr w14:paraId="3D31FE1E">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66D89196">
            <w:pPr>
              <w:pStyle w:val="115"/>
              <w:jc w:val="center"/>
            </w:pPr>
          </w:p>
        </w:tc>
        <w:tc>
          <w:tcPr>
            <w:tcW w:w="567" w:type="pct"/>
            <w:tcBorders>
              <w:top w:val="single" w:color="000000" w:sz="4" w:space="0"/>
              <w:left w:val="nil"/>
              <w:bottom w:val="single" w:color="000000" w:sz="4" w:space="0"/>
              <w:right w:val="single" w:color="000000" w:sz="4" w:space="0"/>
            </w:tcBorders>
            <w:shd w:val="clear" w:color="auto" w:fill="FFFFFF"/>
            <w:vAlign w:val="center"/>
          </w:tcPr>
          <w:p w14:paraId="0D565F8D">
            <w:pPr>
              <w:pStyle w:val="115"/>
              <w:jc w:val="center"/>
            </w:pPr>
            <w:r>
              <w:rPr>
                <w:rFonts w:hint="eastAsia"/>
              </w:rPr>
              <w:t>1207</w:t>
            </w: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53334818">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58D664DB">
            <w:pPr>
              <w:pStyle w:val="115"/>
              <w:jc w:val="center"/>
            </w:pPr>
            <w:r>
              <w:rPr>
                <w:rFonts w:hint="eastAsia"/>
              </w:rPr>
              <w:t>城镇村道路用地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772AB848">
            <w:pPr>
              <w:pStyle w:val="115"/>
              <w:jc w:val="center"/>
            </w:pPr>
            <w:r>
              <w:rPr>
                <w:rFonts w:hint="eastAsia"/>
              </w:rPr>
              <w:t>75.24</w:t>
            </w:r>
          </w:p>
        </w:tc>
        <w:tc>
          <w:tcPr>
            <w:tcW w:w="751" w:type="pct"/>
            <w:tcBorders>
              <w:top w:val="single" w:color="000000" w:sz="4" w:space="0"/>
              <w:left w:val="nil"/>
              <w:bottom w:val="single" w:color="000000" w:sz="4" w:space="0"/>
            </w:tcBorders>
            <w:shd w:val="clear" w:color="auto" w:fill="FFFFFF"/>
            <w:vAlign w:val="center"/>
          </w:tcPr>
          <w:p w14:paraId="7E5ABD16">
            <w:pPr>
              <w:pStyle w:val="115"/>
              <w:jc w:val="center"/>
            </w:pPr>
            <w:r>
              <w:rPr>
                <w:rFonts w:hint="eastAsia"/>
              </w:rPr>
              <w:t>11.77%</w:t>
            </w:r>
          </w:p>
        </w:tc>
      </w:tr>
      <w:tr w14:paraId="39833F86">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44694DF3">
            <w:pPr>
              <w:pStyle w:val="115"/>
              <w:jc w:val="center"/>
            </w:pPr>
          </w:p>
        </w:tc>
        <w:tc>
          <w:tcPr>
            <w:tcW w:w="567" w:type="pct"/>
            <w:vMerge w:val="restart"/>
            <w:tcBorders>
              <w:top w:val="nil"/>
              <w:left w:val="nil"/>
              <w:bottom w:val="single" w:color="000000" w:sz="4" w:space="0"/>
              <w:right w:val="single" w:color="000000" w:sz="4" w:space="0"/>
            </w:tcBorders>
            <w:shd w:val="clear" w:color="auto" w:fill="FFFFFF"/>
            <w:vAlign w:val="center"/>
          </w:tcPr>
          <w:p w14:paraId="08EE9605">
            <w:pPr>
              <w:pStyle w:val="115"/>
              <w:jc w:val="center"/>
            </w:pPr>
            <w:r>
              <w:rPr>
                <w:rFonts w:hint="eastAsia"/>
              </w:rPr>
              <w:t>1208</w:t>
            </w: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2CCD05A1">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461EDD78">
            <w:pPr>
              <w:pStyle w:val="115"/>
              <w:jc w:val="center"/>
            </w:pPr>
            <w:r>
              <w:rPr>
                <w:rFonts w:hint="eastAsia"/>
              </w:rPr>
              <w:t>交通场站用地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70593626">
            <w:pPr>
              <w:pStyle w:val="115"/>
              <w:jc w:val="center"/>
            </w:pPr>
            <w:r>
              <w:rPr>
                <w:rFonts w:hint="eastAsia"/>
              </w:rPr>
              <w:t>8.85</w:t>
            </w:r>
          </w:p>
        </w:tc>
        <w:tc>
          <w:tcPr>
            <w:tcW w:w="751" w:type="pct"/>
            <w:tcBorders>
              <w:top w:val="single" w:color="000000" w:sz="4" w:space="0"/>
              <w:left w:val="nil"/>
              <w:bottom w:val="single" w:color="000000" w:sz="4" w:space="0"/>
            </w:tcBorders>
            <w:shd w:val="clear" w:color="auto" w:fill="FFFFFF"/>
            <w:vAlign w:val="center"/>
          </w:tcPr>
          <w:p w14:paraId="3C60BA85">
            <w:pPr>
              <w:pStyle w:val="115"/>
              <w:jc w:val="center"/>
            </w:pPr>
            <w:r>
              <w:rPr>
                <w:rFonts w:hint="eastAsia"/>
              </w:rPr>
              <w:t>1.38%</w:t>
            </w:r>
          </w:p>
        </w:tc>
      </w:tr>
      <w:tr w14:paraId="1D0C4B09">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08E88ED1">
            <w:pPr>
              <w:pStyle w:val="115"/>
              <w:jc w:val="center"/>
            </w:pPr>
          </w:p>
        </w:tc>
        <w:tc>
          <w:tcPr>
            <w:tcW w:w="567" w:type="pct"/>
            <w:vMerge w:val="continue"/>
            <w:tcBorders>
              <w:top w:val="nil"/>
              <w:left w:val="nil"/>
              <w:bottom w:val="single" w:color="000000" w:sz="4" w:space="0"/>
              <w:right w:val="single" w:color="000000" w:sz="4" w:space="0"/>
            </w:tcBorders>
            <w:shd w:val="clear" w:color="auto" w:fill="FFFFFF"/>
            <w:vAlign w:val="center"/>
          </w:tcPr>
          <w:p w14:paraId="741854B0">
            <w:pPr>
              <w:pStyle w:val="115"/>
              <w:jc w:val="center"/>
            </w:pP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0E96C12B">
            <w:pPr>
              <w:pStyle w:val="115"/>
              <w:jc w:val="center"/>
            </w:pPr>
            <w:r>
              <w:rPr>
                <w:rFonts w:hint="eastAsia"/>
              </w:rPr>
              <w:t>120801</w:t>
            </w: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7BAC0DFC">
            <w:pPr>
              <w:pStyle w:val="115"/>
              <w:jc w:val="center"/>
            </w:pPr>
            <w:r>
              <w:rPr>
                <w:rFonts w:hint="eastAsia"/>
              </w:rPr>
              <w:t>对外交通场站用地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42ABCD58">
            <w:pPr>
              <w:pStyle w:val="115"/>
              <w:jc w:val="center"/>
            </w:pPr>
            <w:r>
              <w:rPr>
                <w:rFonts w:hint="eastAsia"/>
              </w:rPr>
              <w:t>2.84</w:t>
            </w:r>
          </w:p>
        </w:tc>
        <w:tc>
          <w:tcPr>
            <w:tcW w:w="751" w:type="pct"/>
            <w:tcBorders>
              <w:top w:val="single" w:color="000000" w:sz="4" w:space="0"/>
              <w:left w:val="nil"/>
              <w:bottom w:val="single" w:color="000000" w:sz="4" w:space="0"/>
            </w:tcBorders>
            <w:shd w:val="clear" w:color="auto" w:fill="FFFFFF"/>
            <w:vAlign w:val="center"/>
          </w:tcPr>
          <w:p w14:paraId="775E0D16">
            <w:pPr>
              <w:pStyle w:val="115"/>
              <w:jc w:val="center"/>
            </w:pPr>
            <w:r>
              <w:rPr>
                <w:rFonts w:hint="eastAsia"/>
              </w:rPr>
              <w:t>0.44%</w:t>
            </w:r>
          </w:p>
        </w:tc>
      </w:tr>
      <w:tr w14:paraId="7334809A">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10A73B21">
            <w:pPr>
              <w:pStyle w:val="115"/>
              <w:jc w:val="center"/>
            </w:pPr>
          </w:p>
        </w:tc>
        <w:tc>
          <w:tcPr>
            <w:tcW w:w="567" w:type="pct"/>
            <w:vMerge w:val="continue"/>
            <w:tcBorders>
              <w:top w:val="nil"/>
              <w:left w:val="nil"/>
              <w:bottom w:val="single" w:color="000000" w:sz="4" w:space="0"/>
              <w:right w:val="single" w:color="000000" w:sz="4" w:space="0"/>
            </w:tcBorders>
            <w:shd w:val="clear" w:color="auto" w:fill="FFFFFF"/>
            <w:vAlign w:val="center"/>
          </w:tcPr>
          <w:p w14:paraId="70567530">
            <w:pPr>
              <w:pStyle w:val="115"/>
              <w:jc w:val="center"/>
            </w:pP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4B3F288D">
            <w:pPr>
              <w:pStyle w:val="115"/>
              <w:jc w:val="center"/>
            </w:pPr>
            <w:r>
              <w:rPr>
                <w:rFonts w:hint="eastAsia"/>
              </w:rPr>
              <w:t>120802</w:t>
            </w: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6071FDE2">
            <w:pPr>
              <w:pStyle w:val="115"/>
              <w:jc w:val="center"/>
            </w:pPr>
            <w:r>
              <w:rPr>
                <w:rFonts w:hint="eastAsia"/>
              </w:rPr>
              <w:t>公共交通场站用地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5D5E5963">
            <w:pPr>
              <w:pStyle w:val="115"/>
              <w:jc w:val="center"/>
            </w:pPr>
            <w:r>
              <w:rPr>
                <w:rFonts w:hint="eastAsia"/>
              </w:rPr>
              <w:t>2.94</w:t>
            </w:r>
          </w:p>
        </w:tc>
        <w:tc>
          <w:tcPr>
            <w:tcW w:w="751" w:type="pct"/>
            <w:tcBorders>
              <w:top w:val="single" w:color="000000" w:sz="4" w:space="0"/>
              <w:left w:val="nil"/>
              <w:bottom w:val="single" w:color="000000" w:sz="4" w:space="0"/>
            </w:tcBorders>
            <w:shd w:val="clear" w:color="auto" w:fill="FFFFFF"/>
            <w:vAlign w:val="center"/>
          </w:tcPr>
          <w:p w14:paraId="7D5102F1">
            <w:pPr>
              <w:pStyle w:val="115"/>
              <w:jc w:val="center"/>
            </w:pPr>
            <w:r>
              <w:rPr>
                <w:rFonts w:hint="eastAsia"/>
              </w:rPr>
              <w:t>0.46%</w:t>
            </w:r>
          </w:p>
        </w:tc>
      </w:tr>
      <w:tr w14:paraId="7A179342">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21467A6B">
            <w:pPr>
              <w:pStyle w:val="115"/>
              <w:jc w:val="center"/>
            </w:pPr>
          </w:p>
        </w:tc>
        <w:tc>
          <w:tcPr>
            <w:tcW w:w="567" w:type="pct"/>
            <w:vMerge w:val="continue"/>
            <w:tcBorders>
              <w:top w:val="nil"/>
              <w:left w:val="nil"/>
              <w:bottom w:val="single" w:color="000000" w:sz="4" w:space="0"/>
              <w:right w:val="single" w:color="000000" w:sz="4" w:space="0"/>
            </w:tcBorders>
            <w:shd w:val="clear" w:color="auto" w:fill="FFFFFF"/>
            <w:vAlign w:val="center"/>
          </w:tcPr>
          <w:p w14:paraId="68F7703A">
            <w:pPr>
              <w:pStyle w:val="115"/>
              <w:jc w:val="center"/>
            </w:pP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2F3236CD">
            <w:pPr>
              <w:pStyle w:val="115"/>
              <w:jc w:val="center"/>
            </w:pPr>
            <w:r>
              <w:rPr>
                <w:rFonts w:hint="eastAsia"/>
              </w:rPr>
              <w:t>120803</w:t>
            </w: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27645530">
            <w:pPr>
              <w:pStyle w:val="115"/>
              <w:jc w:val="center"/>
            </w:pPr>
            <w:r>
              <w:rPr>
                <w:rFonts w:hint="eastAsia"/>
              </w:rPr>
              <w:t>社会停车场用地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720BE22A">
            <w:pPr>
              <w:pStyle w:val="115"/>
              <w:jc w:val="center"/>
            </w:pPr>
            <w:r>
              <w:rPr>
                <w:rFonts w:hint="eastAsia"/>
              </w:rPr>
              <w:t>3.07</w:t>
            </w:r>
          </w:p>
        </w:tc>
        <w:tc>
          <w:tcPr>
            <w:tcW w:w="751" w:type="pct"/>
            <w:tcBorders>
              <w:top w:val="single" w:color="000000" w:sz="4" w:space="0"/>
              <w:left w:val="nil"/>
              <w:bottom w:val="single" w:color="000000" w:sz="4" w:space="0"/>
            </w:tcBorders>
            <w:shd w:val="clear" w:color="auto" w:fill="FFFFFF"/>
            <w:vAlign w:val="center"/>
          </w:tcPr>
          <w:p w14:paraId="58A2F7D3">
            <w:pPr>
              <w:pStyle w:val="115"/>
              <w:jc w:val="center"/>
            </w:pPr>
            <w:r>
              <w:rPr>
                <w:rFonts w:hint="eastAsia"/>
              </w:rPr>
              <w:t>0.48%</w:t>
            </w:r>
          </w:p>
        </w:tc>
      </w:tr>
      <w:tr w14:paraId="52DAA4F9">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restart"/>
            <w:tcBorders>
              <w:top w:val="nil"/>
              <w:bottom w:val="single" w:color="000000" w:sz="4" w:space="0"/>
              <w:right w:val="single" w:color="000000" w:sz="4" w:space="0"/>
            </w:tcBorders>
            <w:shd w:val="clear" w:color="auto" w:fill="FFFFFF"/>
            <w:vAlign w:val="center"/>
          </w:tcPr>
          <w:p w14:paraId="758F2497">
            <w:pPr>
              <w:pStyle w:val="115"/>
              <w:jc w:val="center"/>
            </w:pPr>
            <w:r>
              <w:rPr>
                <w:rFonts w:hint="eastAsia"/>
              </w:rPr>
              <w:t>13</w:t>
            </w:r>
          </w:p>
        </w:tc>
        <w:tc>
          <w:tcPr>
            <w:tcW w:w="567" w:type="pct"/>
            <w:tcBorders>
              <w:top w:val="single" w:color="000000" w:sz="4" w:space="0"/>
              <w:left w:val="nil"/>
              <w:bottom w:val="single" w:color="000000" w:sz="4" w:space="0"/>
              <w:right w:val="single" w:color="000000" w:sz="4" w:space="0"/>
            </w:tcBorders>
            <w:shd w:val="clear" w:color="auto" w:fill="FFFFFF"/>
            <w:vAlign w:val="center"/>
          </w:tcPr>
          <w:p w14:paraId="573888A1">
            <w:pPr>
              <w:pStyle w:val="115"/>
              <w:jc w:val="center"/>
            </w:pP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3482EBE3">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58585863">
            <w:pPr>
              <w:pStyle w:val="115"/>
              <w:jc w:val="center"/>
            </w:pPr>
            <w:r>
              <w:rPr>
                <w:rFonts w:hint="eastAsia"/>
              </w:rPr>
              <w:t>公用设施用地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74FD910B">
            <w:pPr>
              <w:pStyle w:val="115"/>
              <w:jc w:val="center"/>
            </w:pPr>
            <w:r>
              <w:rPr>
                <w:rFonts w:hint="eastAsia"/>
              </w:rPr>
              <w:t>20.22</w:t>
            </w:r>
          </w:p>
        </w:tc>
        <w:tc>
          <w:tcPr>
            <w:tcW w:w="751" w:type="pct"/>
            <w:tcBorders>
              <w:top w:val="single" w:color="000000" w:sz="4" w:space="0"/>
              <w:left w:val="nil"/>
              <w:bottom w:val="single" w:color="000000" w:sz="4" w:space="0"/>
            </w:tcBorders>
            <w:shd w:val="clear" w:color="auto" w:fill="FFFFFF"/>
            <w:vAlign w:val="center"/>
          </w:tcPr>
          <w:p w14:paraId="0D010337">
            <w:pPr>
              <w:pStyle w:val="115"/>
              <w:jc w:val="center"/>
            </w:pPr>
            <w:r>
              <w:rPr>
                <w:rFonts w:hint="eastAsia"/>
              </w:rPr>
              <w:t>3.16%</w:t>
            </w:r>
          </w:p>
        </w:tc>
      </w:tr>
      <w:tr w14:paraId="0EA234DD">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2E73329B">
            <w:pPr>
              <w:pStyle w:val="115"/>
              <w:jc w:val="center"/>
            </w:pPr>
          </w:p>
        </w:tc>
        <w:tc>
          <w:tcPr>
            <w:tcW w:w="567" w:type="pct"/>
            <w:tcBorders>
              <w:top w:val="single" w:color="000000" w:sz="4" w:space="0"/>
              <w:left w:val="nil"/>
              <w:bottom w:val="single" w:color="000000" w:sz="4" w:space="0"/>
              <w:right w:val="single" w:color="000000" w:sz="4" w:space="0"/>
            </w:tcBorders>
            <w:shd w:val="clear" w:color="auto" w:fill="FFFFFF"/>
            <w:vAlign w:val="center"/>
          </w:tcPr>
          <w:p w14:paraId="19D14EF4">
            <w:pPr>
              <w:pStyle w:val="115"/>
              <w:jc w:val="center"/>
            </w:pPr>
            <w:r>
              <w:rPr>
                <w:rFonts w:hint="eastAsia"/>
              </w:rPr>
              <w:t>1301</w:t>
            </w: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0BE33F4F">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1050E692">
            <w:pPr>
              <w:pStyle w:val="115"/>
              <w:jc w:val="center"/>
            </w:pPr>
            <w:r>
              <w:rPr>
                <w:rFonts w:hint="eastAsia"/>
              </w:rPr>
              <w:t>供水用地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0320A1C3">
            <w:pPr>
              <w:pStyle w:val="115"/>
              <w:jc w:val="center"/>
            </w:pPr>
            <w:r>
              <w:rPr>
                <w:rFonts w:hint="eastAsia"/>
              </w:rPr>
              <w:t>3.61</w:t>
            </w:r>
          </w:p>
        </w:tc>
        <w:tc>
          <w:tcPr>
            <w:tcW w:w="751" w:type="pct"/>
            <w:tcBorders>
              <w:top w:val="single" w:color="000000" w:sz="4" w:space="0"/>
              <w:left w:val="nil"/>
              <w:bottom w:val="single" w:color="000000" w:sz="4" w:space="0"/>
            </w:tcBorders>
            <w:shd w:val="clear" w:color="auto" w:fill="FFFFFF"/>
            <w:vAlign w:val="center"/>
          </w:tcPr>
          <w:p w14:paraId="13B52B0E">
            <w:pPr>
              <w:pStyle w:val="115"/>
              <w:jc w:val="center"/>
            </w:pPr>
            <w:r>
              <w:rPr>
                <w:rFonts w:hint="eastAsia"/>
              </w:rPr>
              <w:t>0.56%</w:t>
            </w:r>
          </w:p>
        </w:tc>
      </w:tr>
      <w:tr w14:paraId="68806754">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1CCADCF9">
            <w:pPr>
              <w:pStyle w:val="115"/>
              <w:jc w:val="center"/>
            </w:pPr>
          </w:p>
        </w:tc>
        <w:tc>
          <w:tcPr>
            <w:tcW w:w="567" w:type="pct"/>
            <w:tcBorders>
              <w:top w:val="single" w:color="000000" w:sz="4" w:space="0"/>
              <w:left w:val="nil"/>
              <w:bottom w:val="single" w:color="000000" w:sz="4" w:space="0"/>
              <w:right w:val="single" w:color="000000" w:sz="4" w:space="0"/>
            </w:tcBorders>
            <w:shd w:val="clear" w:color="auto" w:fill="FFFFFF"/>
            <w:vAlign w:val="center"/>
          </w:tcPr>
          <w:p w14:paraId="06D91C73">
            <w:pPr>
              <w:pStyle w:val="115"/>
              <w:jc w:val="center"/>
            </w:pPr>
            <w:r>
              <w:rPr>
                <w:rFonts w:hint="eastAsia"/>
              </w:rPr>
              <w:t>1302</w:t>
            </w: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5EE0E230">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758608AD">
            <w:pPr>
              <w:pStyle w:val="115"/>
              <w:jc w:val="center"/>
            </w:pPr>
            <w:r>
              <w:rPr>
                <w:rFonts w:hint="eastAsia"/>
              </w:rPr>
              <w:t>排水用地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568ED469">
            <w:pPr>
              <w:pStyle w:val="115"/>
              <w:jc w:val="center"/>
            </w:pPr>
            <w:r>
              <w:rPr>
                <w:rFonts w:hint="eastAsia"/>
              </w:rPr>
              <w:t>0.21</w:t>
            </w:r>
          </w:p>
        </w:tc>
        <w:tc>
          <w:tcPr>
            <w:tcW w:w="751" w:type="pct"/>
            <w:tcBorders>
              <w:top w:val="single" w:color="000000" w:sz="4" w:space="0"/>
              <w:left w:val="nil"/>
              <w:bottom w:val="single" w:color="000000" w:sz="4" w:space="0"/>
            </w:tcBorders>
            <w:shd w:val="clear" w:color="auto" w:fill="FFFFFF"/>
            <w:vAlign w:val="center"/>
          </w:tcPr>
          <w:p w14:paraId="0432AAB8">
            <w:pPr>
              <w:pStyle w:val="115"/>
              <w:jc w:val="center"/>
            </w:pPr>
            <w:r>
              <w:rPr>
                <w:rFonts w:hint="eastAsia"/>
              </w:rPr>
              <w:t>0.03%</w:t>
            </w:r>
          </w:p>
        </w:tc>
      </w:tr>
      <w:tr w14:paraId="6D3FC185">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76FBCFFC">
            <w:pPr>
              <w:pStyle w:val="115"/>
              <w:jc w:val="center"/>
            </w:pPr>
          </w:p>
        </w:tc>
        <w:tc>
          <w:tcPr>
            <w:tcW w:w="567" w:type="pct"/>
            <w:tcBorders>
              <w:top w:val="single" w:color="000000" w:sz="4" w:space="0"/>
              <w:left w:val="nil"/>
              <w:bottom w:val="single" w:color="000000" w:sz="4" w:space="0"/>
              <w:right w:val="single" w:color="000000" w:sz="4" w:space="0"/>
            </w:tcBorders>
            <w:shd w:val="clear" w:color="auto" w:fill="FFFFFF"/>
            <w:vAlign w:val="center"/>
          </w:tcPr>
          <w:p w14:paraId="5D44B3F5">
            <w:pPr>
              <w:pStyle w:val="115"/>
              <w:jc w:val="center"/>
            </w:pPr>
            <w:r>
              <w:rPr>
                <w:rFonts w:hint="eastAsia"/>
              </w:rPr>
              <w:t>1303</w:t>
            </w: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31F1786F">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38116C0E">
            <w:pPr>
              <w:pStyle w:val="115"/>
              <w:jc w:val="center"/>
            </w:pPr>
            <w:r>
              <w:rPr>
                <w:rFonts w:hint="eastAsia"/>
              </w:rPr>
              <w:t>供电用地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3A955771">
            <w:pPr>
              <w:pStyle w:val="115"/>
              <w:jc w:val="center"/>
            </w:pPr>
            <w:r>
              <w:rPr>
                <w:rFonts w:hint="eastAsia"/>
              </w:rPr>
              <w:t>0.00</w:t>
            </w:r>
          </w:p>
        </w:tc>
        <w:tc>
          <w:tcPr>
            <w:tcW w:w="751" w:type="pct"/>
            <w:tcBorders>
              <w:top w:val="single" w:color="000000" w:sz="4" w:space="0"/>
              <w:left w:val="nil"/>
              <w:bottom w:val="single" w:color="000000" w:sz="4" w:space="0"/>
            </w:tcBorders>
            <w:shd w:val="clear" w:color="auto" w:fill="FFFFFF"/>
            <w:vAlign w:val="center"/>
          </w:tcPr>
          <w:p w14:paraId="5C0CEBF1">
            <w:pPr>
              <w:pStyle w:val="115"/>
              <w:jc w:val="center"/>
            </w:pPr>
            <w:r>
              <w:rPr>
                <w:rFonts w:hint="eastAsia"/>
              </w:rPr>
              <w:t>0.00%</w:t>
            </w:r>
          </w:p>
        </w:tc>
      </w:tr>
      <w:tr w14:paraId="32D0F1CE">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7ACE65D7">
            <w:pPr>
              <w:pStyle w:val="115"/>
              <w:jc w:val="center"/>
            </w:pPr>
          </w:p>
        </w:tc>
        <w:tc>
          <w:tcPr>
            <w:tcW w:w="567" w:type="pct"/>
            <w:tcBorders>
              <w:top w:val="single" w:color="000000" w:sz="4" w:space="0"/>
              <w:left w:val="nil"/>
              <w:bottom w:val="single" w:color="000000" w:sz="4" w:space="0"/>
              <w:right w:val="single" w:color="000000" w:sz="4" w:space="0"/>
            </w:tcBorders>
            <w:shd w:val="clear" w:color="auto" w:fill="FFFFFF"/>
            <w:vAlign w:val="center"/>
          </w:tcPr>
          <w:p w14:paraId="090C8F04">
            <w:pPr>
              <w:pStyle w:val="115"/>
              <w:jc w:val="center"/>
            </w:pPr>
            <w:r>
              <w:rPr>
                <w:rFonts w:hint="eastAsia"/>
              </w:rPr>
              <w:t>1304</w:t>
            </w: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56CEDD52">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11BBCBEE">
            <w:pPr>
              <w:pStyle w:val="115"/>
              <w:jc w:val="center"/>
            </w:pPr>
            <w:r>
              <w:rPr>
                <w:rFonts w:hint="eastAsia"/>
              </w:rPr>
              <w:t>供燃气用地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4032A7E7">
            <w:pPr>
              <w:pStyle w:val="115"/>
              <w:jc w:val="center"/>
            </w:pPr>
            <w:r>
              <w:rPr>
                <w:rFonts w:hint="eastAsia"/>
              </w:rPr>
              <w:t>2.94</w:t>
            </w:r>
          </w:p>
        </w:tc>
        <w:tc>
          <w:tcPr>
            <w:tcW w:w="751" w:type="pct"/>
            <w:tcBorders>
              <w:top w:val="single" w:color="000000" w:sz="4" w:space="0"/>
              <w:left w:val="nil"/>
              <w:bottom w:val="single" w:color="000000" w:sz="4" w:space="0"/>
            </w:tcBorders>
            <w:shd w:val="clear" w:color="auto" w:fill="FFFFFF"/>
            <w:vAlign w:val="center"/>
          </w:tcPr>
          <w:p w14:paraId="0A9E284B">
            <w:pPr>
              <w:pStyle w:val="115"/>
              <w:jc w:val="center"/>
            </w:pPr>
            <w:r>
              <w:rPr>
                <w:rFonts w:hint="eastAsia"/>
              </w:rPr>
              <w:t>0.46%</w:t>
            </w:r>
          </w:p>
        </w:tc>
      </w:tr>
      <w:tr w14:paraId="32E90AD3">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007CDBE6">
            <w:pPr>
              <w:pStyle w:val="115"/>
              <w:jc w:val="center"/>
            </w:pPr>
          </w:p>
        </w:tc>
        <w:tc>
          <w:tcPr>
            <w:tcW w:w="567" w:type="pct"/>
            <w:tcBorders>
              <w:top w:val="single" w:color="000000" w:sz="4" w:space="0"/>
              <w:left w:val="nil"/>
              <w:bottom w:val="single" w:color="000000" w:sz="4" w:space="0"/>
              <w:right w:val="single" w:color="000000" w:sz="4" w:space="0"/>
            </w:tcBorders>
            <w:shd w:val="clear" w:color="auto" w:fill="FFFFFF"/>
            <w:vAlign w:val="center"/>
          </w:tcPr>
          <w:p w14:paraId="27746489">
            <w:pPr>
              <w:pStyle w:val="115"/>
              <w:jc w:val="center"/>
            </w:pPr>
            <w:r>
              <w:rPr>
                <w:rFonts w:hint="eastAsia"/>
              </w:rPr>
              <w:t>1305</w:t>
            </w: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19727DC9">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132BE679">
            <w:pPr>
              <w:pStyle w:val="115"/>
              <w:jc w:val="center"/>
            </w:pPr>
            <w:r>
              <w:rPr>
                <w:rFonts w:hint="eastAsia"/>
              </w:rPr>
              <w:t>供热用地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3D70F122">
            <w:pPr>
              <w:pStyle w:val="115"/>
              <w:jc w:val="center"/>
            </w:pPr>
            <w:r>
              <w:rPr>
                <w:rFonts w:hint="eastAsia"/>
              </w:rPr>
              <w:t>7.04</w:t>
            </w:r>
          </w:p>
        </w:tc>
        <w:tc>
          <w:tcPr>
            <w:tcW w:w="751" w:type="pct"/>
            <w:tcBorders>
              <w:top w:val="single" w:color="000000" w:sz="4" w:space="0"/>
              <w:left w:val="nil"/>
              <w:bottom w:val="single" w:color="000000" w:sz="4" w:space="0"/>
            </w:tcBorders>
            <w:shd w:val="clear" w:color="auto" w:fill="FFFFFF"/>
            <w:vAlign w:val="center"/>
          </w:tcPr>
          <w:p w14:paraId="3DA81F82">
            <w:pPr>
              <w:pStyle w:val="115"/>
              <w:jc w:val="center"/>
            </w:pPr>
            <w:r>
              <w:rPr>
                <w:rFonts w:hint="eastAsia"/>
              </w:rPr>
              <w:t>1.10%</w:t>
            </w:r>
          </w:p>
        </w:tc>
      </w:tr>
      <w:tr w14:paraId="72814087">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3DC4B413">
            <w:pPr>
              <w:pStyle w:val="115"/>
              <w:jc w:val="center"/>
            </w:pPr>
          </w:p>
        </w:tc>
        <w:tc>
          <w:tcPr>
            <w:tcW w:w="567" w:type="pct"/>
            <w:tcBorders>
              <w:top w:val="single" w:color="000000" w:sz="4" w:space="0"/>
              <w:left w:val="nil"/>
              <w:bottom w:val="single" w:color="000000" w:sz="4" w:space="0"/>
              <w:right w:val="single" w:color="000000" w:sz="4" w:space="0"/>
            </w:tcBorders>
            <w:shd w:val="clear" w:color="auto" w:fill="FFFFFF"/>
            <w:vAlign w:val="center"/>
          </w:tcPr>
          <w:p w14:paraId="6668ECFA">
            <w:pPr>
              <w:pStyle w:val="115"/>
              <w:jc w:val="center"/>
            </w:pPr>
            <w:r>
              <w:rPr>
                <w:rFonts w:hint="eastAsia"/>
              </w:rPr>
              <w:t>1306</w:t>
            </w: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1795A452">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3BA808BB">
            <w:pPr>
              <w:pStyle w:val="115"/>
              <w:jc w:val="center"/>
            </w:pPr>
            <w:r>
              <w:rPr>
                <w:rFonts w:hint="eastAsia"/>
              </w:rPr>
              <w:t>通信用地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3BACB709">
            <w:pPr>
              <w:pStyle w:val="115"/>
              <w:jc w:val="center"/>
            </w:pPr>
            <w:r>
              <w:rPr>
                <w:rFonts w:hint="eastAsia"/>
              </w:rPr>
              <w:t>0.57</w:t>
            </w:r>
          </w:p>
        </w:tc>
        <w:tc>
          <w:tcPr>
            <w:tcW w:w="751" w:type="pct"/>
            <w:tcBorders>
              <w:top w:val="single" w:color="000000" w:sz="4" w:space="0"/>
              <w:left w:val="nil"/>
              <w:bottom w:val="single" w:color="000000" w:sz="4" w:space="0"/>
            </w:tcBorders>
            <w:shd w:val="clear" w:color="auto" w:fill="FFFFFF"/>
            <w:vAlign w:val="center"/>
          </w:tcPr>
          <w:p w14:paraId="14979767">
            <w:pPr>
              <w:pStyle w:val="115"/>
              <w:jc w:val="center"/>
            </w:pPr>
            <w:r>
              <w:rPr>
                <w:rFonts w:hint="eastAsia"/>
              </w:rPr>
              <w:t>0.09%</w:t>
            </w:r>
          </w:p>
        </w:tc>
      </w:tr>
      <w:tr w14:paraId="1041C0B9">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4CF07F9E">
            <w:pPr>
              <w:pStyle w:val="115"/>
              <w:jc w:val="center"/>
            </w:pPr>
          </w:p>
        </w:tc>
        <w:tc>
          <w:tcPr>
            <w:tcW w:w="567" w:type="pct"/>
            <w:tcBorders>
              <w:top w:val="single" w:color="000000" w:sz="4" w:space="0"/>
              <w:left w:val="nil"/>
              <w:bottom w:val="single" w:color="000000" w:sz="4" w:space="0"/>
              <w:right w:val="single" w:color="000000" w:sz="4" w:space="0"/>
            </w:tcBorders>
            <w:shd w:val="clear" w:color="auto" w:fill="FFFFFF"/>
            <w:vAlign w:val="center"/>
          </w:tcPr>
          <w:p w14:paraId="79409914">
            <w:pPr>
              <w:pStyle w:val="115"/>
              <w:jc w:val="center"/>
            </w:pPr>
            <w:r>
              <w:rPr>
                <w:rFonts w:hint="eastAsia"/>
              </w:rPr>
              <w:t>1307</w:t>
            </w: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26C21BCF">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30FC3A87">
            <w:pPr>
              <w:pStyle w:val="115"/>
              <w:jc w:val="center"/>
            </w:pPr>
            <w:r>
              <w:rPr>
                <w:rFonts w:hint="eastAsia"/>
              </w:rPr>
              <w:t>邮政用地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492506AE">
            <w:pPr>
              <w:pStyle w:val="115"/>
              <w:jc w:val="center"/>
            </w:pPr>
            <w:r>
              <w:rPr>
                <w:rFonts w:hint="eastAsia"/>
              </w:rPr>
              <w:t>0.52</w:t>
            </w:r>
          </w:p>
        </w:tc>
        <w:tc>
          <w:tcPr>
            <w:tcW w:w="751" w:type="pct"/>
            <w:tcBorders>
              <w:top w:val="single" w:color="000000" w:sz="4" w:space="0"/>
              <w:left w:val="nil"/>
              <w:bottom w:val="single" w:color="000000" w:sz="4" w:space="0"/>
            </w:tcBorders>
            <w:shd w:val="clear" w:color="auto" w:fill="FFFFFF"/>
            <w:vAlign w:val="center"/>
          </w:tcPr>
          <w:p w14:paraId="28D65625">
            <w:pPr>
              <w:pStyle w:val="115"/>
              <w:jc w:val="center"/>
            </w:pPr>
            <w:r>
              <w:rPr>
                <w:rFonts w:hint="eastAsia"/>
              </w:rPr>
              <w:t>0.08%</w:t>
            </w:r>
          </w:p>
        </w:tc>
      </w:tr>
      <w:tr w14:paraId="4383F7B5">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2F38E994">
            <w:pPr>
              <w:pStyle w:val="115"/>
              <w:jc w:val="center"/>
            </w:pPr>
          </w:p>
        </w:tc>
        <w:tc>
          <w:tcPr>
            <w:tcW w:w="567" w:type="pct"/>
            <w:tcBorders>
              <w:top w:val="single" w:color="000000" w:sz="4" w:space="0"/>
              <w:left w:val="nil"/>
              <w:bottom w:val="single" w:color="000000" w:sz="4" w:space="0"/>
              <w:right w:val="single" w:color="000000" w:sz="4" w:space="0"/>
            </w:tcBorders>
            <w:shd w:val="clear" w:color="auto" w:fill="FFFFFF"/>
            <w:vAlign w:val="center"/>
          </w:tcPr>
          <w:p w14:paraId="00C362E0">
            <w:pPr>
              <w:pStyle w:val="115"/>
              <w:jc w:val="center"/>
            </w:pPr>
            <w:r>
              <w:rPr>
                <w:rFonts w:hint="eastAsia"/>
              </w:rPr>
              <w:t>1309</w:t>
            </w: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7C3EB38F">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64E4A848">
            <w:pPr>
              <w:pStyle w:val="115"/>
              <w:jc w:val="center"/>
            </w:pPr>
            <w:r>
              <w:rPr>
                <w:rFonts w:hint="eastAsia"/>
              </w:rPr>
              <w:t>环卫用地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02662E54">
            <w:pPr>
              <w:pStyle w:val="115"/>
              <w:jc w:val="center"/>
            </w:pPr>
            <w:r>
              <w:rPr>
                <w:rFonts w:hint="eastAsia"/>
              </w:rPr>
              <w:t>0.74</w:t>
            </w:r>
          </w:p>
        </w:tc>
        <w:tc>
          <w:tcPr>
            <w:tcW w:w="751" w:type="pct"/>
            <w:tcBorders>
              <w:top w:val="single" w:color="000000" w:sz="4" w:space="0"/>
              <w:left w:val="nil"/>
              <w:bottom w:val="single" w:color="000000" w:sz="4" w:space="0"/>
            </w:tcBorders>
            <w:shd w:val="clear" w:color="auto" w:fill="FFFFFF"/>
            <w:vAlign w:val="center"/>
          </w:tcPr>
          <w:p w14:paraId="1698FFE2">
            <w:pPr>
              <w:pStyle w:val="115"/>
              <w:jc w:val="center"/>
            </w:pPr>
            <w:r>
              <w:rPr>
                <w:rFonts w:hint="eastAsia"/>
              </w:rPr>
              <w:t>0.12%</w:t>
            </w:r>
          </w:p>
        </w:tc>
      </w:tr>
      <w:tr w14:paraId="4DD8C3F7">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4C60488F">
            <w:pPr>
              <w:pStyle w:val="115"/>
              <w:jc w:val="center"/>
            </w:pPr>
          </w:p>
        </w:tc>
        <w:tc>
          <w:tcPr>
            <w:tcW w:w="567" w:type="pct"/>
            <w:tcBorders>
              <w:top w:val="single" w:color="000000" w:sz="4" w:space="0"/>
              <w:left w:val="nil"/>
              <w:bottom w:val="single" w:color="000000" w:sz="4" w:space="0"/>
              <w:right w:val="single" w:color="000000" w:sz="4" w:space="0"/>
            </w:tcBorders>
            <w:shd w:val="clear" w:color="auto" w:fill="FFFFFF"/>
            <w:vAlign w:val="center"/>
          </w:tcPr>
          <w:p w14:paraId="47447221">
            <w:pPr>
              <w:pStyle w:val="115"/>
              <w:jc w:val="center"/>
            </w:pPr>
            <w:r>
              <w:rPr>
                <w:rFonts w:hint="eastAsia"/>
              </w:rPr>
              <w:t>1310</w:t>
            </w: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33390DC7">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14C37050">
            <w:pPr>
              <w:pStyle w:val="115"/>
              <w:jc w:val="center"/>
            </w:pPr>
            <w:r>
              <w:rPr>
                <w:rFonts w:hint="eastAsia"/>
              </w:rPr>
              <w:t>消防用地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1541FBDC">
            <w:pPr>
              <w:pStyle w:val="115"/>
              <w:jc w:val="center"/>
            </w:pPr>
            <w:r>
              <w:rPr>
                <w:rFonts w:hint="eastAsia"/>
              </w:rPr>
              <w:t>2.26</w:t>
            </w:r>
          </w:p>
        </w:tc>
        <w:tc>
          <w:tcPr>
            <w:tcW w:w="751" w:type="pct"/>
            <w:tcBorders>
              <w:top w:val="single" w:color="000000" w:sz="4" w:space="0"/>
              <w:left w:val="nil"/>
              <w:bottom w:val="single" w:color="000000" w:sz="4" w:space="0"/>
            </w:tcBorders>
            <w:shd w:val="clear" w:color="auto" w:fill="FFFFFF"/>
            <w:vAlign w:val="center"/>
          </w:tcPr>
          <w:p w14:paraId="06FE4BC3">
            <w:pPr>
              <w:pStyle w:val="115"/>
              <w:jc w:val="center"/>
            </w:pPr>
            <w:r>
              <w:rPr>
                <w:rFonts w:hint="eastAsia"/>
              </w:rPr>
              <w:t>0.35%</w:t>
            </w:r>
          </w:p>
        </w:tc>
      </w:tr>
      <w:tr w14:paraId="240E2889">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3C39A881">
            <w:pPr>
              <w:pStyle w:val="115"/>
              <w:jc w:val="center"/>
            </w:pPr>
          </w:p>
        </w:tc>
        <w:tc>
          <w:tcPr>
            <w:tcW w:w="567" w:type="pct"/>
            <w:tcBorders>
              <w:top w:val="single" w:color="000000" w:sz="4" w:space="0"/>
              <w:left w:val="nil"/>
              <w:bottom w:val="single" w:color="000000" w:sz="4" w:space="0"/>
              <w:right w:val="single" w:color="000000" w:sz="4" w:space="0"/>
            </w:tcBorders>
            <w:shd w:val="clear" w:color="auto" w:fill="FFFFFF"/>
            <w:vAlign w:val="center"/>
          </w:tcPr>
          <w:p w14:paraId="19D23A8A">
            <w:pPr>
              <w:pStyle w:val="115"/>
              <w:jc w:val="center"/>
            </w:pPr>
            <w:r>
              <w:rPr>
                <w:rFonts w:hint="eastAsia"/>
              </w:rPr>
              <w:t>1312</w:t>
            </w: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1ABD8D85">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58AC6FE8">
            <w:pPr>
              <w:pStyle w:val="115"/>
              <w:jc w:val="center"/>
            </w:pPr>
            <w:r>
              <w:rPr>
                <w:rFonts w:hint="eastAsia"/>
              </w:rPr>
              <w:t>其他公用设施用地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55AF9D71">
            <w:pPr>
              <w:pStyle w:val="115"/>
              <w:jc w:val="center"/>
            </w:pPr>
            <w:r>
              <w:rPr>
                <w:rFonts w:hint="eastAsia"/>
              </w:rPr>
              <w:t>2.33</w:t>
            </w:r>
          </w:p>
        </w:tc>
        <w:tc>
          <w:tcPr>
            <w:tcW w:w="751" w:type="pct"/>
            <w:tcBorders>
              <w:top w:val="single" w:color="000000" w:sz="4" w:space="0"/>
              <w:left w:val="nil"/>
              <w:bottom w:val="single" w:color="000000" w:sz="4" w:space="0"/>
            </w:tcBorders>
            <w:shd w:val="clear" w:color="auto" w:fill="FFFFFF"/>
            <w:vAlign w:val="center"/>
          </w:tcPr>
          <w:p w14:paraId="2328CD1B">
            <w:pPr>
              <w:pStyle w:val="115"/>
              <w:jc w:val="center"/>
            </w:pPr>
            <w:r>
              <w:rPr>
                <w:rFonts w:hint="eastAsia"/>
              </w:rPr>
              <w:t>0.36%</w:t>
            </w:r>
          </w:p>
        </w:tc>
      </w:tr>
      <w:tr w14:paraId="2A28DDDC">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restart"/>
            <w:tcBorders>
              <w:top w:val="nil"/>
              <w:bottom w:val="single" w:color="000000" w:sz="4" w:space="0"/>
              <w:right w:val="single" w:color="000000" w:sz="4" w:space="0"/>
            </w:tcBorders>
            <w:shd w:val="clear" w:color="auto" w:fill="FFFFFF"/>
            <w:vAlign w:val="center"/>
          </w:tcPr>
          <w:p w14:paraId="154D457A">
            <w:pPr>
              <w:pStyle w:val="115"/>
              <w:jc w:val="center"/>
            </w:pPr>
            <w:r>
              <w:rPr>
                <w:rFonts w:hint="eastAsia"/>
              </w:rPr>
              <w:t>14</w:t>
            </w:r>
          </w:p>
        </w:tc>
        <w:tc>
          <w:tcPr>
            <w:tcW w:w="567" w:type="pct"/>
            <w:tcBorders>
              <w:top w:val="single" w:color="000000" w:sz="4" w:space="0"/>
              <w:left w:val="nil"/>
              <w:bottom w:val="single" w:color="000000" w:sz="4" w:space="0"/>
              <w:right w:val="single" w:color="000000" w:sz="4" w:space="0"/>
            </w:tcBorders>
            <w:shd w:val="clear" w:color="auto" w:fill="FFFFFF"/>
            <w:vAlign w:val="center"/>
          </w:tcPr>
          <w:p w14:paraId="267F32D6">
            <w:pPr>
              <w:pStyle w:val="115"/>
              <w:jc w:val="center"/>
            </w:pP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0E31BE52">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705D5BDF">
            <w:pPr>
              <w:pStyle w:val="115"/>
              <w:jc w:val="center"/>
            </w:pPr>
            <w:r>
              <w:rPr>
                <w:rFonts w:hint="eastAsia"/>
              </w:rPr>
              <w:t>绿地与开敞空间用地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23845B99">
            <w:pPr>
              <w:pStyle w:val="115"/>
              <w:jc w:val="center"/>
            </w:pPr>
            <w:r>
              <w:rPr>
                <w:rFonts w:hint="eastAsia"/>
              </w:rPr>
              <w:t>180.63</w:t>
            </w:r>
          </w:p>
        </w:tc>
        <w:tc>
          <w:tcPr>
            <w:tcW w:w="751" w:type="pct"/>
            <w:tcBorders>
              <w:top w:val="single" w:color="000000" w:sz="4" w:space="0"/>
              <w:left w:val="nil"/>
              <w:bottom w:val="single" w:color="000000" w:sz="4" w:space="0"/>
            </w:tcBorders>
            <w:shd w:val="clear" w:color="auto" w:fill="FFFFFF"/>
            <w:vAlign w:val="center"/>
          </w:tcPr>
          <w:p w14:paraId="46B9F4A2">
            <w:pPr>
              <w:pStyle w:val="115"/>
              <w:jc w:val="center"/>
            </w:pPr>
            <w:r>
              <w:rPr>
                <w:rFonts w:hint="eastAsia"/>
              </w:rPr>
              <w:t>28.25%</w:t>
            </w:r>
          </w:p>
        </w:tc>
      </w:tr>
      <w:tr w14:paraId="407AEF9F">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1A01006A">
            <w:pPr>
              <w:pStyle w:val="115"/>
              <w:jc w:val="center"/>
            </w:pPr>
          </w:p>
        </w:tc>
        <w:tc>
          <w:tcPr>
            <w:tcW w:w="567" w:type="pct"/>
            <w:tcBorders>
              <w:top w:val="single" w:color="000000" w:sz="4" w:space="0"/>
              <w:left w:val="nil"/>
              <w:bottom w:val="single" w:color="000000" w:sz="4" w:space="0"/>
              <w:right w:val="single" w:color="000000" w:sz="4" w:space="0"/>
            </w:tcBorders>
            <w:shd w:val="clear" w:color="auto" w:fill="FFFFFF"/>
            <w:vAlign w:val="center"/>
          </w:tcPr>
          <w:p w14:paraId="5BA584CB">
            <w:pPr>
              <w:pStyle w:val="115"/>
              <w:jc w:val="center"/>
            </w:pPr>
            <w:r>
              <w:rPr>
                <w:rFonts w:hint="eastAsia"/>
              </w:rPr>
              <w:t>1401</w:t>
            </w: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5894BD60">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1D258CEB">
            <w:pPr>
              <w:pStyle w:val="115"/>
              <w:jc w:val="center"/>
            </w:pPr>
            <w:r>
              <w:rPr>
                <w:rFonts w:hint="eastAsia"/>
              </w:rPr>
              <w:t>公园绿地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0AA2DF88">
            <w:pPr>
              <w:pStyle w:val="115"/>
              <w:jc w:val="center"/>
            </w:pPr>
            <w:r>
              <w:rPr>
                <w:rFonts w:hint="eastAsia"/>
              </w:rPr>
              <w:t>162.94</w:t>
            </w:r>
          </w:p>
        </w:tc>
        <w:tc>
          <w:tcPr>
            <w:tcW w:w="751" w:type="pct"/>
            <w:tcBorders>
              <w:top w:val="single" w:color="000000" w:sz="4" w:space="0"/>
              <w:left w:val="nil"/>
              <w:bottom w:val="single" w:color="000000" w:sz="4" w:space="0"/>
            </w:tcBorders>
            <w:shd w:val="clear" w:color="auto" w:fill="FFFFFF"/>
            <w:vAlign w:val="center"/>
          </w:tcPr>
          <w:p w14:paraId="319F60CB">
            <w:pPr>
              <w:pStyle w:val="115"/>
              <w:jc w:val="center"/>
            </w:pPr>
            <w:r>
              <w:rPr>
                <w:rFonts w:hint="eastAsia"/>
              </w:rPr>
              <w:t>25.48%</w:t>
            </w:r>
          </w:p>
        </w:tc>
      </w:tr>
      <w:tr w14:paraId="32B8BE6A">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0560076F">
            <w:pPr>
              <w:pStyle w:val="115"/>
              <w:jc w:val="center"/>
            </w:pPr>
          </w:p>
        </w:tc>
        <w:tc>
          <w:tcPr>
            <w:tcW w:w="567" w:type="pct"/>
            <w:tcBorders>
              <w:top w:val="single" w:color="000000" w:sz="4" w:space="0"/>
              <w:left w:val="nil"/>
              <w:bottom w:val="single" w:color="000000" w:sz="4" w:space="0"/>
              <w:right w:val="single" w:color="000000" w:sz="4" w:space="0"/>
            </w:tcBorders>
            <w:shd w:val="clear" w:color="auto" w:fill="FFFFFF"/>
            <w:vAlign w:val="center"/>
          </w:tcPr>
          <w:p w14:paraId="54FD5164">
            <w:pPr>
              <w:pStyle w:val="115"/>
              <w:jc w:val="center"/>
            </w:pPr>
            <w:r>
              <w:rPr>
                <w:rFonts w:hint="eastAsia"/>
              </w:rPr>
              <w:t>1402</w:t>
            </w: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3F144CD9">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49948462">
            <w:pPr>
              <w:pStyle w:val="115"/>
              <w:jc w:val="center"/>
            </w:pPr>
            <w:r>
              <w:rPr>
                <w:rFonts w:hint="eastAsia"/>
              </w:rPr>
              <w:t>防护绿地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16C5595F">
            <w:pPr>
              <w:pStyle w:val="115"/>
              <w:jc w:val="center"/>
            </w:pPr>
            <w:r>
              <w:rPr>
                <w:rFonts w:hint="eastAsia"/>
              </w:rPr>
              <w:t>12.32</w:t>
            </w:r>
          </w:p>
        </w:tc>
        <w:tc>
          <w:tcPr>
            <w:tcW w:w="751" w:type="pct"/>
            <w:tcBorders>
              <w:top w:val="single" w:color="000000" w:sz="4" w:space="0"/>
              <w:left w:val="nil"/>
              <w:bottom w:val="single" w:color="000000" w:sz="4" w:space="0"/>
            </w:tcBorders>
            <w:shd w:val="clear" w:color="auto" w:fill="FFFFFF"/>
            <w:vAlign w:val="center"/>
          </w:tcPr>
          <w:p w14:paraId="6BB0E454">
            <w:pPr>
              <w:pStyle w:val="115"/>
              <w:jc w:val="center"/>
            </w:pPr>
            <w:r>
              <w:rPr>
                <w:rFonts w:hint="eastAsia"/>
              </w:rPr>
              <w:t>1.93%</w:t>
            </w:r>
          </w:p>
        </w:tc>
      </w:tr>
      <w:tr w14:paraId="2C91C40C">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55E55D7C">
            <w:pPr>
              <w:pStyle w:val="115"/>
              <w:jc w:val="center"/>
            </w:pPr>
          </w:p>
        </w:tc>
        <w:tc>
          <w:tcPr>
            <w:tcW w:w="567" w:type="pct"/>
            <w:tcBorders>
              <w:top w:val="single" w:color="000000" w:sz="4" w:space="0"/>
              <w:left w:val="nil"/>
              <w:bottom w:val="single" w:color="000000" w:sz="4" w:space="0"/>
              <w:right w:val="single" w:color="000000" w:sz="4" w:space="0"/>
            </w:tcBorders>
            <w:shd w:val="clear" w:color="auto" w:fill="FFFFFF"/>
            <w:vAlign w:val="center"/>
          </w:tcPr>
          <w:p w14:paraId="73E2CB3E">
            <w:pPr>
              <w:pStyle w:val="115"/>
              <w:jc w:val="center"/>
            </w:pPr>
            <w:r>
              <w:rPr>
                <w:rFonts w:hint="eastAsia"/>
              </w:rPr>
              <w:t>1403</w:t>
            </w: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6C5CE149">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469AF889">
            <w:pPr>
              <w:pStyle w:val="115"/>
              <w:jc w:val="center"/>
            </w:pPr>
            <w:r>
              <w:rPr>
                <w:rFonts w:hint="eastAsia"/>
              </w:rPr>
              <w:t>广场用地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5F88EC8D">
            <w:pPr>
              <w:pStyle w:val="115"/>
              <w:jc w:val="center"/>
            </w:pPr>
            <w:r>
              <w:rPr>
                <w:rFonts w:hint="eastAsia"/>
              </w:rPr>
              <w:t>5.37</w:t>
            </w:r>
          </w:p>
        </w:tc>
        <w:tc>
          <w:tcPr>
            <w:tcW w:w="751" w:type="pct"/>
            <w:tcBorders>
              <w:top w:val="single" w:color="000000" w:sz="4" w:space="0"/>
              <w:left w:val="nil"/>
              <w:bottom w:val="single" w:color="000000" w:sz="4" w:space="0"/>
            </w:tcBorders>
            <w:shd w:val="clear" w:color="auto" w:fill="FFFFFF"/>
            <w:vAlign w:val="center"/>
          </w:tcPr>
          <w:p w14:paraId="12BD7A8C">
            <w:pPr>
              <w:pStyle w:val="115"/>
              <w:jc w:val="center"/>
            </w:pPr>
            <w:r>
              <w:rPr>
                <w:rFonts w:hint="eastAsia"/>
              </w:rPr>
              <w:t>0.84%</w:t>
            </w:r>
          </w:p>
        </w:tc>
      </w:tr>
      <w:tr w14:paraId="3AED0D1C">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restart"/>
            <w:tcBorders>
              <w:top w:val="nil"/>
              <w:bottom w:val="single" w:color="000000" w:sz="4" w:space="0"/>
              <w:right w:val="single" w:color="000000" w:sz="4" w:space="0"/>
            </w:tcBorders>
            <w:shd w:val="clear" w:color="auto" w:fill="FFFFFF"/>
            <w:vAlign w:val="center"/>
          </w:tcPr>
          <w:p w14:paraId="4043FB89">
            <w:pPr>
              <w:pStyle w:val="115"/>
              <w:jc w:val="center"/>
            </w:pPr>
            <w:r>
              <w:rPr>
                <w:rFonts w:hint="eastAsia"/>
              </w:rPr>
              <w:t>15</w:t>
            </w:r>
          </w:p>
        </w:tc>
        <w:tc>
          <w:tcPr>
            <w:tcW w:w="567" w:type="pct"/>
            <w:tcBorders>
              <w:top w:val="single" w:color="000000" w:sz="4" w:space="0"/>
              <w:left w:val="nil"/>
              <w:bottom w:val="single" w:color="000000" w:sz="4" w:space="0"/>
              <w:right w:val="single" w:color="000000" w:sz="4" w:space="0"/>
            </w:tcBorders>
            <w:shd w:val="clear" w:color="auto" w:fill="FFFFFF"/>
            <w:vAlign w:val="center"/>
          </w:tcPr>
          <w:p w14:paraId="2E950109">
            <w:pPr>
              <w:pStyle w:val="115"/>
              <w:jc w:val="center"/>
            </w:pP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5553368C">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27E95729">
            <w:pPr>
              <w:pStyle w:val="115"/>
              <w:jc w:val="center"/>
            </w:pPr>
            <w:r>
              <w:rPr>
                <w:rFonts w:hint="eastAsia"/>
              </w:rPr>
              <w:t>特殊用地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5C396D64">
            <w:pPr>
              <w:pStyle w:val="115"/>
              <w:jc w:val="center"/>
            </w:pPr>
            <w:r>
              <w:rPr>
                <w:rFonts w:hint="eastAsia"/>
              </w:rPr>
              <w:t>2.65</w:t>
            </w:r>
          </w:p>
        </w:tc>
        <w:tc>
          <w:tcPr>
            <w:tcW w:w="751" w:type="pct"/>
            <w:tcBorders>
              <w:top w:val="single" w:color="000000" w:sz="4" w:space="0"/>
              <w:left w:val="nil"/>
              <w:bottom w:val="single" w:color="000000" w:sz="4" w:space="0"/>
            </w:tcBorders>
            <w:shd w:val="clear" w:color="auto" w:fill="FFFFFF"/>
            <w:vAlign w:val="center"/>
          </w:tcPr>
          <w:p w14:paraId="63F408DF">
            <w:pPr>
              <w:pStyle w:val="115"/>
              <w:jc w:val="center"/>
            </w:pPr>
            <w:r>
              <w:rPr>
                <w:rFonts w:hint="eastAsia"/>
              </w:rPr>
              <w:t>0.41%</w:t>
            </w:r>
          </w:p>
        </w:tc>
      </w:tr>
      <w:tr w14:paraId="639DE61E">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24CEF1A3">
            <w:pPr>
              <w:pStyle w:val="115"/>
              <w:jc w:val="center"/>
            </w:pPr>
          </w:p>
        </w:tc>
        <w:tc>
          <w:tcPr>
            <w:tcW w:w="567" w:type="pct"/>
            <w:tcBorders>
              <w:top w:val="single" w:color="000000" w:sz="4" w:space="0"/>
              <w:left w:val="nil"/>
              <w:bottom w:val="single" w:color="000000" w:sz="4" w:space="0"/>
              <w:right w:val="single" w:color="000000" w:sz="4" w:space="0"/>
            </w:tcBorders>
            <w:shd w:val="clear" w:color="auto" w:fill="FFFFFF"/>
            <w:vAlign w:val="center"/>
          </w:tcPr>
          <w:p w14:paraId="60F090DF">
            <w:pPr>
              <w:pStyle w:val="115"/>
              <w:jc w:val="center"/>
            </w:pPr>
            <w:r>
              <w:rPr>
                <w:rFonts w:hint="eastAsia"/>
              </w:rPr>
              <w:t>1501</w:t>
            </w: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3B33FF90">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24BF735F">
            <w:pPr>
              <w:pStyle w:val="115"/>
              <w:jc w:val="center"/>
            </w:pPr>
            <w:r>
              <w:rPr>
                <w:rFonts w:hint="eastAsia"/>
              </w:rPr>
              <w:t>军事设施用地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32312321">
            <w:pPr>
              <w:pStyle w:val="115"/>
              <w:jc w:val="center"/>
            </w:pPr>
            <w:r>
              <w:rPr>
                <w:rFonts w:hint="eastAsia"/>
              </w:rPr>
              <w:t>0.33</w:t>
            </w:r>
          </w:p>
        </w:tc>
        <w:tc>
          <w:tcPr>
            <w:tcW w:w="751" w:type="pct"/>
            <w:tcBorders>
              <w:top w:val="single" w:color="000000" w:sz="4" w:space="0"/>
              <w:left w:val="nil"/>
              <w:bottom w:val="single" w:color="000000" w:sz="4" w:space="0"/>
            </w:tcBorders>
            <w:shd w:val="clear" w:color="auto" w:fill="FFFFFF"/>
            <w:vAlign w:val="center"/>
          </w:tcPr>
          <w:p w14:paraId="2A9D2B36">
            <w:pPr>
              <w:pStyle w:val="115"/>
              <w:jc w:val="center"/>
            </w:pPr>
            <w:r>
              <w:rPr>
                <w:rFonts w:hint="eastAsia"/>
              </w:rPr>
              <w:t>0.05%</w:t>
            </w:r>
          </w:p>
        </w:tc>
      </w:tr>
      <w:tr w14:paraId="664D84A3">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705BABC4">
            <w:pPr>
              <w:pStyle w:val="115"/>
              <w:jc w:val="center"/>
            </w:pPr>
          </w:p>
        </w:tc>
        <w:tc>
          <w:tcPr>
            <w:tcW w:w="567" w:type="pct"/>
            <w:tcBorders>
              <w:top w:val="single" w:color="000000" w:sz="4" w:space="0"/>
              <w:left w:val="nil"/>
              <w:bottom w:val="single" w:color="000000" w:sz="4" w:space="0"/>
              <w:right w:val="single" w:color="000000" w:sz="4" w:space="0"/>
            </w:tcBorders>
            <w:shd w:val="clear" w:color="auto" w:fill="FFFFFF"/>
            <w:vAlign w:val="center"/>
          </w:tcPr>
          <w:p w14:paraId="1B4C2768">
            <w:pPr>
              <w:pStyle w:val="115"/>
              <w:jc w:val="center"/>
            </w:pPr>
            <w:r>
              <w:rPr>
                <w:rFonts w:hint="eastAsia"/>
              </w:rPr>
              <w:t>1503</w:t>
            </w: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70EE088D">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3CDC49FA">
            <w:pPr>
              <w:pStyle w:val="115"/>
              <w:jc w:val="center"/>
            </w:pPr>
            <w:r>
              <w:rPr>
                <w:rFonts w:hint="eastAsia"/>
              </w:rPr>
              <w:t>宗教用地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1F4C2819">
            <w:pPr>
              <w:pStyle w:val="115"/>
              <w:jc w:val="center"/>
            </w:pPr>
            <w:r>
              <w:rPr>
                <w:rFonts w:hint="eastAsia"/>
              </w:rPr>
              <w:t>0.54</w:t>
            </w:r>
          </w:p>
        </w:tc>
        <w:tc>
          <w:tcPr>
            <w:tcW w:w="751" w:type="pct"/>
            <w:tcBorders>
              <w:top w:val="single" w:color="000000" w:sz="4" w:space="0"/>
              <w:left w:val="nil"/>
              <w:bottom w:val="single" w:color="000000" w:sz="4" w:space="0"/>
            </w:tcBorders>
            <w:shd w:val="clear" w:color="auto" w:fill="FFFFFF"/>
            <w:vAlign w:val="center"/>
          </w:tcPr>
          <w:p w14:paraId="1CC9A510">
            <w:pPr>
              <w:pStyle w:val="115"/>
              <w:jc w:val="center"/>
            </w:pPr>
            <w:r>
              <w:rPr>
                <w:rFonts w:hint="eastAsia"/>
              </w:rPr>
              <w:t>0.08%</w:t>
            </w:r>
          </w:p>
        </w:tc>
      </w:tr>
      <w:tr w14:paraId="1143D92C">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vMerge w:val="continue"/>
            <w:tcBorders>
              <w:top w:val="nil"/>
              <w:bottom w:val="single" w:color="000000" w:sz="4" w:space="0"/>
              <w:right w:val="single" w:color="000000" w:sz="4" w:space="0"/>
            </w:tcBorders>
            <w:shd w:val="clear" w:color="auto" w:fill="FFFFFF"/>
            <w:vAlign w:val="center"/>
          </w:tcPr>
          <w:p w14:paraId="3FFD9A5A">
            <w:pPr>
              <w:pStyle w:val="115"/>
              <w:jc w:val="center"/>
            </w:pPr>
          </w:p>
        </w:tc>
        <w:tc>
          <w:tcPr>
            <w:tcW w:w="567" w:type="pct"/>
            <w:tcBorders>
              <w:top w:val="single" w:color="000000" w:sz="4" w:space="0"/>
              <w:left w:val="nil"/>
              <w:bottom w:val="single" w:color="000000" w:sz="4" w:space="0"/>
              <w:right w:val="single" w:color="000000" w:sz="4" w:space="0"/>
            </w:tcBorders>
            <w:shd w:val="clear" w:color="auto" w:fill="FFFFFF"/>
            <w:vAlign w:val="center"/>
          </w:tcPr>
          <w:p w14:paraId="529B5BA0">
            <w:pPr>
              <w:pStyle w:val="115"/>
              <w:jc w:val="center"/>
            </w:pPr>
            <w:r>
              <w:rPr>
                <w:rFonts w:hint="eastAsia"/>
              </w:rPr>
              <w:t>1507</w:t>
            </w: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51A51185">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0E7E70FD">
            <w:pPr>
              <w:pStyle w:val="115"/>
              <w:jc w:val="center"/>
            </w:pPr>
            <w:r>
              <w:rPr>
                <w:rFonts w:hint="eastAsia"/>
              </w:rPr>
              <w:t>其他特殊用地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549D2768">
            <w:pPr>
              <w:pStyle w:val="115"/>
              <w:jc w:val="center"/>
            </w:pPr>
            <w:r>
              <w:rPr>
                <w:rFonts w:hint="eastAsia"/>
              </w:rPr>
              <w:t>1.78</w:t>
            </w:r>
          </w:p>
        </w:tc>
        <w:tc>
          <w:tcPr>
            <w:tcW w:w="751" w:type="pct"/>
            <w:tcBorders>
              <w:top w:val="single" w:color="000000" w:sz="4" w:space="0"/>
              <w:left w:val="nil"/>
              <w:bottom w:val="single" w:color="000000" w:sz="4" w:space="0"/>
            </w:tcBorders>
            <w:shd w:val="clear" w:color="auto" w:fill="FFFFFF"/>
            <w:vAlign w:val="center"/>
          </w:tcPr>
          <w:p w14:paraId="52133DCA">
            <w:pPr>
              <w:pStyle w:val="115"/>
              <w:jc w:val="center"/>
            </w:pPr>
            <w:r>
              <w:rPr>
                <w:rFonts w:hint="eastAsia"/>
              </w:rPr>
              <w:t>0.28%</w:t>
            </w:r>
          </w:p>
        </w:tc>
      </w:tr>
      <w:tr w14:paraId="4BAD01DF">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08" w:hRule="atLeast"/>
        </w:trPr>
        <w:tc>
          <w:tcPr>
            <w:tcW w:w="543" w:type="pct"/>
            <w:tcBorders>
              <w:top w:val="single" w:color="000000" w:sz="4" w:space="0"/>
              <w:bottom w:val="single" w:color="000000" w:sz="4" w:space="0"/>
              <w:right w:val="single" w:color="000000" w:sz="4" w:space="0"/>
            </w:tcBorders>
            <w:shd w:val="clear" w:color="auto" w:fill="FFFFFF"/>
            <w:vAlign w:val="center"/>
          </w:tcPr>
          <w:p w14:paraId="26904DE5">
            <w:pPr>
              <w:pStyle w:val="115"/>
              <w:jc w:val="center"/>
            </w:pPr>
            <w:r>
              <w:rPr>
                <w:rFonts w:hint="eastAsia"/>
              </w:rPr>
              <w:t>16</w:t>
            </w:r>
          </w:p>
        </w:tc>
        <w:tc>
          <w:tcPr>
            <w:tcW w:w="567" w:type="pct"/>
            <w:tcBorders>
              <w:top w:val="single" w:color="000000" w:sz="4" w:space="0"/>
              <w:left w:val="nil"/>
              <w:bottom w:val="single" w:color="000000" w:sz="4" w:space="0"/>
              <w:right w:val="single" w:color="000000" w:sz="4" w:space="0"/>
            </w:tcBorders>
            <w:shd w:val="clear" w:color="auto" w:fill="FFFFFF"/>
            <w:vAlign w:val="center"/>
          </w:tcPr>
          <w:p w14:paraId="76844CA2">
            <w:pPr>
              <w:pStyle w:val="115"/>
              <w:jc w:val="center"/>
            </w:pPr>
          </w:p>
        </w:tc>
        <w:tc>
          <w:tcPr>
            <w:tcW w:w="557" w:type="pct"/>
            <w:tcBorders>
              <w:top w:val="single" w:color="000000" w:sz="4" w:space="0"/>
              <w:left w:val="nil"/>
              <w:bottom w:val="single" w:color="000000" w:sz="4" w:space="0"/>
              <w:right w:val="single" w:color="000000" w:sz="4" w:space="0"/>
            </w:tcBorders>
            <w:shd w:val="clear" w:color="auto" w:fill="FFFFFF"/>
            <w:vAlign w:val="center"/>
          </w:tcPr>
          <w:p w14:paraId="147828DF">
            <w:pPr>
              <w:pStyle w:val="115"/>
              <w:jc w:val="center"/>
            </w:pPr>
          </w:p>
        </w:tc>
        <w:tc>
          <w:tcPr>
            <w:tcW w:w="1897" w:type="pct"/>
            <w:tcBorders>
              <w:top w:val="single" w:color="000000" w:sz="4" w:space="0"/>
              <w:left w:val="nil"/>
              <w:bottom w:val="single" w:color="000000" w:sz="4" w:space="0"/>
              <w:right w:val="single" w:color="000000" w:sz="4" w:space="0"/>
            </w:tcBorders>
            <w:shd w:val="clear" w:color="auto" w:fill="FFFFFF"/>
            <w:vAlign w:val="center"/>
          </w:tcPr>
          <w:p w14:paraId="4CB0F58D">
            <w:pPr>
              <w:pStyle w:val="115"/>
              <w:jc w:val="center"/>
            </w:pPr>
            <w:r>
              <w:rPr>
                <w:rFonts w:hint="eastAsia"/>
              </w:rPr>
              <w:t>留白用地</w:t>
            </w:r>
          </w:p>
        </w:tc>
        <w:tc>
          <w:tcPr>
            <w:tcW w:w="683" w:type="pct"/>
            <w:tcBorders>
              <w:top w:val="single" w:color="000000" w:sz="4" w:space="0"/>
              <w:left w:val="nil"/>
              <w:bottom w:val="single" w:color="000000" w:sz="4" w:space="0"/>
              <w:right w:val="single" w:color="000000" w:sz="4" w:space="0"/>
            </w:tcBorders>
            <w:shd w:val="clear" w:color="auto" w:fill="FFFFFF"/>
            <w:vAlign w:val="center"/>
          </w:tcPr>
          <w:p w14:paraId="370A51DC">
            <w:pPr>
              <w:pStyle w:val="115"/>
              <w:jc w:val="center"/>
            </w:pPr>
            <w:r>
              <w:rPr>
                <w:rFonts w:hint="eastAsia"/>
              </w:rPr>
              <w:t>15.75</w:t>
            </w:r>
          </w:p>
        </w:tc>
        <w:tc>
          <w:tcPr>
            <w:tcW w:w="751" w:type="pct"/>
            <w:tcBorders>
              <w:top w:val="single" w:color="000000" w:sz="4" w:space="0"/>
              <w:left w:val="nil"/>
              <w:bottom w:val="single" w:color="000000" w:sz="4" w:space="0"/>
            </w:tcBorders>
            <w:shd w:val="clear" w:color="auto" w:fill="FFFFFF"/>
            <w:vAlign w:val="center"/>
          </w:tcPr>
          <w:p w14:paraId="20E40828">
            <w:pPr>
              <w:pStyle w:val="115"/>
              <w:jc w:val="center"/>
            </w:pPr>
            <w:r>
              <w:rPr>
                <w:rFonts w:hint="eastAsia"/>
              </w:rPr>
              <w:t>2.46%</w:t>
            </w:r>
          </w:p>
        </w:tc>
      </w:tr>
      <w:tr w14:paraId="67F6D826">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3565" w:type="pct"/>
            <w:gridSpan w:val="4"/>
            <w:tcBorders>
              <w:top w:val="single" w:color="000000" w:sz="4" w:space="0"/>
              <w:right w:val="single" w:color="000000" w:sz="4" w:space="0"/>
            </w:tcBorders>
            <w:shd w:val="clear" w:color="auto" w:fill="FFFFFF"/>
            <w:vAlign w:val="center"/>
          </w:tcPr>
          <w:p w14:paraId="2892365B">
            <w:pPr>
              <w:pStyle w:val="115"/>
              <w:jc w:val="center"/>
            </w:pPr>
            <w:r>
              <w:rPr>
                <w:rFonts w:hint="eastAsia"/>
              </w:rPr>
              <w:t>建设用地总计</w:t>
            </w:r>
          </w:p>
        </w:tc>
        <w:tc>
          <w:tcPr>
            <w:tcW w:w="683" w:type="pct"/>
            <w:tcBorders>
              <w:top w:val="single" w:color="000000" w:sz="4" w:space="0"/>
              <w:left w:val="nil"/>
              <w:right w:val="single" w:color="000000" w:sz="4" w:space="0"/>
            </w:tcBorders>
            <w:shd w:val="clear" w:color="auto" w:fill="FFFFFF"/>
            <w:vAlign w:val="center"/>
          </w:tcPr>
          <w:p w14:paraId="6EE93C6E">
            <w:pPr>
              <w:pStyle w:val="115"/>
              <w:jc w:val="center"/>
            </w:pPr>
            <w:r>
              <w:rPr>
                <w:rFonts w:hint="eastAsia"/>
              </w:rPr>
              <w:t>639.47</w:t>
            </w:r>
          </w:p>
        </w:tc>
        <w:tc>
          <w:tcPr>
            <w:tcW w:w="751" w:type="pct"/>
            <w:tcBorders>
              <w:top w:val="single" w:color="000000" w:sz="4" w:space="0"/>
              <w:left w:val="nil"/>
            </w:tcBorders>
            <w:shd w:val="clear" w:color="auto" w:fill="FFFFFF"/>
            <w:vAlign w:val="center"/>
          </w:tcPr>
          <w:p w14:paraId="5E817261">
            <w:pPr>
              <w:pStyle w:val="115"/>
              <w:jc w:val="center"/>
            </w:pPr>
            <w:r>
              <w:rPr>
                <w:rFonts w:hint="eastAsia"/>
              </w:rPr>
              <w:t>100.00%</w:t>
            </w:r>
          </w:p>
        </w:tc>
      </w:tr>
    </w:tbl>
    <w:p w14:paraId="018B21CF">
      <w:pPr>
        <w:pStyle w:val="3"/>
        <w:numPr>
          <w:ilvl w:val="1"/>
          <w:numId w:val="5"/>
        </w:numPr>
        <w:spacing w:before="332" w:after="166"/>
        <w:rPr>
          <w:rFonts w:hint="eastAsia"/>
        </w:rPr>
      </w:pPr>
      <w:r>
        <w:rPr>
          <w:rFonts w:hint="eastAsia"/>
          <w:lang w:val="en-US" w:eastAsia="zh-CN"/>
        </w:rPr>
        <w:t>空间发展策略</w:t>
      </w:r>
    </w:p>
    <w:p w14:paraId="2FE24EF3">
      <w:pPr>
        <w:rPr>
          <w:rFonts w:hint="eastAsia"/>
        </w:rPr>
      </w:pPr>
    </w:p>
    <w:p w14:paraId="6B832B54">
      <w:pPr>
        <w:rPr>
          <w:rFonts w:hint="eastAsia"/>
        </w:rPr>
      </w:pPr>
      <w:r>
        <w:rPr>
          <w:rFonts w:hint="eastAsia"/>
        </w:rPr>
        <w:t>需求端：以人以产定功能</w:t>
      </w:r>
    </w:p>
    <w:p w14:paraId="172C24B6">
      <w:r>
        <w:drawing>
          <wp:inline distT="0" distB="0" distL="114300" distR="114300">
            <wp:extent cx="5269865" cy="3517900"/>
            <wp:effectExtent l="0" t="0" r="0" b="2540"/>
            <wp:docPr id="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
                    <pic:cNvPicPr>
                      <a:picLocks noChangeAspect="1"/>
                    </pic:cNvPicPr>
                  </pic:nvPicPr>
                  <pic:blipFill>
                    <a:blip r:embed="rId48"/>
                    <a:stretch>
                      <a:fillRect/>
                    </a:stretch>
                  </pic:blipFill>
                  <pic:spPr>
                    <a:xfrm>
                      <a:off x="0" y="0"/>
                      <a:ext cx="5269865" cy="3517900"/>
                    </a:xfrm>
                    <a:prstGeom prst="rect">
                      <a:avLst/>
                    </a:prstGeom>
                    <a:noFill/>
                    <a:ln>
                      <a:noFill/>
                    </a:ln>
                  </pic:spPr>
                </pic:pic>
              </a:graphicData>
            </a:graphic>
          </wp:inline>
        </w:drawing>
      </w:r>
    </w:p>
    <w:p w14:paraId="0BE631A5">
      <w:pPr>
        <w:rPr>
          <w:rFonts w:hint="eastAsia"/>
        </w:rPr>
      </w:pPr>
      <w:r>
        <w:drawing>
          <wp:inline distT="0" distB="0" distL="114300" distR="114300">
            <wp:extent cx="5269865" cy="3517900"/>
            <wp:effectExtent l="0" t="0" r="0" b="2540"/>
            <wp:docPr id="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
                    <pic:cNvPicPr>
                      <a:picLocks noChangeAspect="1"/>
                    </pic:cNvPicPr>
                  </pic:nvPicPr>
                  <pic:blipFill>
                    <a:blip r:embed="rId49"/>
                    <a:stretch>
                      <a:fillRect/>
                    </a:stretch>
                  </pic:blipFill>
                  <pic:spPr>
                    <a:xfrm>
                      <a:off x="0" y="0"/>
                      <a:ext cx="5269865" cy="3517900"/>
                    </a:xfrm>
                    <a:prstGeom prst="rect">
                      <a:avLst/>
                    </a:prstGeom>
                    <a:noFill/>
                    <a:ln>
                      <a:noFill/>
                    </a:ln>
                  </pic:spPr>
                </pic:pic>
              </a:graphicData>
            </a:graphic>
          </wp:inline>
        </w:drawing>
      </w:r>
    </w:p>
    <w:p w14:paraId="27FC0C78">
      <w:pPr>
        <w:rPr>
          <w:rFonts w:hint="default" w:eastAsia="宋体"/>
          <w:lang w:val="en-US" w:eastAsia="zh-CN"/>
        </w:rPr>
      </w:pPr>
      <w:r>
        <w:rPr>
          <w:rFonts w:hint="eastAsia"/>
          <w:lang w:val="en-US" w:eastAsia="zh-CN"/>
        </w:rPr>
        <w:t>供给端：引导低效闲置空间转化</w:t>
      </w:r>
    </w:p>
    <w:p w14:paraId="3C40EDE2">
      <w:pPr>
        <w:ind w:left="0" w:leftChars="0" w:firstLine="0" w:firstLineChars="0"/>
        <w:rPr>
          <w:rFonts w:hint="eastAsia"/>
        </w:rPr>
      </w:pPr>
      <w:r>
        <w:drawing>
          <wp:inline distT="0" distB="0" distL="114300" distR="114300">
            <wp:extent cx="5269865" cy="3615055"/>
            <wp:effectExtent l="0" t="0" r="3175" b="12065"/>
            <wp:docPr id="5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
                    <pic:cNvPicPr>
                      <a:picLocks noChangeAspect="1"/>
                    </pic:cNvPicPr>
                  </pic:nvPicPr>
                  <pic:blipFill>
                    <a:blip r:embed="rId50"/>
                    <a:stretch>
                      <a:fillRect/>
                    </a:stretch>
                  </pic:blipFill>
                  <pic:spPr>
                    <a:xfrm>
                      <a:off x="0" y="0"/>
                      <a:ext cx="5269865" cy="3615055"/>
                    </a:xfrm>
                    <a:prstGeom prst="rect">
                      <a:avLst/>
                    </a:prstGeom>
                    <a:noFill/>
                    <a:ln>
                      <a:noFill/>
                    </a:ln>
                  </pic:spPr>
                </pic:pic>
              </a:graphicData>
            </a:graphic>
          </wp:inline>
        </w:drawing>
      </w:r>
    </w:p>
    <w:p w14:paraId="3F298EC0">
      <w:pPr>
        <w:pStyle w:val="3"/>
        <w:numPr>
          <w:ilvl w:val="1"/>
          <w:numId w:val="5"/>
        </w:numPr>
        <w:spacing w:before="332" w:after="166"/>
        <w:rPr>
          <w:rFonts w:hint="eastAsia"/>
        </w:rPr>
      </w:pPr>
      <w:r>
        <w:rPr>
          <w:rFonts w:hint="eastAsia"/>
        </w:rPr>
        <w:t>土地管控要求</w:t>
      </w:r>
    </w:p>
    <w:p w14:paraId="2720CFCF">
      <w:pPr>
        <w:spacing w:after="166"/>
        <w:ind w:firstLine="500"/>
        <w:rPr>
          <w:lang w:val="en-US"/>
        </w:rPr>
      </w:pPr>
      <w:r>
        <w:rPr>
          <w:rFonts w:hint="eastAsia"/>
          <w:lang w:val="en-US"/>
        </w:rPr>
        <w:t>坚持生态优先、绿色发展，合理确定用地规模，保障生态空间，构筑白云矿区城区绿色本底；坚持节约集约利用土地，统筹供需，优化配置，满足城区建设需求；强化功能混合，提高用地效率，预留发展弹性，保障未来发展需求。</w:t>
      </w:r>
    </w:p>
    <w:p w14:paraId="0FB4CD5F">
      <w:pPr>
        <w:spacing w:after="166"/>
        <w:ind w:firstLine="500"/>
        <w:rPr>
          <w:rFonts w:hint="eastAsia" w:ascii="宋体" w:hAnsi="宋体" w:cs="宋体"/>
          <w:u w:val="single"/>
          <w:lang w:val="en-US" w:bidi="ar"/>
        </w:rPr>
      </w:pPr>
      <w:r>
        <w:rPr>
          <w:lang w:val="en-US" w:eastAsia="zh"/>
        </w:rPr>
        <w:t>坚持功能复合、节约集约、增强活力，鼓励地块、建筑多层次功能混合利用。遵循环境安全、减少干扰、保障公益的原则，实施负面清单等管控，明确禁止兼容的功能</w:t>
      </w:r>
      <w:r>
        <w:rPr>
          <w:rFonts w:hint="eastAsia"/>
          <w:lang w:val="en-US"/>
        </w:rPr>
        <w:t>。</w:t>
      </w:r>
      <w:r>
        <w:rPr>
          <w:rFonts w:ascii="宋体" w:hAnsi="宋体" w:cs="宋体"/>
          <w:u w:val="single"/>
          <w:lang w:val="en-US" w:bidi="ar"/>
        </w:rPr>
        <w:br w:type="page"/>
      </w:r>
    </w:p>
    <w:p w14:paraId="1DEAB697">
      <w:pPr>
        <w:pStyle w:val="2"/>
        <w:numPr>
          <w:ilvl w:val="0"/>
          <w:numId w:val="5"/>
        </w:numPr>
        <w:rPr>
          <w:rFonts w:hint="eastAsia"/>
        </w:rPr>
      </w:pPr>
      <w:bookmarkStart w:id="5" w:name="_Toc308"/>
      <w:r>
        <w:rPr>
          <w:rFonts w:hint="eastAsia"/>
        </w:rPr>
        <w:t>居住用地</w:t>
      </w:r>
      <w:bookmarkEnd w:id="5"/>
    </w:p>
    <w:p w14:paraId="0DFA7EC4">
      <w:pPr>
        <w:pStyle w:val="3"/>
        <w:numPr>
          <w:ilvl w:val="1"/>
          <w:numId w:val="5"/>
        </w:numPr>
        <w:spacing w:before="332" w:after="166"/>
        <w:rPr>
          <w:rFonts w:hint="eastAsia"/>
          <w:lang w:val="zh-CN"/>
        </w:rPr>
      </w:pPr>
      <w:r>
        <w:rPr>
          <w:rFonts w:hint="eastAsia"/>
        </w:rPr>
        <w:t>居住用地现状及存在问题</w:t>
      </w:r>
    </w:p>
    <w:p w14:paraId="6374FE43">
      <w:pPr>
        <w:spacing w:after="166"/>
        <w:ind w:firstLine="500"/>
        <w:rPr>
          <w:lang w:val="en-US"/>
        </w:rPr>
      </w:pPr>
      <w:r>
        <w:rPr>
          <w:rFonts w:hint="eastAsia"/>
          <w:lang w:val="en-US"/>
        </w:rPr>
        <w:t>城区范围内，共有居住用地194.23公顷，现状土地使用强度较低。平均容积率为0.60，其中接近八成容积率小于1.0，容积率小于0.5的用地占比41.78%；容积率位于0.5-1.0的用地占比39.15%。平均建筑密度为22.11%，其中建筑密度小于30%用地占比58.17%，建筑密度位于30%-60%用地占比41.50%，建筑密度位于60%-80%用地占比0.34%。</w:t>
      </w:r>
    </w:p>
    <w:p w14:paraId="00CF6CBB">
      <w:pPr>
        <w:pStyle w:val="13"/>
        <w:spacing w:after="0" w:afterLines="0"/>
        <w:ind w:firstLine="0" w:firstLineChars="0"/>
        <w:jc w:val="center"/>
        <w:rPr>
          <w:rFonts w:hint="eastAsia"/>
        </w:rPr>
      </w:pPr>
      <w:r>
        <w:drawing>
          <wp:inline distT="0" distB="0" distL="114300" distR="114300">
            <wp:extent cx="4738370" cy="3357245"/>
            <wp:effectExtent l="0" t="0" r="0" b="14605"/>
            <wp:docPr id="4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3"/>
                    <pic:cNvPicPr>
                      <a:picLocks noChangeAspect="1"/>
                    </pic:cNvPicPr>
                  </pic:nvPicPr>
                  <pic:blipFill>
                    <a:blip r:embed="rId51"/>
                    <a:stretch>
                      <a:fillRect/>
                    </a:stretch>
                  </pic:blipFill>
                  <pic:spPr>
                    <a:xfrm>
                      <a:off x="0" y="0"/>
                      <a:ext cx="4744937" cy="3361878"/>
                    </a:xfrm>
                    <a:prstGeom prst="rect">
                      <a:avLst/>
                    </a:prstGeom>
                    <a:noFill/>
                    <a:ln>
                      <a:noFill/>
                    </a:ln>
                  </pic:spPr>
                </pic:pic>
              </a:graphicData>
            </a:graphic>
          </wp:inline>
        </w:drawing>
      </w:r>
    </w:p>
    <w:p w14:paraId="53C42D54">
      <w:pPr>
        <w:pStyle w:val="268"/>
      </w:pPr>
      <w:r>
        <w:rPr>
          <w:rFonts w:hint="eastAsia"/>
        </w:rPr>
        <w:t>图5-1  现状居住用地容积率分布图</w:t>
      </w:r>
    </w:p>
    <w:p w14:paraId="41BA282A">
      <w:pPr>
        <w:spacing w:after="166"/>
        <w:ind w:firstLine="500"/>
        <w:rPr>
          <w:lang w:val="en-US"/>
        </w:rPr>
      </w:pPr>
      <w:r>
        <w:rPr>
          <w:rFonts w:hint="eastAsia"/>
          <w:lang w:val="en-US"/>
        </w:rPr>
        <w:t>根据具体使用情况可将现状居住区分为三类。一类为城市早期开发阶段铁矿等主导建设的职工宿舍、职工公寓，根据建设时间的早晚差异，建筑质量区别较大。部分建设年代较早的现状居住环境较差，部分相对新建的则建筑质量相对良好、居住配套等方面更加完善，如1</w:t>
      </w:r>
      <w:r>
        <w:rPr>
          <w:lang w:val="en-US"/>
        </w:rPr>
        <w:t>0</w:t>
      </w:r>
      <w:r>
        <w:rPr>
          <w:rFonts w:hint="eastAsia"/>
          <w:lang w:val="en-US"/>
        </w:rPr>
        <w:t>、1</w:t>
      </w:r>
      <w:r>
        <w:rPr>
          <w:lang w:val="en-US"/>
        </w:rPr>
        <w:t>1</w:t>
      </w:r>
      <w:r>
        <w:rPr>
          <w:rFonts w:hint="eastAsia"/>
          <w:lang w:val="en-US"/>
        </w:rPr>
        <w:t>、1</w:t>
      </w:r>
      <w:r>
        <w:rPr>
          <w:lang w:val="en-US"/>
        </w:rPr>
        <w:t>2</w:t>
      </w:r>
      <w:r>
        <w:rPr>
          <w:rFonts w:hint="eastAsia"/>
          <w:lang w:val="en-US"/>
        </w:rPr>
        <w:t>号楼等。一类为近些年新建的商品住房小区，大多在十年间建设完成，如云景名邸小区、夏日豪庭、博惠佳苑、润林苑等，此类商品房住宅在居住配套方面也存在差异。第三类为老棚户区拆迁后的遗留空地，由于历史原因，部分棚改拆迁遗留的空地在变更调查中被调查为“居住用地”，但实际此类用地内几乎无建筑，处于闲置、有待开发利用的状态。其中面积较大的3块用地位于通阳道街道、包白线铁路东侧，总面积57.23公顷（858.45亩）。</w:t>
      </w:r>
    </w:p>
    <w:p w14:paraId="68B50723">
      <w:pPr>
        <w:pStyle w:val="3"/>
        <w:numPr>
          <w:ilvl w:val="1"/>
          <w:numId w:val="5"/>
        </w:numPr>
        <w:spacing w:before="332" w:after="166"/>
        <w:rPr>
          <w:rFonts w:hint="eastAsia"/>
          <w:lang w:val="zh-CN"/>
        </w:rPr>
      </w:pPr>
      <w:r>
        <w:rPr>
          <w:rFonts w:hint="eastAsia"/>
        </w:rPr>
        <w:t>规划理念</w:t>
      </w:r>
    </w:p>
    <w:p w14:paraId="3EC1E84B">
      <w:pPr>
        <w:spacing w:after="166"/>
        <w:ind w:firstLine="500"/>
      </w:pPr>
      <w:r>
        <w:rPr>
          <w:rFonts w:hint="eastAsia" w:ascii="楷体_GB2312" w:hAnsi="楷体_GB2312" w:eastAsia="楷体_GB2312" w:cs="楷体_GB2312"/>
        </w:rPr>
        <w:t>提升用地效率和增加居住强度。</w:t>
      </w:r>
      <w:r>
        <w:rPr>
          <w:rFonts w:hint="eastAsia"/>
        </w:rPr>
        <w:t>通过合理规划，优化土地使用，实现居住与公共空间的有机结合，提高土地的利用效率。</w:t>
      </w:r>
    </w:p>
    <w:p w14:paraId="3891FBCC">
      <w:pPr>
        <w:spacing w:after="166"/>
        <w:ind w:firstLine="500"/>
      </w:pPr>
      <w:r>
        <w:rPr>
          <w:rFonts w:hint="eastAsia" w:ascii="楷体_GB2312" w:hAnsi="楷体_GB2312" w:eastAsia="楷体_GB2312" w:cs="楷体_GB2312"/>
        </w:rPr>
        <w:t>提升“为人服务”品质，完善社区中心布局。</w:t>
      </w:r>
      <w:r>
        <w:rPr>
          <w:rFonts w:hint="eastAsia"/>
        </w:rPr>
        <w:t>积极发展社区教育、健康、文化、体育、维修 、助餐、零售、美容美发等1+N社区综合社区服务，完善“1个社区服务综合体+N个设施”体系建设。</w:t>
      </w:r>
    </w:p>
    <w:p w14:paraId="564FCB7E">
      <w:pPr>
        <w:spacing w:after="166"/>
        <w:ind w:firstLine="500"/>
      </w:pPr>
      <w:r>
        <w:rPr>
          <w:rFonts w:hint="eastAsia" w:ascii="楷体_GB2312" w:hAnsi="楷体_GB2312" w:eastAsia="楷体_GB2312" w:cs="楷体_GB2312"/>
        </w:rPr>
        <w:t>完善“为产服务”支撑，补足企业配套居住缺口。</w:t>
      </w:r>
      <w:r>
        <w:rPr>
          <w:rFonts w:hint="eastAsia"/>
        </w:rPr>
        <w:t>结合周边产业需求，选取靠近产业、交通便利、生活服务集中的片区，集聚布局，服务周边包钢白云铁矿、白云鄂博产业园和巴润化工园区等版块。</w:t>
      </w:r>
    </w:p>
    <w:p w14:paraId="46C3DB7F">
      <w:pPr>
        <w:pStyle w:val="3"/>
        <w:numPr>
          <w:ilvl w:val="1"/>
          <w:numId w:val="5"/>
        </w:numPr>
        <w:spacing w:before="332" w:after="166"/>
        <w:rPr>
          <w:rFonts w:hint="eastAsia"/>
        </w:rPr>
      </w:pPr>
      <w:r>
        <w:rPr>
          <w:rFonts w:hint="eastAsia"/>
        </w:rPr>
        <w:t>居住用地布局</w:t>
      </w:r>
    </w:p>
    <w:p w14:paraId="1F2EB206">
      <w:pPr>
        <w:pStyle w:val="4"/>
        <w:numPr>
          <w:ilvl w:val="2"/>
          <w:numId w:val="5"/>
        </w:numPr>
        <w:spacing w:before="332" w:after="166"/>
        <w:rPr>
          <w:rFonts w:hint="eastAsia"/>
          <w:lang w:val="en-US"/>
        </w:rPr>
      </w:pPr>
      <w:r>
        <w:rPr>
          <w:rFonts w:hint="eastAsia"/>
          <w:lang w:val="en-US"/>
        </w:rPr>
        <w:t>居住用地调整的情况说明</w:t>
      </w:r>
    </w:p>
    <w:p w14:paraId="5AA9950E">
      <w:pPr>
        <w:spacing w:after="166"/>
        <w:ind w:firstLine="500"/>
      </w:pPr>
      <w:r>
        <w:rPr>
          <w:rFonts w:hint="eastAsia"/>
          <w:lang w:val="en-US"/>
        </w:rPr>
        <w:t>校准</w:t>
      </w:r>
      <w:r>
        <w:rPr>
          <w:rFonts w:hint="eastAsia"/>
        </w:rPr>
        <w:t>“三调”</w:t>
      </w:r>
      <w:r>
        <w:rPr>
          <w:rFonts w:hint="eastAsia"/>
          <w:lang w:val="en-US"/>
        </w:rPr>
        <w:t>数据</w:t>
      </w:r>
      <w:r>
        <w:rPr>
          <w:rFonts w:hint="eastAsia"/>
        </w:rPr>
        <w:t>，闲置土地再利用。依据全国第三次土地调查数据，现状居住用地共194.23公顷部分老棚户区拆迁后的遗留空地需重新谋划利用。本轮规划重新盘整范围内居住需求，共规划居住用地144.79公顷，减少49.44公顷。</w:t>
      </w:r>
    </w:p>
    <w:p w14:paraId="2A7FAD28">
      <w:pPr>
        <w:spacing w:after="166"/>
        <w:ind w:firstLine="500"/>
      </w:pPr>
      <w:r>
        <w:rPr>
          <w:rFonts w:hint="eastAsia"/>
        </w:rPr>
        <w:t>居住用地效率提高，平均容积率提升0.58。现状强度位于0-2.21区间，平均容积率0.6；通过对西北侧地块增加居住强度，规划平均容积率为1.18。</w:t>
      </w:r>
    </w:p>
    <w:p w14:paraId="005AA39C">
      <w:pPr>
        <w:spacing w:after="166"/>
        <w:ind w:firstLineChars="80"/>
        <w:jc w:val="center"/>
        <w:rPr>
          <w:highlight w:val="yellow"/>
          <w:lang w:val="en-US"/>
        </w:rPr>
      </w:pPr>
      <w:r>
        <w:rPr>
          <w:lang w:val="en-US"/>
        </w:rPr>
        <w:drawing>
          <wp:inline distT="0" distB="0" distL="0" distR="0">
            <wp:extent cx="4080510" cy="4394200"/>
            <wp:effectExtent l="0" t="0" r="15240" b="6350"/>
            <wp:docPr id="193789383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893830" name="图片 8"/>
                    <pic:cNvPicPr>
                      <a:picLocks noChangeAspect="1" noChangeArrowheads="1"/>
                    </pic:cNvPicPr>
                  </pic:nvPicPr>
                  <pic:blipFill>
                    <a:blip r:embed="rId52"/>
                    <a:srcRect l="50353" t="5575" r="-1" b="6091"/>
                    <a:stretch>
                      <a:fillRect/>
                    </a:stretch>
                  </pic:blipFill>
                  <pic:spPr>
                    <a:xfrm>
                      <a:off x="0" y="0"/>
                      <a:ext cx="4129612" cy="4447460"/>
                    </a:xfrm>
                    <a:prstGeom prst="rect">
                      <a:avLst/>
                    </a:prstGeom>
                    <a:noFill/>
                    <a:ln>
                      <a:noFill/>
                    </a:ln>
                  </pic:spPr>
                </pic:pic>
              </a:graphicData>
            </a:graphic>
          </wp:inline>
        </w:drawing>
      </w:r>
    </w:p>
    <w:p w14:paraId="56E53478">
      <w:pPr>
        <w:pStyle w:val="268"/>
      </w:pPr>
      <w:r>
        <w:rPr>
          <w:rFonts w:hint="eastAsia"/>
        </w:rPr>
        <w:t>图5-2  规划居住用地容积率分布图</w:t>
      </w:r>
    </w:p>
    <w:p w14:paraId="42029C68">
      <w:pPr>
        <w:pStyle w:val="4"/>
        <w:numPr>
          <w:ilvl w:val="2"/>
          <w:numId w:val="5"/>
        </w:numPr>
        <w:spacing w:before="332" w:after="166"/>
        <w:rPr>
          <w:rFonts w:hint="eastAsia"/>
          <w:lang w:val="en-US"/>
        </w:rPr>
      </w:pPr>
      <w:r>
        <w:rPr>
          <w:rFonts w:hint="eastAsia"/>
          <w:lang w:val="en-US"/>
        </w:rPr>
        <w:t>居住用地布局</w:t>
      </w:r>
    </w:p>
    <w:p w14:paraId="39B2AE95">
      <w:pPr>
        <w:bidi w:val="0"/>
        <w:rPr>
          <w:rFonts w:hint="eastAsia"/>
        </w:rPr>
      </w:pPr>
      <w:r>
        <w:rPr>
          <w:rFonts w:hint="eastAsia"/>
        </w:rPr>
        <w:t>规划遵从未来片区的人口结构特点与住宅需求，分类引导地区居住用地布局和配套设施。规划二类住宅用地面积141.31公顷，站总用地面积比例为22.10%，可容纳居住人口约3</w:t>
      </w:r>
      <w:r>
        <w:rPr>
          <w:rFonts w:hint="eastAsia"/>
          <w:lang w:val="en-US" w:eastAsia="zh-CN"/>
        </w:rPr>
        <w:t>.0</w:t>
      </w:r>
      <w:r>
        <w:rPr>
          <w:rFonts w:hint="eastAsia"/>
        </w:rPr>
        <w:t>万人。</w:t>
      </w:r>
    </w:p>
    <w:p w14:paraId="07510C47">
      <w:pPr>
        <w:pStyle w:val="5"/>
        <w:numPr>
          <w:ilvl w:val="0"/>
          <w:numId w:val="20"/>
        </w:numPr>
        <w:bidi w:val="0"/>
        <w:rPr>
          <w:rFonts w:hint="default"/>
          <w:lang w:val="en-US" w:eastAsia="zh-CN"/>
        </w:rPr>
      </w:pPr>
      <w:r>
        <w:rPr>
          <w:rFonts w:hint="eastAsia"/>
          <w:lang w:val="en-US" w:eastAsia="zh-CN"/>
        </w:rPr>
        <w:t>二类住宅用地（070102）</w:t>
      </w:r>
    </w:p>
    <w:p w14:paraId="6B6A8101">
      <w:pPr>
        <w:bidi w:val="0"/>
      </w:pPr>
      <w:r>
        <w:rPr>
          <w:rFonts w:hint="eastAsia"/>
        </w:rPr>
        <w:t>规划 01单元二类住宅用地20.33公顷，占单元建设用地比例14.69%。规划常住人口0.39万人</w:t>
      </w:r>
    </w:p>
    <w:p w14:paraId="2254B2EA">
      <w:pPr>
        <w:bidi w:val="0"/>
      </w:pPr>
      <w:r>
        <w:rPr>
          <w:rFonts w:hint="eastAsia"/>
        </w:rPr>
        <w:t>规划02单元二类住宅用地44.74公顷，占单元建设用地比例32.31%。以存量居住用地为主，地质路西侧5.75公顷用地建设轻量化园区，提供高品质员工公寓。单元规划常住人口0.80万人。</w:t>
      </w:r>
    </w:p>
    <w:p w14:paraId="37C2BD65">
      <w:pPr>
        <w:bidi w:val="0"/>
      </w:pPr>
      <w:r>
        <w:rPr>
          <w:rFonts w:hint="eastAsia"/>
        </w:rPr>
        <w:t xml:space="preserve"> 规划03单元二类住宅用地17.61公顷，占单元建设用地比例11.11%。规划常住人口0.40万人。</w:t>
      </w:r>
    </w:p>
    <w:p w14:paraId="7679CDF4">
      <w:pPr>
        <w:bidi w:val="0"/>
      </w:pPr>
      <w:r>
        <w:rPr>
          <w:rFonts w:hint="eastAsia"/>
        </w:rPr>
        <w:t xml:space="preserve"> 规划04单元二类住宅用地34.06公顷，占单元建设用地比例43.76%。其中西环路东侧12.15公顷居住用地服务于企业安居。规划常住人口0.90万人。</w:t>
      </w:r>
    </w:p>
    <w:p w14:paraId="4217D809">
      <w:pPr>
        <w:bidi w:val="0"/>
      </w:pPr>
      <w:r>
        <w:rPr>
          <w:rFonts w:hint="eastAsia"/>
        </w:rPr>
        <w:t xml:space="preserve"> 规划05单元二类住宅用地24.58公顷，占单元建设用地比例19.78%。 </w:t>
      </w:r>
      <w:r>
        <w:cr/>
      </w:r>
      <w:r>
        <w:rPr>
          <w:rFonts w:hint="eastAsia"/>
        </w:rPr>
        <w:t>规划常住人口0.51万人。</w:t>
      </w:r>
    </w:p>
    <w:p w14:paraId="66CEC4CD">
      <w:pPr>
        <w:spacing w:after="0" w:afterLines="0"/>
        <w:ind w:left="0" w:leftChars="0" w:firstLine="0" w:firstLineChars="0"/>
        <w:jc w:val="center"/>
      </w:pPr>
      <w:r>
        <w:drawing>
          <wp:inline distT="0" distB="0" distL="0" distR="0">
            <wp:extent cx="5236210" cy="4234815"/>
            <wp:effectExtent l="0" t="0" r="2540" b="13335"/>
            <wp:docPr id="149851986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519866" name="图片 4"/>
                    <pic:cNvPicPr>
                      <a:picLocks noChangeAspect="1" noChangeArrowheads="1"/>
                    </pic:cNvPicPr>
                  </pic:nvPicPr>
                  <pic:blipFill>
                    <a:blip r:embed="rId53"/>
                    <a:srcRect t="1736" b="5525"/>
                    <a:stretch>
                      <a:fillRect/>
                    </a:stretch>
                  </pic:blipFill>
                  <pic:spPr>
                    <a:xfrm>
                      <a:off x="0" y="0"/>
                      <a:ext cx="5236210" cy="4234815"/>
                    </a:xfrm>
                    <a:prstGeom prst="rect">
                      <a:avLst/>
                    </a:prstGeom>
                    <a:noFill/>
                    <a:ln>
                      <a:noFill/>
                    </a:ln>
                  </pic:spPr>
                </pic:pic>
              </a:graphicData>
            </a:graphic>
          </wp:inline>
        </w:drawing>
      </w:r>
    </w:p>
    <w:p w14:paraId="0B594E8F">
      <w:pPr>
        <w:pStyle w:val="268"/>
      </w:pPr>
      <w:r>
        <w:rPr>
          <w:rFonts w:hint="eastAsia"/>
        </w:rPr>
        <w:t>图5-3  居住用地规划图</w:t>
      </w:r>
    </w:p>
    <w:p w14:paraId="3A4E9D55">
      <w:pPr>
        <w:pStyle w:val="5"/>
        <w:bidi w:val="0"/>
        <w:rPr>
          <w:rFonts w:hint="eastAsia"/>
        </w:rPr>
      </w:pPr>
      <w:r>
        <w:rPr>
          <w:rFonts w:hint="eastAsia"/>
        </w:rPr>
        <w:t>城镇社区服务设施用地（0702）</w:t>
      </w:r>
    </w:p>
    <w:p w14:paraId="5DC65EDC">
      <w:pPr>
        <w:bidi w:val="0"/>
        <w:rPr>
          <w:rFonts w:hint="eastAsia"/>
        </w:rPr>
      </w:pPr>
      <w:r>
        <w:rPr>
          <w:rFonts w:hint="eastAsia"/>
        </w:rPr>
        <w:t>依靠综合社区服务中心，在周围形成菜场、集市等商业设施，满足新社区的日常生活需要。针对各社区调研中普遍反映的内部空间紧、外部覆盖低、上级需求多、服务密度低（群体多、数量少）的问题采取集中式、一站式布局方式</w:t>
      </w:r>
      <w:r>
        <w:rPr>
          <w:rFonts w:hint="eastAsia"/>
          <w:lang w:eastAsia="zh-CN"/>
        </w:rPr>
        <w:t>；</w:t>
      </w:r>
      <w:r>
        <w:rPr>
          <w:rFonts w:hint="eastAsia"/>
        </w:rPr>
        <w:t>以居住区级公服设施带动激活居住活力，满足日常多类人群的生活、娱乐需求</w:t>
      </w:r>
      <w:r>
        <w:rPr>
          <w:rFonts w:hint="eastAsia"/>
          <w:lang w:eastAsia="zh-CN"/>
        </w:rPr>
        <w:t>；</w:t>
      </w:r>
      <w:r>
        <w:rPr>
          <w:rFonts w:hint="eastAsia"/>
        </w:rPr>
        <w:t>依靠综合社区服务中心，在周围形成菜场、集市等商业设施，满足新社区的日常生活需要。</w:t>
      </w:r>
    </w:p>
    <w:p w14:paraId="2D1D31C5">
      <w:pPr>
        <w:bidi w:val="0"/>
        <w:rPr>
          <w:rFonts w:hint="eastAsia"/>
        </w:rPr>
      </w:pPr>
    </w:p>
    <w:p w14:paraId="318DD084">
      <w:pPr>
        <w:pStyle w:val="3"/>
        <w:numPr>
          <w:ilvl w:val="1"/>
          <w:numId w:val="0"/>
        </w:numPr>
        <w:spacing w:before="332" w:after="166"/>
        <w:ind w:leftChars="0"/>
        <w:rPr>
          <w:rFonts w:hint="eastAsia"/>
        </w:rPr>
      </w:pPr>
      <w:r>
        <w:drawing>
          <wp:inline distT="0" distB="0" distL="114300" distR="114300">
            <wp:extent cx="5271135" cy="3695065"/>
            <wp:effectExtent l="0" t="0" r="0" b="0"/>
            <wp:docPr id="12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5"/>
                    <pic:cNvPicPr>
                      <a:picLocks noChangeAspect="1"/>
                    </pic:cNvPicPr>
                  </pic:nvPicPr>
                  <pic:blipFill>
                    <a:blip r:embed="rId54"/>
                    <a:srcRect t="1485" b="7550"/>
                    <a:stretch>
                      <a:fillRect/>
                    </a:stretch>
                  </pic:blipFill>
                  <pic:spPr>
                    <a:xfrm>
                      <a:off x="0" y="0"/>
                      <a:ext cx="5271135" cy="3695065"/>
                    </a:xfrm>
                    <a:prstGeom prst="rect">
                      <a:avLst/>
                    </a:prstGeom>
                    <a:noFill/>
                    <a:ln>
                      <a:noFill/>
                    </a:ln>
                  </pic:spPr>
                </pic:pic>
              </a:graphicData>
            </a:graphic>
          </wp:inline>
        </w:drawing>
      </w:r>
    </w:p>
    <w:p w14:paraId="6EA681C9">
      <w:pPr>
        <w:pStyle w:val="3"/>
        <w:numPr>
          <w:ilvl w:val="1"/>
          <w:numId w:val="5"/>
        </w:numPr>
        <w:spacing w:before="332" w:after="166"/>
        <w:rPr>
          <w:rFonts w:hint="eastAsia"/>
        </w:rPr>
      </w:pPr>
      <w:r>
        <w:rPr>
          <w:rFonts w:hint="eastAsia"/>
        </w:rPr>
        <w:t>社区服务设施布局</w:t>
      </w:r>
    </w:p>
    <w:p w14:paraId="2FECE56D">
      <w:pPr>
        <w:pStyle w:val="4"/>
        <w:numPr>
          <w:ilvl w:val="2"/>
          <w:numId w:val="5"/>
        </w:numPr>
        <w:spacing w:before="332" w:after="166"/>
        <w:rPr>
          <w:rFonts w:hint="eastAsia"/>
          <w:lang w:val="en-US"/>
        </w:rPr>
      </w:pPr>
      <w:r>
        <w:rPr>
          <w:rFonts w:hint="eastAsia"/>
          <w:lang w:val="en-US"/>
        </w:rPr>
        <w:t>社区生活圈划分</w:t>
      </w:r>
    </w:p>
    <w:p w14:paraId="48ACD3A3">
      <w:pPr>
        <w:spacing w:after="166"/>
        <w:ind w:firstLine="500"/>
        <w:rPr>
          <w:lang w:val="en-US"/>
        </w:rPr>
      </w:pPr>
      <w:r>
        <w:rPr>
          <w:rFonts w:hint="eastAsia"/>
          <w:lang w:val="en-US"/>
        </w:rPr>
        <w:t>采用15分钟、5-10分钟社区生活圈层级。</w:t>
      </w:r>
    </w:p>
    <w:p w14:paraId="20654C08">
      <w:pPr>
        <w:spacing w:after="166"/>
        <w:ind w:firstLine="500"/>
        <w:rPr>
          <w:lang w:val="en-US"/>
        </w:rPr>
      </w:pPr>
      <w:r>
        <w:rPr>
          <w:rFonts w:hint="eastAsia"/>
          <w:lang w:val="en-US"/>
        </w:rPr>
        <w:t>参照《城市居住区规划设计标准》（GB50180-2018）、《社区生活圈规划技术指南》，15分钟生活圈服务人口为5万-10万人、服务半径为800-1000米，5-10分钟生活圈服务人口为0.5-2.5万人，服务半径为300-500米。</w:t>
      </w:r>
    </w:p>
    <w:p w14:paraId="1040D348">
      <w:pPr>
        <w:spacing w:after="166"/>
        <w:ind w:firstLine="500"/>
        <w:rPr>
          <w:lang w:val="en-US"/>
        </w:rPr>
      </w:pPr>
      <w:r>
        <w:rPr>
          <w:rFonts w:hint="eastAsia"/>
          <w:lang w:val="en-US"/>
        </w:rPr>
        <w:t>综合考虑居住区分级控制规模及覆盖范围，科学布局“15分钟生活圈、5-10分钟社区生活圈”两级公共服务设施。 结合社区服务设施用地布置基本公共服务设施和公共活动空间，实行集中建设、混合布局、综合使用，实现公共服务与日常生活的有机衔接。</w:t>
      </w:r>
    </w:p>
    <w:p w14:paraId="6E33E33D">
      <w:pPr>
        <w:pStyle w:val="4"/>
        <w:numPr>
          <w:ilvl w:val="2"/>
          <w:numId w:val="5"/>
        </w:numPr>
        <w:spacing w:before="332" w:after="166"/>
        <w:rPr>
          <w:rFonts w:hint="eastAsia"/>
          <w:lang w:val="en-US"/>
        </w:rPr>
      </w:pPr>
      <w:r>
        <w:rPr>
          <w:rFonts w:hint="eastAsia"/>
          <w:lang w:val="en-US"/>
        </w:rPr>
        <w:t>15分钟社区生活圈</w:t>
      </w:r>
    </w:p>
    <w:p w14:paraId="7617AF71">
      <w:pPr>
        <w:spacing w:after="166"/>
        <w:ind w:firstLine="500"/>
        <w:rPr>
          <w:lang w:val="en-US"/>
        </w:rPr>
      </w:pPr>
      <w:r>
        <w:rPr>
          <w:rFonts w:hint="eastAsia"/>
          <w:lang w:val="en-US"/>
        </w:rPr>
        <w:t>15分钟社区生活圈公共服务设施服务于白云矿区全域，配置面向全体城镇居民、内容丰富、规模适宜的各类服务要素，承担综合服务功能。规划一处，位于矿区政府东侧，面积为0.81公顷。</w:t>
      </w:r>
    </w:p>
    <w:p w14:paraId="4D87AF63">
      <w:pPr>
        <w:spacing w:after="166"/>
        <w:ind w:firstLine="500"/>
        <w:rPr>
          <w:lang w:val="en-US"/>
        </w:rPr>
      </w:pPr>
      <w:r>
        <w:rPr>
          <w:rFonts w:hint="eastAsia"/>
          <w:lang w:val="en-US"/>
        </w:rPr>
        <w:t>包括区人民政府（政务服务大厅）、蒙医中医医院、图书馆、文化馆、体育馆、包十八中学、铁矿一小、铁矿二小等。</w:t>
      </w:r>
    </w:p>
    <w:p w14:paraId="704BB5CD">
      <w:pPr>
        <w:pStyle w:val="4"/>
        <w:numPr>
          <w:ilvl w:val="2"/>
          <w:numId w:val="5"/>
        </w:numPr>
        <w:spacing w:before="332" w:after="166"/>
        <w:rPr>
          <w:rFonts w:hint="eastAsia"/>
          <w:lang w:val="en-US"/>
        </w:rPr>
      </w:pPr>
      <w:r>
        <w:rPr>
          <w:rFonts w:hint="eastAsia"/>
          <w:lang w:val="en-US"/>
        </w:rPr>
        <w:t>5-10分钟社区生活圈</w:t>
      </w:r>
    </w:p>
    <w:p w14:paraId="30023ABF">
      <w:pPr>
        <w:spacing w:after="166"/>
        <w:ind w:firstLine="500"/>
        <w:rPr>
          <w:lang w:val="en-US"/>
        </w:rPr>
      </w:pPr>
      <w:r>
        <w:rPr>
          <w:rFonts w:hint="eastAsia"/>
          <w:lang w:val="en-US"/>
        </w:rPr>
        <w:t>5-10分钟社区生活圈公共服务设施结合社区服务范围，配置城镇居民日常使用，特别是面向老人、儿童的基本服务要素。主要包括社区卫生服务站、康养中心（含养老驿站、助残服务站）、老年人日间照料中心、幼儿园、文化活动站、小型多功能运动场地、社区商业网点、社区服务站等。</w:t>
      </w:r>
    </w:p>
    <w:p w14:paraId="49500B27">
      <w:pPr>
        <w:spacing w:after="0" w:afterLines="0"/>
        <w:ind w:firstLine="500"/>
        <w:rPr>
          <w:lang w:val="en-US"/>
        </w:rPr>
      </w:pPr>
      <w:r>
        <w:rPr>
          <w:lang w:val="en-US"/>
        </w:rPr>
        <w:drawing>
          <wp:inline distT="0" distB="0" distL="0" distR="0">
            <wp:extent cx="4427220" cy="3990975"/>
            <wp:effectExtent l="0" t="0" r="11430" b="8890"/>
            <wp:docPr id="18595679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567931" name="图片 6"/>
                    <pic:cNvPicPr>
                      <a:picLocks noChangeAspect="1" noChangeArrowheads="1"/>
                    </pic:cNvPicPr>
                  </pic:nvPicPr>
                  <pic:blipFill>
                    <a:blip r:embed="rId55"/>
                    <a:srcRect/>
                    <a:stretch>
                      <a:fillRect/>
                    </a:stretch>
                  </pic:blipFill>
                  <pic:spPr>
                    <a:xfrm>
                      <a:off x="0" y="0"/>
                      <a:ext cx="4427220" cy="3990975"/>
                    </a:xfrm>
                    <a:prstGeom prst="rect">
                      <a:avLst/>
                    </a:prstGeom>
                    <a:noFill/>
                  </pic:spPr>
                </pic:pic>
              </a:graphicData>
            </a:graphic>
          </wp:inline>
        </w:drawing>
      </w:r>
    </w:p>
    <w:p w14:paraId="5FA5708E">
      <w:pPr>
        <w:pStyle w:val="268"/>
      </w:pPr>
      <w:r>
        <w:rPr>
          <w:rFonts w:hint="eastAsia"/>
        </w:rPr>
        <w:t>图5-4 社区生活圈中心布局图</w:t>
      </w:r>
    </w:p>
    <w:p w14:paraId="57705B5E">
      <w:pPr>
        <w:pStyle w:val="117"/>
      </w:pPr>
      <w:r>
        <w:rPr>
          <w:rFonts w:hint="eastAsia"/>
        </w:rPr>
        <w:t>表5-1 社区生活圈一览表</w:t>
      </w:r>
    </w:p>
    <w:tbl>
      <w:tblPr>
        <w:tblStyle w:val="36"/>
        <w:tblpPr w:leftFromText="180" w:rightFromText="180" w:vertAnchor="text" w:horzAnchor="margin" w:tblpYSpec="inside"/>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014"/>
        <w:gridCol w:w="1213"/>
        <w:gridCol w:w="1414"/>
        <w:gridCol w:w="1035"/>
        <w:gridCol w:w="1211"/>
        <w:gridCol w:w="1635"/>
      </w:tblGrid>
      <w:tr w14:paraId="20244D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181" w:type="pct"/>
            <w:tcBorders>
              <w:tl2br w:val="nil"/>
            </w:tcBorders>
            <w:shd w:val="clear" w:color="auto" w:fill="FFFFFF"/>
            <w:vAlign w:val="center"/>
          </w:tcPr>
          <w:p w14:paraId="5080507F">
            <w:pPr>
              <w:pStyle w:val="115"/>
              <w:jc w:val="center"/>
              <w:rPr>
                <w:lang w:eastAsia="zh"/>
              </w:rPr>
            </w:pPr>
            <w:r>
              <w:rPr>
                <w:rFonts w:hint="eastAsia"/>
                <w:lang w:eastAsia="zh"/>
              </w:rPr>
              <w:t>社区名称</w:t>
            </w:r>
          </w:p>
        </w:tc>
        <w:tc>
          <w:tcPr>
            <w:tcW w:w="711" w:type="pct"/>
            <w:shd w:val="clear" w:color="auto" w:fill="FFFFFF"/>
            <w:vAlign w:val="center"/>
          </w:tcPr>
          <w:p w14:paraId="646AEF15">
            <w:pPr>
              <w:pStyle w:val="115"/>
              <w:jc w:val="center"/>
            </w:pPr>
            <w:r>
              <w:rPr>
                <w:rFonts w:hint="eastAsia"/>
                <w:lang w:eastAsia="zh"/>
              </w:rPr>
              <w:t>生活圈等级</w:t>
            </w:r>
          </w:p>
        </w:tc>
        <w:tc>
          <w:tcPr>
            <w:tcW w:w="829" w:type="pct"/>
            <w:shd w:val="clear" w:color="auto" w:fill="FFFFFF"/>
            <w:vAlign w:val="center"/>
          </w:tcPr>
          <w:p w14:paraId="26D332CC">
            <w:pPr>
              <w:pStyle w:val="115"/>
              <w:jc w:val="center"/>
              <w:rPr>
                <w:lang w:eastAsia="zh"/>
              </w:rPr>
            </w:pPr>
            <w:r>
              <w:rPr>
                <w:rFonts w:hint="eastAsia"/>
                <w:lang w:eastAsia="zh"/>
              </w:rPr>
              <w:t>社区服务用地面积（公顷）</w:t>
            </w:r>
          </w:p>
        </w:tc>
        <w:tc>
          <w:tcPr>
            <w:tcW w:w="607" w:type="pct"/>
            <w:shd w:val="clear" w:color="auto" w:fill="FFFFFF"/>
            <w:vAlign w:val="center"/>
          </w:tcPr>
          <w:p w14:paraId="7F65A4FD">
            <w:pPr>
              <w:pStyle w:val="115"/>
              <w:jc w:val="center"/>
              <w:rPr>
                <w:lang w:eastAsia="zh"/>
              </w:rPr>
            </w:pPr>
            <w:r>
              <w:rPr>
                <w:rFonts w:hint="eastAsia"/>
                <w:lang w:eastAsia="zh"/>
              </w:rPr>
              <w:t>分配人口（万人）</w:t>
            </w:r>
          </w:p>
        </w:tc>
        <w:tc>
          <w:tcPr>
            <w:tcW w:w="710" w:type="pct"/>
            <w:shd w:val="clear" w:color="auto" w:fill="FFFFFF"/>
            <w:vAlign w:val="center"/>
          </w:tcPr>
          <w:p w14:paraId="6DDBD3C2">
            <w:pPr>
              <w:pStyle w:val="115"/>
              <w:jc w:val="center"/>
              <w:rPr>
                <w:lang w:eastAsia="zh"/>
              </w:rPr>
            </w:pPr>
            <w:r>
              <w:rPr>
                <w:rFonts w:hint="eastAsia"/>
                <w:lang w:eastAsia="zh"/>
              </w:rPr>
              <w:t>居住用地面积（公顷）</w:t>
            </w:r>
          </w:p>
        </w:tc>
        <w:tc>
          <w:tcPr>
            <w:tcW w:w="959" w:type="pct"/>
            <w:shd w:val="clear" w:color="auto" w:fill="FFFFFF"/>
            <w:vAlign w:val="center"/>
          </w:tcPr>
          <w:p w14:paraId="443495D9">
            <w:pPr>
              <w:pStyle w:val="115"/>
              <w:jc w:val="center"/>
              <w:rPr>
                <w:lang w:eastAsia="zh"/>
              </w:rPr>
            </w:pPr>
            <w:r>
              <w:rPr>
                <w:rFonts w:hint="eastAsia"/>
                <w:lang w:eastAsia="zh"/>
              </w:rPr>
              <w:t>人均居住用地面积（平方米/人）</w:t>
            </w:r>
          </w:p>
        </w:tc>
      </w:tr>
      <w:tr w14:paraId="62C545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181" w:type="pct"/>
            <w:shd w:val="clear" w:color="auto" w:fill="FFFFFF"/>
            <w:vAlign w:val="center"/>
          </w:tcPr>
          <w:p w14:paraId="11B5A508">
            <w:pPr>
              <w:pStyle w:val="115"/>
              <w:jc w:val="center"/>
            </w:pPr>
            <w:r>
              <w:rPr>
                <w:rFonts w:hint="eastAsia"/>
              </w:rPr>
              <w:t>白云矿区社区生活圈</w:t>
            </w:r>
          </w:p>
        </w:tc>
        <w:tc>
          <w:tcPr>
            <w:tcW w:w="711" w:type="pct"/>
            <w:shd w:val="clear" w:color="auto" w:fill="FFFFFF"/>
            <w:vAlign w:val="center"/>
          </w:tcPr>
          <w:p w14:paraId="3BAD0252">
            <w:pPr>
              <w:pStyle w:val="115"/>
              <w:jc w:val="center"/>
            </w:pPr>
            <w:r>
              <w:rPr>
                <w:rFonts w:hint="eastAsia"/>
              </w:rPr>
              <w:t>15分钟</w:t>
            </w:r>
          </w:p>
        </w:tc>
        <w:tc>
          <w:tcPr>
            <w:tcW w:w="829" w:type="pct"/>
            <w:shd w:val="clear" w:color="auto" w:fill="FFFFFF"/>
            <w:vAlign w:val="center"/>
          </w:tcPr>
          <w:p w14:paraId="3C450F36">
            <w:pPr>
              <w:pStyle w:val="115"/>
              <w:jc w:val="center"/>
            </w:pPr>
            <w:r>
              <w:rPr>
                <w:rFonts w:hint="eastAsia"/>
              </w:rPr>
              <w:t>0.81</w:t>
            </w:r>
          </w:p>
        </w:tc>
        <w:tc>
          <w:tcPr>
            <w:tcW w:w="607" w:type="pct"/>
            <w:shd w:val="clear" w:color="auto" w:fill="FFFFFF"/>
            <w:vAlign w:val="center"/>
          </w:tcPr>
          <w:p w14:paraId="3078E35A">
            <w:pPr>
              <w:pStyle w:val="115"/>
              <w:jc w:val="center"/>
            </w:pPr>
            <w:r>
              <w:rPr>
                <w:rFonts w:hint="eastAsia"/>
              </w:rPr>
              <w:t>3.00</w:t>
            </w:r>
          </w:p>
        </w:tc>
        <w:tc>
          <w:tcPr>
            <w:tcW w:w="710" w:type="pct"/>
            <w:shd w:val="clear" w:color="auto" w:fill="FFFFFF"/>
            <w:vAlign w:val="center"/>
          </w:tcPr>
          <w:p w14:paraId="0D391D18">
            <w:pPr>
              <w:pStyle w:val="115"/>
              <w:jc w:val="center"/>
            </w:pPr>
            <w:r>
              <w:rPr>
                <w:rFonts w:hint="eastAsia"/>
              </w:rPr>
              <w:t>144.79</w:t>
            </w:r>
          </w:p>
        </w:tc>
        <w:tc>
          <w:tcPr>
            <w:tcW w:w="959" w:type="pct"/>
            <w:shd w:val="clear" w:color="auto" w:fill="FFFFFF"/>
            <w:vAlign w:val="center"/>
          </w:tcPr>
          <w:p w14:paraId="230A2AB6">
            <w:pPr>
              <w:pStyle w:val="115"/>
              <w:jc w:val="center"/>
            </w:pPr>
            <w:r>
              <w:t>48.26</w:t>
            </w:r>
          </w:p>
        </w:tc>
      </w:tr>
      <w:tr w14:paraId="63D564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181" w:type="pct"/>
            <w:shd w:val="clear" w:color="auto" w:fill="FFFFFF"/>
            <w:vAlign w:val="center"/>
          </w:tcPr>
          <w:p w14:paraId="3E49B976">
            <w:pPr>
              <w:pStyle w:val="115"/>
              <w:jc w:val="center"/>
            </w:pPr>
            <w:r>
              <w:rPr>
                <w:rFonts w:hint="eastAsia"/>
              </w:rPr>
              <w:t>02单元社区生活圈</w:t>
            </w:r>
          </w:p>
        </w:tc>
        <w:tc>
          <w:tcPr>
            <w:tcW w:w="711" w:type="pct"/>
            <w:shd w:val="clear" w:color="auto" w:fill="FFFFFF"/>
            <w:vAlign w:val="center"/>
          </w:tcPr>
          <w:p w14:paraId="601859A4">
            <w:pPr>
              <w:pStyle w:val="115"/>
              <w:jc w:val="center"/>
            </w:pPr>
            <w:r>
              <w:rPr>
                <w:rFonts w:hint="eastAsia"/>
              </w:rPr>
              <w:t>5-10分钟</w:t>
            </w:r>
          </w:p>
        </w:tc>
        <w:tc>
          <w:tcPr>
            <w:tcW w:w="829" w:type="pct"/>
            <w:shd w:val="clear" w:color="auto" w:fill="FFFFFF"/>
            <w:vAlign w:val="center"/>
          </w:tcPr>
          <w:p w14:paraId="017B742B">
            <w:pPr>
              <w:pStyle w:val="115"/>
              <w:jc w:val="center"/>
            </w:pPr>
            <w:r>
              <w:rPr>
                <w:rFonts w:hint="eastAsia"/>
              </w:rPr>
              <w:t>0.91</w:t>
            </w:r>
          </w:p>
        </w:tc>
        <w:tc>
          <w:tcPr>
            <w:tcW w:w="607" w:type="pct"/>
            <w:shd w:val="clear" w:color="auto" w:fill="FFFFFF"/>
            <w:vAlign w:val="center"/>
          </w:tcPr>
          <w:p w14:paraId="7FEF4EBE">
            <w:pPr>
              <w:pStyle w:val="115"/>
              <w:jc w:val="center"/>
            </w:pPr>
            <w:r>
              <w:rPr>
                <w:rFonts w:hint="eastAsia"/>
              </w:rPr>
              <w:t>0.80</w:t>
            </w:r>
          </w:p>
        </w:tc>
        <w:tc>
          <w:tcPr>
            <w:tcW w:w="710" w:type="pct"/>
            <w:shd w:val="clear" w:color="auto" w:fill="FFFFFF"/>
            <w:vAlign w:val="center"/>
          </w:tcPr>
          <w:p w14:paraId="709C0055">
            <w:pPr>
              <w:pStyle w:val="115"/>
              <w:jc w:val="center"/>
            </w:pPr>
            <w:r>
              <w:rPr>
                <w:rFonts w:hint="eastAsia"/>
              </w:rPr>
              <w:t>46.46</w:t>
            </w:r>
          </w:p>
        </w:tc>
        <w:tc>
          <w:tcPr>
            <w:tcW w:w="959" w:type="pct"/>
            <w:shd w:val="clear" w:color="auto" w:fill="FFFFFF"/>
            <w:vAlign w:val="center"/>
          </w:tcPr>
          <w:p w14:paraId="3544E5FA">
            <w:pPr>
              <w:pStyle w:val="115"/>
              <w:jc w:val="center"/>
            </w:pPr>
            <w:r>
              <w:t>58.08</w:t>
            </w:r>
          </w:p>
        </w:tc>
      </w:tr>
      <w:tr w14:paraId="22363E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181" w:type="pct"/>
            <w:shd w:val="clear" w:color="auto" w:fill="FFFFFF"/>
            <w:vAlign w:val="center"/>
          </w:tcPr>
          <w:p w14:paraId="1420CE32">
            <w:pPr>
              <w:pStyle w:val="115"/>
              <w:jc w:val="center"/>
            </w:pPr>
            <w:r>
              <w:rPr>
                <w:rFonts w:hint="eastAsia"/>
              </w:rPr>
              <w:t>03单元社区生活圈</w:t>
            </w:r>
          </w:p>
        </w:tc>
        <w:tc>
          <w:tcPr>
            <w:tcW w:w="711" w:type="pct"/>
            <w:shd w:val="clear" w:color="auto" w:fill="FFFFFF"/>
            <w:vAlign w:val="center"/>
          </w:tcPr>
          <w:p w14:paraId="22718125">
            <w:pPr>
              <w:pStyle w:val="115"/>
              <w:jc w:val="center"/>
            </w:pPr>
            <w:r>
              <w:rPr>
                <w:rFonts w:hint="eastAsia"/>
              </w:rPr>
              <w:t>5-10分钟</w:t>
            </w:r>
          </w:p>
        </w:tc>
        <w:tc>
          <w:tcPr>
            <w:tcW w:w="829" w:type="pct"/>
            <w:shd w:val="clear" w:color="auto" w:fill="FFFFFF"/>
            <w:vAlign w:val="center"/>
          </w:tcPr>
          <w:p w14:paraId="5E62D19B">
            <w:pPr>
              <w:pStyle w:val="115"/>
              <w:jc w:val="center"/>
            </w:pPr>
            <w:r>
              <w:rPr>
                <w:rFonts w:hint="eastAsia"/>
              </w:rPr>
              <w:t>0.27</w:t>
            </w:r>
          </w:p>
        </w:tc>
        <w:tc>
          <w:tcPr>
            <w:tcW w:w="607" w:type="pct"/>
            <w:shd w:val="clear" w:color="auto" w:fill="FFFFFF"/>
            <w:vAlign w:val="center"/>
          </w:tcPr>
          <w:p w14:paraId="60B93A84">
            <w:pPr>
              <w:pStyle w:val="115"/>
              <w:jc w:val="center"/>
            </w:pPr>
            <w:r>
              <w:rPr>
                <w:rFonts w:hint="eastAsia"/>
              </w:rPr>
              <w:t>0.40</w:t>
            </w:r>
          </w:p>
        </w:tc>
        <w:tc>
          <w:tcPr>
            <w:tcW w:w="710" w:type="pct"/>
            <w:shd w:val="clear" w:color="auto" w:fill="FFFFFF"/>
            <w:vAlign w:val="center"/>
          </w:tcPr>
          <w:p w14:paraId="7F419723">
            <w:pPr>
              <w:pStyle w:val="115"/>
              <w:jc w:val="center"/>
            </w:pPr>
            <w:r>
              <w:rPr>
                <w:rFonts w:hint="eastAsia"/>
              </w:rPr>
              <w:t>17.88</w:t>
            </w:r>
          </w:p>
        </w:tc>
        <w:tc>
          <w:tcPr>
            <w:tcW w:w="959" w:type="pct"/>
            <w:shd w:val="clear" w:color="auto" w:fill="FFFFFF"/>
            <w:vAlign w:val="center"/>
          </w:tcPr>
          <w:p w14:paraId="19079B34">
            <w:pPr>
              <w:pStyle w:val="115"/>
              <w:jc w:val="center"/>
            </w:pPr>
            <w:r>
              <w:t>44.70</w:t>
            </w:r>
          </w:p>
        </w:tc>
      </w:tr>
      <w:tr w14:paraId="315DC6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181" w:type="pct"/>
            <w:shd w:val="clear" w:color="auto" w:fill="FFFFFF"/>
            <w:vAlign w:val="center"/>
          </w:tcPr>
          <w:p w14:paraId="633DABDF">
            <w:pPr>
              <w:pStyle w:val="115"/>
              <w:jc w:val="center"/>
            </w:pPr>
            <w:r>
              <w:rPr>
                <w:rFonts w:hint="eastAsia"/>
              </w:rPr>
              <w:t>04单元社区生活圈</w:t>
            </w:r>
          </w:p>
        </w:tc>
        <w:tc>
          <w:tcPr>
            <w:tcW w:w="711" w:type="pct"/>
            <w:shd w:val="clear" w:color="auto" w:fill="FFFFFF"/>
            <w:vAlign w:val="center"/>
          </w:tcPr>
          <w:p w14:paraId="7E6B533B">
            <w:pPr>
              <w:pStyle w:val="115"/>
              <w:jc w:val="center"/>
              <w:rPr>
                <w:lang w:eastAsia="zh"/>
              </w:rPr>
            </w:pPr>
            <w:r>
              <w:rPr>
                <w:rFonts w:hint="eastAsia"/>
              </w:rPr>
              <w:t>5-10分钟</w:t>
            </w:r>
          </w:p>
        </w:tc>
        <w:tc>
          <w:tcPr>
            <w:tcW w:w="829" w:type="pct"/>
            <w:shd w:val="clear" w:color="auto" w:fill="FFFFFF"/>
            <w:vAlign w:val="center"/>
          </w:tcPr>
          <w:p w14:paraId="17C836F4">
            <w:pPr>
              <w:pStyle w:val="115"/>
              <w:jc w:val="center"/>
            </w:pPr>
            <w:r>
              <w:rPr>
                <w:rFonts w:hint="eastAsia"/>
              </w:rPr>
              <w:t>0.7</w:t>
            </w:r>
            <w:r>
              <w:rPr>
                <w:rFonts w:hint="eastAsia"/>
                <w:lang w:val="en-US" w:eastAsia="zh-CN"/>
              </w:rPr>
              <w:t>2</w:t>
            </w:r>
          </w:p>
        </w:tc>
        <w:tc>
          <w:tcPr>
            <w:tcW w:w="607" w:type="pct"/>
            <w:shd w:val="clear" w:color="auto" w:fill="FFFFFF"/>
            <w:vAlign w:val="center"/>
          </w:tcPr>
          <w:p w14:paraId="398DF3BF">
            <w:pPr>
              <w:pStyle w:val="115"/>
              <w:jc w:val="center"/>
            </w:pPr>
            <w:r>
              <w:rPr>
                <w:rFonts w:hint="eastAsia"/>
              </w:rPr>
              <w:t>0.90</w:t>
            </w:r>
          </w:p>
        </w:tc>
        <w:tc>
          <w:tcPr>
            <w:tcW w:w="710" w:type="pct"/>
            <w:shd w:val="clear" w:color="auto" w:fill="FFFFFF"/>
            <w:vAlign w:val="center"/>
          </w:tcPr>
          <w:p w14:paraId="4051CC2E">
            <w:pPr>
              <w:pStyle w:val="115"/>
              <w:jc w:val="center"/>
            </w:pPr>
            <w:r>
              <w:rPr>
                <w:rFonts w:hint="eastAsia"/>
              </w:rPr>
              <w:t>34.78</w:t>
            </w:r>
          </w:p>
        </w:tc>
        <w:tc>
          <w:tcPr>
            <w:tcW w:w="959" w:type="pct"/>
            <w:shd w:val="clear" w:color="auto" w:fill="FFFFFF"/>
            <w:vAlign w:val="center"/>
          </w:tcPr>
          <w:p w14:paraId="4EA75B4B">
            <w:pPr>
              <w:pStyle w:val="115"/>
              <w:jc w:val="center"/>
            </w:pPr>
            <w:r>
              <w:t>38.64</w:t>
            </w:r>
          </w:p>
        </w:tc>
      </w:tr>
      <w:tr w14:paraId="022878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181" w:type="pct"/>
            <w:shd w:val="clear" w:color="auto" w:fill="FFFFFF"/>
            <w:vAlign w:val="center"/>
          </w:tcPr>
          <w:p w14:paraId="04657867">
            <w:pPr>
              <w:pStyle w:val="115"/>
              <w:jc w:val="center"/>
            </w:pPr>
            <w:r>
              <w:rPr>
                <w:rFonts w:hint="eastAsia"/>
              </w:rPr>
              <w:t>05单元社区生活圈</w:t>
            </w:r>
          </w:p>
        </w:tc>
        <w:tc>
          <w:tcPr>
            <w:tcW w:w="711" w:type="pct"/>
            <w:shd w:val="clear" w:color="auto" w:fill="FFFFFF"/>
            <w:vAlign w:val="center"/>
          </w:tcPr>
          <w:p w14:paraId="4EC3D970">
            <w:pPr>
              <w:pStyle w:val="115"/>
              <w:jc w:val="center"/>
            </w:pPr>
            <w:r>
              <w:rPr>
                <w:rFonts w:hint="eastAsia"/>
              </w:rPr>
              <w:t>5-10分钟</w:t>
            </w:r>
          </w:p>
        </w:tc>
        <w:tc>
          <w:tcPr>
            <w:tcW w:w="829" w:type="pct"/>
            <w:shd w:val="clear" w:color="auto" w:fill="FFFFFF"/>
            <w:vAlign w:val="center"/>
          </w:tcPr>
          <w:p w14:paraId="6FEDB463">
            <w:pPr>
              <w:pStyle w:val="115"/>
              <w:jc w:val="center"/>
            </w:pPr>
            <w:r>
              <w:rPr>
                <w:rFonts w:hint="eastAsia"/>
              </w:rPr>
              <w:t>0.78</w:t>
            </w:r>
          </w:p>
        </w:tc>
        <w:tc>
          <w:tcPr>
            <w:tcW w:w="607" w:type="pct"/>
            <w:shd w:val="clear" w:color="auto" w:fill="FFFFFF"/>
            <w:vAlign w:val="center"/>
          </w:tcPr>
          <w:p w14:paraId="42C2FB65">
            <w:pPr>
              <w:pStyle w:val="115"/>
              <w:jc w:val="center"/>
            </w:pPr>
            <w:r>
              <w:rPr>
                <w:rFonts w:hint="eastAsia"/>
              </w:rPr>
              <w:t>0.51</w:t>
            </w:r>
          </w:p>
        </w:tc>
        <w:tc>
          <w:tcPr>
            <w:tcW w:w="710" w:type="pct"/>
            <w:shd w:val="clear" w:color="auto" w:fill="FFFFFF"/>
            <w:vAlign w:val="center"/>
          </w:tcPr>
          <w:p w14:paraId="01B5BE3A">
            <w:pPr>
              <w:pStyle w:val="115"/>
              <w:jc w:val="center"/>
            </w:pPr>
            <w:r>
              <w:rPr>
                <w:rFonts w:hint="eastAsia"/>
              </w:rPr>
              <w:t>25.36</w:t>
            </w:r>
          </w:p>
        </w:tc>
        <w:tc>
          <w:tcPr>
            <w:tcW w:w="959" w:type="pct"/>
            <w:shd w:val="clear" w:color="auto" w:fill="FFFFFF"/>
            <w:vAlign w:val="center"/>
          </w:tcPr>
          <w:p w14:paraId="54F0DA70">
            <w:pPr>
              <w:pStyle w:val="115"/>
              <w:jc w:val="center"/>
            </w:pPr>
            <w:r>
              <w:t>49.73</w:t>
            </w:r>
          </w:p>
        </w:tc>
      </w:tr>
    </w:tbl>
    <w:p w14:paraId="7FAC85DA">
      <w:pPr>
        <w:spacing w:after="166"/>
        <w:ind w:firstLine="500"/>
      </w:pPr>
    </w:p>
    <w:p w14:paraId="16F84F6E">
      <w:pPr>
        <w:spacing w:after="166"/>
        <w:ind w:firstLine="500"/>
      </w:pPr>
      <w:r>
        <w:rPr>
          <w:rFonts w:hint="eastAsia"/>
        </w:rPr>
        <w:br w:type="page"/>
      </w:r>
    </w:p>
    <w:p w14:paraId="6E713EDA">
      <w:pPr>
        <w:pStyle w:val="2"/>
        <w:numPr>
          <w:ilvl w:val="0"/>
          <w:numId w:val="5"/>
        </w:numPr>
        <w:rPr>
          <w:rFonts w:hint="eastAsia"/>
        </w:rPr>
      </w:pPr>
      <w:bookmarkStart w:id="6" w:name="_Toc25350"/>
      <w:r>
        <w:rPr>
          <w:rFonts w:hint="eastAsia"/>
        </w:rPr>
        <w:t>公共管理与公共服务设施</w:t>
      </w:r>
      <w:bookmarkEnd w:id="6"/>
    </w:p>
    <w:p w14:paraId="11759E8D">
      <w:pPr>
        <w:pStyle w:val="3"/>
        <w:numPr>
          <w:ilvl w:val="1"/>
          <w:numId w:val="5"/>
        </w:numPr>
        <w:spacing w:before="332" w:after="166"/>
        <w:rPr>
          <w:rFonts w:hint="eastAsia"/>
        </w:rPr>
      </w:pPr>
      <w:r>
        <w:rPr>
          <w:rFonts w:hint="eastAsia"/>
        </w:rPr>
        <w:t>现状与问题</w:t>
      </w:r>
    </w:p>
    <w:p w14:paraId="3E495B91">
      <w:pPr>
        <w:spacing w:after="166"/>
        <w:ind w:firstLine="500"/>
        <w:rPr>
          <w:lang w:val="en-US"/>
        </w:rPr>
      </w:pPr>
      <w:r>
        <w:rPr>
          <w:rFonts w:hint="eastAsia"/>
          <w:lang w:val="en-US"/>
        </w:rPr>
        <w:t>面向三类主要人群，功能供给对城市发展支撑有待加强。白云矿区公共服务设施主要服务人群包括本地居民、产业就业人群及旅游人群。依据《包头市白云鄂博矿区国土空间总体规划城市体检评估（2023年度）》规划实施社会满意度调查问卷，对三类人群进行特征与需求分析。</w:t>
      </w:r>
    </w:p>
    <w:p w14:paraId="708587CA">
      <w:pPr>
        <w:spacing w:after="166"/>
        <w:ind w:firstLine="500"/>
        <w:rPr>
          <w:lang w:val="en-US"/>
        </w:rPr>
      </w:pPr>
      <w:r>
        <w:rPr>
          <w:rFonts w:hint="eastAsia"/>
          <w:lang w:val="en-US"/>
        </w:rPr>
        <w:t>本地居民具有老龄化特征，主要需求为休闲活动、超市及医疗，现状对各类设施满意度相对较低；产业就业人群呈现高学历、年轻化的特征，偏向青年化的生活娱乐设施需求尚未得到满足；旅游旺季为夏季，旅游人群出行以研学、观光娱乐为主，旅游服务设施与本地风情活动场所建设亟待优化完善。</w:t>
      </w:r>
    </w:p>
    <w:p w14:paraId="77418471">
      <w:pPr>
        <w:spacing w:after="166"/>
        <w:ind w:firstLine="0" w:firstLineChars="0"/>
        <w:jc w:val="center"/>
        <w:rPr>
          <w:lang w:val="en-US"/>
        </w:rPr>
      </w:pPr>
      <w:r>
        <w:rPr>
          <w:lang w:val="en-US"/>
        </w:rPr>
        <w:drawing>
          <wp:inline distT="0" distB="0" distL="0" distR="0">
            <wp:extent cx="3828415" cy="2515870"/>
            <wp:effectExtent l="0" t="0" r="0" b="17780"/>
            <wp:docPr id="31730037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300378" name="图片 10"/>
                    <pic:cNvPicPr>
                      <a:picLocks noChangeAspect="1" noChangeArrowheads="1"/>
                    </pic:cNvPicPr>
                  </pic:nvPicPr>
                  <pic:blipFill>
                    <a:blip r:embed="rId56"/>
                    <a:srcRect/>
                    <a:stretch>
                      <a:fillRect/>
                    </a:stretch>
                  </pic:blipFill>
                  <pic:spPr>
                    <a:xfrm>
                      <a:off x="0" y="0"/>
                      <a:ext cx="3836306" cy="2521292"/>
                    </a:xfrm>
                    <a:prstGeom prst="rect">
                      <a:avLst/>
                    </a:prstGeom>
                    <a:noFill/>
                  </pic:spPr>
                </pic:pic>
              </a:graphicData>
            </a:graphic>
          </wp:inline>
        </w:drawing>
      </w:r>
    </w:p>
    <w:p w14:paraId="5A06E436">
      <w:pPr>
        <w:pStyle w:val="117"/>
      </w:pPr>
      <w:r>
        <w:rPr>
          <w:rFonts w:hint="eastAsia"/>
        </w:rPr>
        <w:t>图6-1 人群特征与需求特征总结</w:t>
      </w:r>
    </w:p>
    <w:p w14:paraId="08A00A22">
      <w:pPr>
        <w:pStyle w:val="5"/>
        <w:numPr>
          <w:ilvl w:val="0"/>
          <w:numId w:val="21"/>
        </w:numPr>
      </w:pPr>
      <w:r>
        <w:rPr>
          <w:rFonts w:hint="eastAsia"/>
        </w:rPr>
        <w:t>体育、医疗等公共服务设施覆盖度尚可，但设施服务质量有待提升</w:t>
      </w:r>
    </w:p>
    <w:p w14:paraId="699A44B6">
      <w:pPr>
        <w:spacing w:after="166"/>
        <w:ind w:firstLine="500"/>
        <w:rPr>
          <w:lang w:val="en-US"/>
        </w:rPr>
      </w:pPr>
      <w:r>
        <w:rPr>
          <w:rFonts w:hint="eastAsia"/>
          <w:lang w:val="en-US"/>
        </w:rPr>
        <w:t>查漏补缺，提高标准。对现状公共服务设施服务范围覆盖分布进行分析，现状体育、医疗公共服务设施覆盖情况尚可，需优化提升设施服务质量。其中市区级医院2千米覆盖率79.40%、足球场地设施步行15分钟覆盖率80.59%、社区体育设施步行15分钟覆盖率100%，社区文化活动设施步行15分钟覆盖率62.13%。</w:t>
      </w:r>
    </w:p>
    <w:p w14:paraId="2442DA1C">
      <w:pPr>
        <w:pStyle w:val="5"/>
        <w:numPr>
          <w:ilvl w:val="0"/>
          <w:numId w:val="21"/>
        </w:numPr>
      </w:pPr>
      <w:r>
        <w:rPr>
          <w:rFonts w:hint="eastAsia"/>
        </w:rPr>
        <w:t>中小学、养老服务设施等覆盖度较低</w:t>
      </w:r>
    </w:p>
    <w:p w14:paraId="0037CA86">
      <w:pPr>
        <w:spacing w:after="166"/>
        <w:ind w:firstLine="500"/>
        <w:rPr>
          <w:lang w:val="en-US"/>
        </w:rPr>
      </w:pPr>
      <w:r>
        <w:rPr>
          <w:rFonts w:hint="eastAsia"/>
          <w:lang w:val="en-US"/>
        </w:rPr>
        <w:t>分类探讨，增加供给。中小学及养老设施存在明显缺口，其中社区卫生服务设施步行15分钟覆盖率50.48%、中学步行15分钟覆盖率46.46%、小学步行10分钟覆盖率38.06%社区养老设施步行15分钟覆盖率29.17%。</w:t>
      </w:r>
    </w:p>
    <w:p w14:paraId="428D4CCD">
      <w:pPr>
        <w:spacing w:after="166"/>
        <w:ind w:firstLine="500"/>
        <w:jc w:val="center"/>
        <w:rPr>
          <w:lang w:val="en-US"/>
        </w:rPr>
      </w:pPr>
      <w:r>
        <w:rPr>
          <w:lang w:val="en-US"/>
        </w:rPr>
        <w:drawing>
          <wp:inline distT="0" distB="0" distL="0" distR="0">
            <wp:extent cx="4255135" cy="3189605"/>
            <wp:effectExtent l="0" t="0" r="12065" b="10795"/>
            <wp:docPr id="184696874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968740" name="图片 9"/>
                    <pic:cNvPicPr>
                      <a:picLocks noChangeAspect="1" noChangeArrowheads="1"/>
                    </pic:cNvPicPr>
                  </pic:nvPicPr>
                  <pic:blipFill>
                    <a:blip r:embed="rId57"/>
                    <a:srcRect/>
                    <a:stretch>
                      <a:fillRect/>
                    </a:stretch>
                  </pic:blipFill>
                  <pic:spPr>
                    <a:xfrm>
                      <a:off x="0" y="0"/>
                      <a:ext cx="4263056" cy="3195762"/>
                    </a:xfrm>
                    <a:prstGeom prst="rect">
                      <a:avLst/>
                    </a:prstGeom>
                    <a:noFill/>
                  </pic:spPr>
                </pic:pic>
              </a:graphicData>
            </a:graphic>
          </wp:inline>
        </w:drawing>
      </w:r>
    </w:p>
    <w:p w14:paraId="7320E81B">
      <w:pPr>
        <w:pStyle w:val="117"/>
      </w:pPr>
      <w:r>
        <w:rPr>
          <w:rFonts w:hint="eastAsia"/>
        </w:rPr>
        <w:t>图6-1 公共服务设施现状分布图</w:t>
      </w:r>
    </w:p>
    <w:p w14:paraId="65642A7A">
      <w:pPr>
        <w:spacing w:after="166"/>
        <w:ind w:firstLineChars="80"/>
        <w:rPr>
          <w:lang w:val="en-US"/>
        </w:rPr>
      </w:pPr>
      <w:r>
        <w:rPr>
          <w:lang w:val="en-US"/>
        </w:rPr>
        <w:drawing>
          <wp:inline distT="0" distB="0" distL="0" distR="0">
            <wp:extent cx="5274310" cy="1244600"/>
            <wp:effectExtent l="0" t="0" r="2540" b="12700"/>
            <wp:docPr id="149075860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758600" name="图片 7"/>
                    <pic:cNvPicPr>
                      <a:picLocks noChangeAspect="1" noChangeArrowheads="1"/>
                    </pic:cNvPicPr>
                  </pic:nvPicPr>
                  <pic:blipFill>
                    <a:blip r:embed="rId58"/>
                    <a:srcRect r="3328"/>
                    <a:stretch>
                      <a:fillRect/>
                    </a:stretch>
                  </pic:blipFill>
                  <pic:spPr>
                    <a:xfrm>
                      <a:off x="0" y="0"/>
                      <a:ext cx="5274310" cy="1244903"/>
                    </a:xfrm>
                    <a:prstGeom prst="rect">
                      <a:avLst/>
                    </a:prstGeom>
                    <a:noFill/>
                    <a:ln>
                      <a:noFill/>
                    </a:ln>
                  </pic:spPr>
                </pic:pic>
              </a:graphicData>
            </a:graphic>
          </wp:inline>
        </w:drawing>
      </w:r>
    </w:p>
    <w:p w14:paraId="146F0176">
      <w:pPr>
        <w:spacing w:after="166"/>
        <w:ind w:firstLineChars="80"/>
        <w:rPr>
          <w:lang w:val="en-US"/>
        </w:rPr>
      </w:pPr>
      <w:r>
        <w:rPr>
          <w:lang w:val="en-US"/>
        </w:rPr>
        <w:drawing>
          <wp:inline distT="0" distB="0" distL="0" distR="0">
            <wp:extent cx="5356860" cy="1014730"/>
            <wp:effectExtent l="0" t="0" r="15240" b="13970"/>
            <wp:docPr id="124216462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164625" name="图片 8"/>
                    <pic:cNvPicPr>
                      <a:picLocks noChangeAspect="1" noChangeArrowheads="1"/>
                    </pic:cNvPicPr>
                  </pic:nvPicPr>
                  <pic:blipFill>
                    <a:blip r:embed="rId59"/>
                    <a:srcRect/>
                    <a:stretch>
                      <a:fillRect/>
                    </a:stretch>
                  </pic:blipFill>
                  <pic:spPr>
                    <a:xfrm>
                      <a:off x="0" y="0"/>
                      <a:ext cx="5450561" cy="1032623"/>
                    </a:xfrm>
                    <a:prstGeom prst="rect">
                      <a:avLst/>
                    </a:prstGeom>
                    <a:noFill/>
                  </pic:spPr>
                </pic:pic>
              </a:graphicData>
            </a:graphic>
          </wp:inline>
        </w:drawing>
      </w:r>
    </w:p>
    <w:p w14:paraId="31AFE6EB">
      <w:pPr>
        <w:pStyle w:val="117"/>
      </w:pPr>
      <w:r>
        <w:rPr>
          <w:rFonts w:hint="eastAsia"/>
        </w:rPr>
        <w:t>图6-2 各类公共服务设施服务范围覆盖分布</w:t>
      </w:r>
    </w:p>
    <w:p w14:paraId="5BE88532">
      <w:pPr>
        <w:pStyle w:val="3"/>
        <w:numPr>
          <w:ilvl w:val="1"/>
          <w:numId w:val="5"/>
        </w:numPr>
        <w:spacing w:before="332" w:after="166"/>
        <w:rPr>
          <w:rFonts w:hint="eastAsia"/>
        </w:rPr>
      </w:pPr>
      <w:r>
        <w:rPr>
          <w:rFonts w:hint="eastAsia"/>
        </w:rPr>
        <w:t>规划原则</w:t>
      </w:r>
    </w:p>
    <w:p w14:paraId="77BB3E49">
      <w:pPr>
        <w:spacing w:after="166"/>
        <w:ind w:firstLine="500"/>
      </w:pPr>
      <w:r>
        <w:rPr>
          <w:rFonts w:hint="eastAsia"/>
        </w:rPr>
        <w:t xml:space="preserve">深化落实上层次规划确定的公共服务设施，优先保证城市公益性公共服务功能，禁止随意改变其用地性质和用地面积。 </w:t>
      </w:r>
    </w:p>
    <w:p w14:paraId="50852DC5">
      <w:pPr>
        <w:spacing w:after="166"/>
        <w:ind w:firstLine="500"/>
      </w:pPr>
      <w:r>
        <w:rPr>
          <w:rFonts w:hint="eastAsia"/>
        </w:rPr>
        <w:t xml:space="preserve">集约利用土地资源，有独立用地要求的公共服务设施，原则上纳入相应等级的公共中心用地内；只有建筑面积要求而无独立用地要求的公共服务设施，要求按照规划空间位置的引导，设置在相应地块的建筑内。 </w:t>
      </w:r>
    </w:p>
    <w:p w14:paraId="1F0DCFC5">
      <w:pPr>
        <w:spacing w:after="166"/>
        <w:ind w:firstLine="500"/>
      </w:pPr>
      <w:r>
        <w:rPr>
          <w:rFonts w:hint="eastAsia"/>
        </w:rPr>
        <w:t>公共服务设施的配套数量及规模为强制性指标，其中兼容共建的公益性设施的具体位置采取弹性控制的原则。</w:t>
      </w:r>
    </w:p>
    <w:p w14:paraId="24F78C3C">
      <w:pPr>
        <w:pStyle w:val="3"/>
        <w:numPr>
          <w:ilvl w:val="1"/>
          <w:numId w:val="5"/>
        </w:numPr>
        <w:spacing w:before="332" w:after="166"/>
        <w:rPr>
          <w:rFonts w:hint="eastAsia"/>
        </w:rPr>
      </w:pPr>
      <w:r>
        <w:rPr>
          <w:rFonts w:hint="eastAsia"/>
        </w:rPr>
        <w:t>机关团体设施</w:t>
      </w:r>
    </w:p>
    <w:p w14:paraId="78BA9323">
      <w:pPr>
        <w:spacing w:after="166"/>
        <w:ind w:firstLine="500"/>
      </w:pPr>
      <w:r>
        <w:rPr>
          <w:rFonts w:hint="eastAsia"/>
        </w:rPr>
        <w:t>规划机关团体设施设施27.98公顷，主要包括白云鄂博矿区人民政府及其他党政机关、事业单位用地。</w:t>
      </w:r>
    </w:p>
    <w:p w14:paraId="4024C273">
      <w:pPr>
        <w:pStyle w:val="3"/>
        <w:numPr>
          <w:ilvl w:val="1"/>
          <w:numId w:val="5"/>
        </w:numPr>
        <w:spacing w:before="332" w:after="166"/>
        <w:rPr>
          <w:rFonts w:hint="eastAsia"/>
        </w:rPr>
      </w:pPr>
      <w:r>
        <w:rPr>
          <w:rFonts w:hint="eastAsia"/>
        </w:rPr>
        <w:t>科研用地</w:t>
      </w:r>
    </w:p>
    <w:p w14:paraId="47650B6B">
      <w:pPr>
        <w:spacing w:after="166"/>
        <w:ind w:firstLine="500"/>
      </w:pPr>
      <w:r>
        <w:rPr>
          <w:rFonts w:hint="eastAsia"/>
        </w:rPr>
        <w:t>保留现状研发用地一处，总面积共0.89公顷。</w:t>
      </w:r>
    </w:p>
    <w:p w14:paraId="400EC9DC">
      <w:pPr>
        <w:pStyle w:val="3"/>
        <w:numPr>
          <w:ilvl w:val="1"/>
          <w:numId w:val="5"/>
        </w:numPr>
        <w:spacing w:before="332" w:after="166"/>
        <w:rPr>
          <w:rFonts w:hint="eastAsia"/>
        </w:rPr>
      </w:pPr>
      <w:r>
        <w:rPr>
          <w:rFonts w:hint="eastAsia"/>
        </w:rPr>
        <w:t>文化设施</w:t>
      </w:r>
    </w:p>
    <w:p w14:paraId="32EA3AFA">
      <w:pPr>
        <w:spacing w:after="166"/>
        <w:ind w:firstLine="500"/>
        <w:rPr>
          <w:rFonts w:hint="eastAsia"/>
        </w:rPr>
      </w:pPr>
      <w:r>
        <w:rPr>
          <w:rFonts w:hint="eastAsia"/>
        </w:rPr>
        <w:t>规划15分钟社区生活圈文化设施1处，保留现状白云鄂博图书馆、草原英雄小姐妹纪念馆等。规划文化设施用地共6.91公顷，其中图书与展览用地共涉及4.85公顷，文化活动用地共2.06公顷。</w:t>
      </w:r>
    </w:p>
    <w:p w14:paraId="16389C58">
      <w:pPr>
        <w:spacing w:after="166"/>
        <w:ind w:firstLine="500"/>
      </w:pPr>
      <w:r>
        <w:drawing>
          <wp:inline distT="0" distB="0" distL="114300" distR="114300">
            <wp:extent cx="4993640" cy="4184015"/>
            <wp:effectExtent l="0" t="0" r="16510" b="6985"/>
            <wp:docPr id="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
                    <pic:cNvPicPr>
                      <a:picLocks noChangeAspect="1"/>
                    </pic:cNvPicPr>
                  </pic:nvPicPr>
                  <pic:blipFill>
                    <a:blip r:embed="rId60"/>
                    <a:stretch>
                      <a:fillRect/>
                    </a:stretch>
                  </pic:blipFill>
                  <pic:spPr>
                    <a:xfrm>
                      <a:off x="0" y="0"/>
                      <a:ext cx="4993640" cy="4184015"/>
                    </a:xfrm>
                    <a:prstGeom prst="rect">
                      <a:avLst/>
                    </a:prstGeom>
                    <a:noFill/>
                    <a:ln>
                      <a:noFill/>
                    </a:ln>
                  </pic:spPr>
                </pic:pic>
              </a:graphicData>
            </a:graphic>
          </wp:inline>
        </w:drawing>
      </w:r>
    </w:p>
    <w:p w14:paraId="00FF07A1">
      <w:pPr>
        <w:pStyle w:val="117"/>
        <w:rPr>
          <w:rFonts w:hint="eastAsia"/>
        </w:rPr>
      </w:pPr>
      <w:r>
        <w:rPr>
          <w:rFonts w:hint="eastAsia"/>
        </w:rPr>
        <w:t>图6-3 基础教育设施规划图</w:t>
      </w:r>
    </w:p>
    <w:p w14:paraId="734C7859">
      <w:pPr>
        <w:pStyle w:val="3"/>
        <w:numPr>
          <w:ilvl w:val="1"/>
          <w:numId w:val="5"/>
        </w:numPr>
        <w:spacing w:before="332" w:after="166"/>
        <w:rPr>
          <w:rFonts w:hint="eastAsia"/>
        </w:rPr>
      </w:pPr>
      <w:r>
        <w:rPr>
          <w:rFonts w:hint="eastAsia"/>
        </w:rPr>
        <w:t>教育设施</w:t>
      </w:r>
    </w:p>
    <w:p w14:paraId="55AB2BE9">
      <w:pPr>
        <w:spacing w:after="166"/>
        <w:ind w:firstLine="500"/>
      </w:pPr>
      <w:r>
        <w:rPr>
          <w:rFonts w:hint="eastAsia"/>
        </w:rPr>
        <w:t>根据《内蒙古自治区中小学校办学条件标准》（试行）（2014年）、《幼儿园建设标准》（建标175-2016）及国家相应标准要求，规划教育人口依据现状人口和千人指标推算，班级人数、生均面积按相关标准，测算得出所需班级数量及用地规模。规划保留现状幼儿园2所、保留现状小学3所，保留现状中学1所。</w:t>
      </w:r>
    </w:p>
    <w:p w14:paraId="6FB395C7">
      <w:pPr>
        <w:pStyle w:val="4"/>
        <w:numPr>
          <w:ilvl w:val="2"/>
          <w:numId w:val="5"/>
        </w:numPr>
        <w:spacing w:before="332" w:after="166"/>
        <w:rPr>
          <w:rFonts w:hint="eastAsia"/>
          <w:lang w:val="en-US"/>
        </w:rPr>
      </w:pPr>
      <w:r>
        <w:rPr>
          <w:rFonts w:hint="eastAsia"/>
          <w:lang w:val="en-US"/>
        </w:rPr>
        <w:t>幼儿园</w:t>
      </w:r>
    </w:p>
    <w:p w14:paraId="1E7C15D4">
      <w:pPr>
        <w:spacing w:after="166"/>
        <w:ind w:firstLine="500"/>
        <w:rPr>
          <w:lang w:val="en-US"/>
        </w:rPr>
      </w:pPr>
      <w:bookmarkStart w:id="7" w:name="_Hlk171780972"/>
      <w:r>
        <w:rPr>
          <w:rFonts w:hint="eastAsia"/>
          <w:lang w:val="en-US"/>
        </w:rPr>
        <w:t xml:space="preserve">按照 20生/千人、30 生/班、生均面积不小于18平方米、服务半径为 300米的标准配置。 </w:t>
      </w:r>
    </w:p>
    <w:p w14:paraId="2B002AE8">
      <w:pPr>
        <w:spacing w:after="166"/>
        <w:ind w:firstLine="500"/>
        <w:rPr>
          <w:lang w:val="en-US"/>
        </w:rPr>
      </w:pPr>
      <w:r>
        <w:rPr>
          <w:rFonts w:hint="eastAsia"/>
          <w:lang w:val="en-US"/>
        </w:rPr>
        <w:t>根据规划人口规模，幼儿园总人数约0.06万人，约需20班。现状幼儿园共18班，2.21公顷，考虑幼儿园实际需求及服务半径，祥云社区新增一处6班幼儿园（0.42公顷），可满足需求。</w:t>
      </w:r>
    </w:p>
    <w:bookmarkEnd w:id="7"/>
    <w:p w14:paraId="1797279B">
      <w:pPr>
        <w:pStyle w:val="4"/>
        <w:numPr>
          <w:ilvl w:val="2"/>
          <w:numId w:val="5"/>
        </w:numPr>
        <w:spacing w:before="332" w:after="166"/>
        <w:rPr>
          <w:rFonts w:hint="eastAsia"/>
          <w:lang w:val="en-US"/>
        </w:rPr>
      </w:pPr>
      <w:r>
        <w:rPr>
          <w:rFonts w:hint="eastAsia"/>
          <w:lang w:val="en-US"/>
        </w:rPr>
        <w:t>小学</w:t>
      </w:r>
    </w:p>
    <w:p w14:paraId="65411A56">
      <w:pPr>
        <w:spacing w:after="166"/>
        <w:ind w:firstLine="500"/>
        <w:rPr>
          <w:lang w:val="en-US"/>
        </w:rPr>
      </w:pPr>
      <w:r>
        <w:rPr>
          <w:rFonts w:hint="eastAsia"/>
          <w:lang w:val="en-US"/>
        </w:rPr>
        <w:t xml:space="preserve">按照 27生/千人、45 生/班、生均面积不小于23平方米、服务半径为 500米的标准配置。 </w:t>
      </w:r>
    </w:p>
    <w:p w14:paraId="28CA9932">
      <w:pPr>
        <w:spacing w:after="166"/>
        <w:ind w:firstLine="500"/>
        <w:rPr>
          <w:lang w:val="en-US"/>
        </w:rPr>
      </w:pPr>
      <w:r>
        <w:rPr>
          <w:rFonts w:hint="eastAsia"/>
          <w:lang w:val="en-US"/>
        </w:rPr>
        <w:t>根据规划人口规模，小学生总人数约0.08万人，约需18班。现状小学共38班，5.97公顷，可满足需求。</w:t>
      </w:r>
    </w:p>
    <w:p w14:paraId="14045C7A">
      <w:pPr>
        <w:pStyle w:val="4"/>
        <w:numPr>
          <w:ilvl w:val="2"/>
          <w:numId w:val="5"/>
        </w:numPr>
        <w:spacing w:before="332" w:after="166"/>
        <w:rPr>
          <w:rFonts w:hint="eastAsia"/>
          <w:lang w:val="en-US"/>
        </w:rPr>
      </w:pPr>
      <w:r>
        <w:rPr>
          <w:rFonts w:hint="eastAsia"/>
          <w:lang w:val="en-US"/>
        </w:rPr>
        <w:t>中学</w:t>
      </w:r>
    </w:p>
    <w:p w14:paraId="07AAE781">
      <w:pPr>
        <w:spacing w:after="166"/>
        <w:ind w:firstLine="500"/>
        <w:rPr>
          <w:lang w:val="en-US"/>
        </w:rPr>
      </w:pPr>
      <w:r>
        <w:rPr>
          <w:rFonts w:hint="eastAsia"/>
          <w:lang w:val="en-US"/>
        </w:rPr>
        <w:t xml:space="preserve">按照 27生/千人、50生/班、生均面积不小于28平方米、服务半径为 1000米的标准配置。 </w:t>
      </w:r>
    </w:p>
    <w:p w14:paraId="352539B4">
      <w:pPr>
        <w:spacing w:after="166"/>
        <w:ind w:firstLine="500"/>
        <w:rPr>
          <w:lang w:val="en-US"/>
        </w:rPr>
      </w:pPr>
      <w:r>
        <w:rPr>
          <w:rFonts w:hint="eastAsia"/>
          <w:lang w:val="en-US"/>
        </w:rPr>
        <w:t>根据规划人口规模，中学总人数约0.08万人，约需17班。现状中学共18班，5.93公顷，可满足需求。</w:t>
      </w:r>
    </w:p>
    <w:p w14:paraId="3F985D44">
      <w:pPr>
        <w:spacing w:after="166"/>
        <w:ind w:firstLine="0" w:firstLineChars="0"/>
        <w:jc w:val="center"/>
      </w:pPr>
      <w:r>
        <w:drawing>
          <wp:inline distT="0" distB="0" distL="0" distR="0">
            <wp:extent cx="5046980" cy="4219575"/>
            <wp:effectExtent l="0" t="0" r="1270" b="9525"/>
            <wp:docPr id="148693176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931769" name="图片 12"/>
                    <pic:cNvPicPr>
                      <a:picLocks noChangeAspect="1" noChangeArrowheads="1"/>
                    </pic:cNvPicPr>
                  </pic:nvPicPr>
                  <pic:blipFill>
                    <a:blip r:embed="rId61"/>
                    <a:srcRect/>
                    <a:stretch>
                      <a:fillRect/>
                    </a:stretch>
                  </pic:blipFill>
                  <pic:spPr>
                    <a:xfrm>
                      <a:off x="0" y="0"/>
                      <a:ext cx="5061869" cy="4231780"/>
                    </a:xfrm>
                    <a:prstGeom prst="rect">
                      <a:avLst/>
                    </a:prstGeom>
                    <a:noFill/>
                  </pic:spPr>
                </pic:pic>
              </a:graphicData>
            </a:graphic>
          </wp:inline>
        </w:drawing>
      </w:r>
    </w:p>
    <w:p w14:paraId="0784DBB5">
      <w:pPr>
        <w:pStyle w:val="117"/>
      </w:pPr>
      <w:r>
        <w:rPr>
          <w:rFonts w:hint="eastAsia"/>
        </w:rPr>
        <w:t>图6-3 基础教育设施规划图</w:t>
      </w:r>
    </w:p>
    <w:p w14:paraId="4A59D8A3">
      <w:pPr>
        <w:pStyle w:val="4"/>
        <w:numPr>
          <w:ilvl w:val="2"/>
          <w:numId w:val="5"/>
        </w:numPr>
        <w:spacing w:before="332" w:after="166"/>
        <w:rPr>
          <w:rFonts w:hint="eastAsia"/>
          <w:lang w:val="en-US"/>
        </w:rPr>
      </w:pPr>
      <w:r>
        <w:rPr>
          <w:rFonts w:hint="eastAsia"/>
          <w:lang w:val="en-US"/>
        </w:rPr>
        <w:t>其他</w:t>
      </w:r>
    </w:p>
    <w:p w14:paraId="7E592872">
      <w:pPr>
        <w:spacing w:after="166"/>
        <w:ind w:firstLine="500"/>
        <w:rPr>
          <w:lang w:val="en-US"/>
        </w:rPr>
      </w:pPr>
      <w:r>
        <w:rPr>
          <w:rFonts w:hint="eastAsia"/>
          <w:lang w:val="en-US"/>
        </w:rPr>
        <w:t>保留现状白云包钢铁矿职业高级中学1所，面积共4.18公顷。</w:t>
      </w:r>
    </w:p>
    <w:p w14:paraId="653A7F81">
      <w:pPr>
        <w:pStyle w:val="3"/>
        <w:numPr>
          <w:ilvl w:val="1"/>
          <w:numId w:val="5"/>
        </w:numPr>
        <w:spacing w:before="332" w:after="166"/>
        <w:rPr>
          <w:rFonts w:hint="eastAsia"/>
        </w:rPr>
      </w:pPr>
      <w:r>
        <w:rPr>
          <w:rFonts w:hint="eastAsia"/>
        </w:rPr>
        <w:t>体育设施</w:t>
      </w:r>
    </w:p>
    <w:p w14:paraId="683C0BB2">
      <w:pPr>
        <w:spacing w:after="166"/>
        <w:ind w:firstLine="500"/>
      </w:pPr>
      <w:r>
        <w:rPr>
          <w:rFonts w:hint="eastAsia"/>
        </w:rPr>
        <w:t>结合绿地公园等公共空间，设置健身步道、骑行道、室外综合运动场等设施，因地制宜开展多种形式的体育健身活动。保障青少年、老年人、残疾人等各类人群健身休闲需求。</w:t>
      </w:r>
    </w:p>
    <w:p w14:paraId="0324AAF5">
      <w:pPr>
        <w:spacing w:after="166"/>
        <w:ind w:firstLine="500"/>
      </w:pPr>
      <w:r>
        <w:rPr>
          <w:rFonts w:hint="eastAsia"/>
        </w:rPr>
        <w:t>保留现状铁矿康体中心、全民健身中心，规划新增两处体育场馆，分别位于矿区西北侧矿山路以北、东南侧G335以东，提高体育设施覆盖率，总体育设施用地占地为4.02公顷。</w:t>
      </w:r>
    </w:p>
    <w:p w14:paraId="62562AA3">
      <w:pPr>
        <w:spacing w:after="166"/>
        <w:ind w:firstLine="500"/>
        <w:rPr>
          <w:rFonts w:hint="eastAsia"/>
        </w:rPr>
      </w:pPr>
      <w:r>
        <w:rPr>
          <w:rFonts w:hint="eastAsia"/>
        </w:rPr>
        <w:t>每个社区生活圈，结合社区综合服务、绿地公园等建设室外健身场地、小型多功能运动场各一处，鼓励中小学文体设施对外开放，分时共享。</w:t>
      </w:r>
    </w:p>
    <w:p w14:paraId="50C71800">
      <w:pPr>
        <w:spacing w:after="166"/>
        <w:ind w:firstLine="500"/>
        <w:rPr>
          <w:rFonts w:hint="eastAsia"/>
        </w:rPr>
      </w:pPr>
      <w:r>
        <w:drawing>
          <wp:inline distT="0" distB="0" distL="114300" distR="114300">
            <wp:extent cx="4890135" cy="4097020"/>
            <wp:effectExtent l="0" t="0" r="5715" b="17780"/>
            <wp:docPr id="5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
                    <pic:cNvPicPr>
                      <a:picLocks noChangeAspect="1"/>
                    </pic:cNvPicPr>
                  </pic:nvPicPr>
                  <pic:blipFill>
                    <a:blip r:embed="rId62"/>
                    <a:stretch>
                      <a:fillRect/>
                    </a:stretch>
                  </pic:blipFill>
                  <pic:spPr>
                    <a:xfrm>
                      <a:off x="0" y="0"/>
                      <a:ext cx="4890135" cy="4097020"/>
                    </a:xfrm>
                    <a:prstGeom prst="rect">
                      <a:avLst/>
                    </a:prstGeom>
                    <a:noFill/>
                    <a:ln>
                      <a:noFill/>
                    </a:ln>
                  </pic:spPr>
                </pic:pic>
              </a:graphicData>
            </a:graphic>
          </wp:inline>
        </w:drawing>
      </w:r>
    </w:p>
    <w:p w14:paraId="482FE041">
      <w:pPr>
        <w:pStyle w:val="3"/>
        <w:numPr>
          <w:ilvl w:val="1"/>
          <w:numId w:val="5"/>
        </w:numPr>
        <w:spacing w:before="332" w:after="166"/>
        <w:rPr>
          <w:rFonts w:hint="eastAsia"/>
        </w:rPr>
      </w:pPr>
      <w:r>
        <w:rPr>
          <w:rFonts w:hint="eastAsia"/>
        </w:rPr>
        <w:t>医疗卫生设施</w:t>
      </w:r>
    </w:p>
    <w:p w14:paraId="1ECBC792">
      <w:pPr>
        <w:spacing w:after="166"/>
        <w:ind w:firstLine="500"/>
      </w:pPr>
      <w:r>
        <w:rPr>
          <w:rFonts w:hint="eastAsia"/>
        </w:rPr>
        <w:t>规划保留现状白云鄂博矿区中医蒙医医院和白云区通阳道办事处社区卫生服务中心，提高现有医疗卫生服务设施的配套标准，满足居民与外来人口医疗需求。新增一处公共卫生设施用地位于G335以西，规划医疗卫生用地 8.25公顷。</w:t>
      </w:r>
    </w:p>
    <w:p w14:paraId="12FABB21">
      <w:pPr>
        <w:pStyle w:val="3"/>
        <w:numPr>
          <w:ilvl w:val="1"/>
          <w:numId w:val="5"/>
        </w:numPr>
        <w:spacing w:before="332" w:after="166"/>
        <w:rPr>
          <w:rFonts w:hint="eastAsia"/>
        </w:rPr>
      </w:pPr>
      <w:r>
        <w:rPr>
          <w:rFonts w:hint="eastAsia"/>
        </w:rPr>
        <w:t>社会福利设施</w:t>
      </w:r>
    </w:p>
    <w:p w14:paraId="643B5077">
      <w:pPr>
        <w:spacing w:after="166"/>
        <w:ind w:firstLine="500"/>
      </w:pPr>
      <w:r>
        <w:rPr>
          <w:rFonts w:hint="eastAsia"/>
        </w:rPr>
        <w:t>规划保留现状惠德健康养老产业园、山外山幸福养老院、残疾人党群服务站，提高现有设施配套标准，满足城区及周边服务需求，规划社会福利设施用地2.59公顷。</w:t>
      </w:r>
    </w:p>
    <w:p w14:paraId="4D8F402A">
      <w:pPr>
        <w:spacing w:after="166"/>
        <w:ind w:firstLine="500"/>
      </w:pPr>
      <w:r>
        <w:rPr>
          <w:rFonts w:hint="eastAsia"/>
        </w:rPr>
        <w:t>每个社区生活圈宜设置老年活动室、老年日间照料中心等，为老年人提供饮服务、医疗保健、文化娱乐等综合服务。</w:t>
      </w:r>
    </w:p>
    <w:p w14:paraId="36516D7D">
      <w:pPr>
        <w:spacing w:after="166"/>
        <w:ind w:firstLineChars="80"/>
        <w:jc w:val="center"/>
      </w:pPr>
      <w:r>
        <w:drawing>
          <wp:inline distT="0" distB="0" distL="0" distR="0">
            <wp:extent cx="4892675" cy="4056380"/>
            <wp:effectExtent l="0" t="0" r="3175" b="1270"/>
            <wp:docPr id="4388136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813694" name="图片 1"/>
                    <pic:cNvPicPr>
                      <a:picLocks noChangeAspect="1" noChangeArrowheads="1"/>
                    </pic:cNvPicPr>
                  </pic:nvPicPr>
                  <pic:blipFill>
                    <a:blip r:embed="rId63"/>
                    <a:srcRect r="2254"/>
                    <a:stretch>
                      <a:fillRect/>
                    </a:stretch>
                  </pic:blipFill>
                  <pic:spPr>
                    <a:xfrm>
                      <a:off x="0" y="0"/>
                      <a:ext cx="4899996" cy="4063026"/>
                    </a:xfrm>
                    <a:prstGeom prst="rect">
                      <a:avLst/>
                    </a:prstGeom>
                    <a:noFill/>
                    <a:ln>
                      <a:noFill/>
                    </a:ln>
                  </pic:spPr>
                </pic:pic>
              </a:graphicData>
            </a:graphic>
          </wp:inline>
        </w:drawing>
      </w:r>
    </w:p>
    <w:p w14:paraId="191CEED2">
      <w:pPr>
        <w:pStyle w:val="117"/>
      </w:pPr>
      <w:r>
        <w:rPr>
          <w:rFonts w:hint="eastAsia"/>
        </w:rPr>
        <w:t>图6-3 公共服务设施布局图</w:t>
      </w:r>
    </w:p>
    <w:p w14:paraId="628EE32B">
      <w:pPr>
        <w:pStyle w:val="117"/>
      </w:pPr>
      <w:r>
        <w:rPr>
          <w:rFonts w:hint="eastAsia"/>
        </w:rPr>
        <w:t>表6-1 规划范围公共服务设施一览表</w:t>
      </w:r>
    </w:p>
    <w:tbl>
      <w:tblPr>
        <w:tblStyle w:val="36"/>
        <w:tblW w:w="4997" w:type="pct"/>
        <w:tblInd w:w="0" w:type="dxa"/>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autofit"/>
        <w:tblCellMar>
          <w:top w:w="0" w:type="dxa"/>
          <w:left w:w="108" w:type="dxa"/>
          <w:bottom w:w="0" w:type="dxa"/>
          <w:right w:w="108" w:type="dxa"/>
        </w:tblCellMar>
      </w:tblPr>
      <w:tblGrid>
        <w:gridCol w:w="396"/>
        <w:gridCol w:w="1000"/>
        <w:gridCol w:w="651"/>
        <w:gridCol w:w="1679"/>
        <w:gridCol w:w="712"/>
        <w:gridCol w:w="1839"/>
        <w:gridCol w:w="706"/>
        <w:gridCol w:w="881"/>
        <w:gridCol w:w="653"/>
      </w:tblGrid>
      <w:tr w14:paraId="048DF2AC">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12" w:space="0"/>
              <w:left w:val="single" w:color="000000" w:sz="12" w:space="0"/>
              <w:bottom w:val="single" w:color="000000" w:sz="4" w:space="0"/>
              <w:right w:val="single" w:color="000000" w:sz="4" w:space="0"/>
              <w:tl2br w:val="nil"/>
            </w:tcBorders>
            <w:shd w:val="clear" w:color="auto" w:fill="FFFFFF"/>
            <w:vAlign w:val="center"/>
          </w:tcPr>
          <w:p w14:paraId="4247A3E0">
            <w:pPr>
              <w:pStyle w:val="115"/>
              <w:bidi w:val="0"/>
              <w:jc w:val="center"/>
            </w:pPr>
            <w:r>
              <w:t>序号</w:t>
            </w:r>
          </w:p>
        </w:tc>
        <w:tc>
          <w:tcPr>
            <w:tcW w:w="587"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508CA940">
            <w:pPr>
              <w:pStyle w:val="115"/>
              <w:bidi w:val="0"/>
              <w:jc w:val="center"/>
            </w:pPr>
            <w:r>
              <w:t>公服设施类型</w:t>
            </w:r>
          </w:p>
        </w:tc>
        <w:tc>
          <w:tcPr>
            <w:tcW w:w="382"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2A951A1E">
            <w:pPr>
              <w:pStyle w:val="115"/>
              <w:bidi w:val="0"/>
              <w:jc w:val="center"/>
            </w:pPr>
            <w:r>
              <w:t>占地形式</w:t>
            </w:r>
          </w:p>
        </w:tc>
        <w:tc>
          <w:tcPr>
            <w:tcW w:w="985"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1FEBFFB9">
            <w:pPr>
              <w:pStyle w:val="115"/>
              <w:bidi w:val="0"/>
              <w:jc w:val="center"/>
            </w:pPr>
            <w:r>
              <w:t>公服设施名称</w:t>
            </w:r>
          </w:p>
        </w:tc>
        <w:tc>
          <w:tcPr>
            <w:tcW w:w="418"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536B9451">
            <w:pPr>
              <w:pStyle w:val="115"/>
              <w:bidi w:val="0"/>
              <w:jc w:val="center"/>
            </w:pPr>
            <w:r>
              <w:t>级别</w:t>
            </w:r>
          </w:p>
        </w:tc>
        <w:tc>
          <w:tcPr>
            <w:tcW w:w="1079"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039B0E3F">
            <w:pPr>
              <w:pStyle w:val="115"/>
              <w:bidi w:val="0"/>
              <w:jc w:val="center"/>
            </w:pPr>
            <w:r>
              <w:t>地块编号</w:t>
            </w:r>
          </w:p>
        </w:tc>
        <w:tc>
          <w:tcPr>
            <w:tcW w:w="414"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67D0C899">
            <w:pPr>
              <w:pStyle w:val="115"/>
              <w:bidi w:val="0"/>
              <w:jc w:val="center"/>
            </w:pPr>
            <w:r>
              <w:t>用地面积 (</w:t>
            </w:r>
            <w:r>
              <w:rPr>
                <w:rFonts w:hint="eastAsia"/>
                <w:lang w:eastAsia="zh"/>
              </w:rPr>
              <w:t>公顷</w:t>
            </w:r>
            <w:r>
              <w:t>)</w:t>
            </w:r>
          </w:p>
        </w:tc>
        <w:tc>
          <w:tcPr>
            <w:tcW w:w="517"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7EDA4AAB">
            <w:pPr>
              <w:pStyle w:val="115"/>
              <w:bidi w:val="0"/>
              <w:jc w:val="center"/>
            </w:pPr>
            <w:r>
              <w:t>建筑面积 (</w:t>
            </w:r>
            <w:r>
              <w:rPr>
                <w:rFonts w:hint="eastAsia"/>
              </w:rPr>
              <w:t>万平方米</w:t>
            </w:r>
            <w:r>
              <w:t>)</w:t>
            </w:r>
          </w:p>
        </w:tc>
        <w:tc>
          <w:tcPr>
            <w:tcW w:w="383" w:type="pct"/>
            <w:tcBorders>
              <w:top w:val="single" w:color="000000" w:sz="12" w:space="0"/>
              <w:left w:val="single" w:color="000000" w:sz="4" w:space="0"/>
              <w:bottom w:val="single" w:color="000000" w:sz="4" w:space="0"/>
              <w:right w:val="single" w:color="000000" w:sz="12" w:space="0"/>
            </w:tcBorders>
            <w:shd w:val="clear" w:color="auto" w:fill="FFFFFF"/>
            <w:vAlign w:val="center"/>
          </w:tcPr>
          <w:p w14:paraId="56F1674A">
            <w:pPr>
              <w:pStyle w:val="115"/>
              <w:bidi w:val="0"/>
              <w:jc w:val="center"/>
            </w:pPr>
            <w:r>
              <w:t>规划状态</w:t>
            </w:r>
          </w:p>
        </w:tc>
      </w:tr>
      <w:tr w14:paraId="3BEEC494">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48FCA9EE">
            <w:pPr>
              <w:pStyle w:val="115"/>
              <w:bidi w:val="0"/>
              <w:jc w:val="center"/>
            </w:pPr>
            <w:r>
              <w:t>1</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4C641F4">
            <w:pPr>
              <w:pStyle w:val="115"/>
              <w:bidi w:val="0"/>
              <w:jc w:val="center"/>
            </w:pPr>
            <w:r>
              <w:t>文化活动设施</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832010C">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A02CFF6">
            <w:pPr>
              <w:pStyle w:val="115"/>
              <w:bidi w:val="0"/>
              <w:jc w:val="center"/>
            </w:pPr>
            <w:r>
              <w:t>新增文化活动设施1</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538EB21">
            <w:pPr>
              <w:pStyle w:val="115"/>
              <w:bidi w:val="0"/>
              <w:jc w:val="center"/>
            </w:pPr>
            <w:r>
              <w:t>社区级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1E9E43D">
            <w:pPr>
              <w:pStyle w:val="115"/>
              <w:bidi w:val="0"/>
              <w:jc w:val="center"/>
            </w:pPr>
            <w:r>
              <w:t>150206001202001-04</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50C5D9F">
            <w:pPr>
              <w:pStyle w:val="115"/>
              <w:bidi w:val="0"/>
              <w:jc w:val="center"/>
            </w:pPr>
            <w:r>
              <w:t>1.09</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BC2FB9C">
            <w:pPr>
              <w:pStyle w:val="115"/>
              <w:bidi w:val="0"/>
              <w:jc w:val="center"/>
            </w:pPr>
            <w:r>
              <w:t>1.09</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7D361EB9">
            <w:pPr>
              <w:pStyle w:val="115"/>
              <w:bidi w:val="0"/>
              <w:jc w:val="center"/>
            </w:pPr>
            <w:r>
              <w:t>规划</w:t>
            </w:r>
          </w:p>
        </w:tc>
      </w:tr>
      <w:tr w14:paraId="4805D752">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4A89B3FC">
            <w:pPr>
              <w:pStyle w:val="115"/>
              <w:bidi w:val="0"/>
              <w:jc w:val="center"/>
            </w:pPr>
            <w:r>
              <w:t>2</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70FFA38">
            <w:pPr>
              <w:pStyle w:val="115"/>
              <w:bidi w:val="0"/>
              <w:jc w:val="center"/>
            </w:pPr>
            <w:r>
              <w:t>体育场馆</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93DE088">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A4FEB63">
            <w:pPr>
              <w:pStyle w:val="115"/>
              <w:bidi w:val="0"/>
              <w:jc w:val="center"/>
            </w:pPr>
            <w:r>
              <w:t>新建体育场馆1</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368943E">
            <w:pPr>
              <w:pStyle w:val="115"/>
              <w:bidi w:val="0"/>
              <w:jc w:val="center"/>
            </w:pPr>
            <w:r>
              <w:t>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76A1007">
            <w:pPr>
              <w:pStyle w:val="115"/>
              <w:bidi w:val="0"/>
              <w:jc w:val="center"/>
            </w:pPr>
            <w:r>
              <w:t>150206001202001-06</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866E257">
            <w:pPr>
              <w:pStyle w:val="115"/>
              <w:bidi w:val="0"/>
              <w:jc w:val="center"/>
            </w:pPr>
            <w:r>
              <w:t>1.86</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4AB17FC">
            <w:pPr>
              <w:pStyle w:val="115"/>
              <w:bidi w:val="0"/>
              <w:jc w:val="center"/>
            </w:pPr>
            <w:r>
              <w:t>1.86</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211D4E89">
            <w:pPr>
              <w:pStyle w:val="115"/>
              <w:bidi w:val="0"/>
              <w:jc w:val="center"/>
            </w:pPr>
            <w:r>
              <w:t>规划</w:t>
            </w:r>
          </w:p>
        </w:tc>
      </w:tr>
      <w:tr w14:paraId="4AA00507">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65F00BE0">
            <w:pPr>
              <w:pStyle w:val="115"/>
              <w:bidi w:val="0"/>
              <w:jc w:val="center"/>
            </w:pPr>
            <w:r>
              <w:t>3</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0181241">
            <w:pPr>
              <w:pStyle w:val="115"/>
              <w:bidi w:val="0"/>
              <w:jc w:val="center"/>
            </w:pPr>
            <w:r>
              <w:t>机关团体设施</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68DF237">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B47B896">
            <w:pPr>
              <w:pStyle w:val="115"/>
              <w:bidi w:val="0"/>
              <w:jc w:val="center"/>
            </w:pPr>
            <w:r>
              <w:t>白云地税</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7372D04">
            <w:pPr>
              <w:pStyle w:val="115"/>
              <w:bidi w:val="0"/>
              <w:jc w:val="center"/>
            </w:pPr>
            <w:r>
              <w:t>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5FE87A0">
            <w:pPr>
              <w:pStyle w:val="115"/>
              <w:bidi w:val="0"/>
              <w:jc w:val="center"/>
            </w:pPr>
            <w:r>
              <w:t>150206001202001-13</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E7073D4">
            <w:pPr>
              <w:pStyle w:val="115"/>
              <w:bidi w:val="0"/>
              <w:jc w:val="center"/>
            </w:pPr>
            <w:r>
              <w:t>1.18</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E2D2A45">
            <w:pPr>
              <w:pStyle w:val="115"/>
              <w:bidi w:val="0"/>
              <w:jc w:val="center"/>
            </w:pPr>
            <w:r>
              <w:t>1.18</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09B85DE5">
            <w:pPr>
              <w:pStyle w:val="115"/>
              <w:bidi w:val="0"/>
              <w:jc w:val="center"/>
            </w:pPr>
            <w:r>
              <w:t>现状</w:t>
            </w:r>
          </w:p>
        </w:tc>
      </w:tr>
      <w:tr w14:paraId="3E358DA4">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008AC2CD">
            <w:pPr>
              <w:pStyle w:val="115"/>
              <w:bidi w:val="0"/>
              <w:jc w:val="center"/>
              <w:rPr>
                <w:lang w:eastAsia="zh"/>
              </w:rPr>
            </w:pPr>
            <w:r>
              <w:t>4</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A1A0A40">
            <w:pPr>
              <w:pStyle w:val="115"/>
              <w:bidi w:val="0"/>
              <w:jc w:val="center"/>
            </w:pPr>
            <w:r>
              <w:t>机关团体设施</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174E297">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EB60B9D">
            <w:pPr>
              <w:pStyle w:val="115"/>
              <w:bidi w:val="0"/>
              <w:jc w:val="center"/>
            </w:pPr>
            <w:r>
              <w:t>矿山路街道办事处</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391A096">
            <w:pPr>
              <w:pStyle w:val="115"/>
              <w:bidi w:val="0"/>
              <w:jc w:val="center"/>
            </w:pPr>
            <w:r>
              <w:t>社区级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7F2C3AE">
            <w:pPr>
              <w:pStyle w:val="115"/>
              <w:bidi w:val="0"/>
              <w:jc w:val="center"/>
            </w:pPr>
            <w:r>
              <w:t>150206001202001-25</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A49D1FD">
            <w:pPr>
              <w:pStyle w:val="115"/>
              <w:bidi w:val="0"/>
              <w:jc w:val="center"/>
            </w:pPr>
            <w:r>
              <w:t>0.27</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9A83C2C">
            <w:pPr>
              <w:pStyle w:val="115"/>
              <w:bidi w:val="0"/>
              <w:jc w:val="center"/>
            </w:pPr>
            <w:r>
              <w:t>0.27</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3DEFBD7A">
            <w:pPr>
              <w:pStyle w:val="115"/>
              <w:bidi w:val="0"/>
              <w:jc w:val="center"/>
            </w:pPr>
            <w:r>
              <w:t>现状</w:t>
            </w:r>
          </w:p>
        </w:tc>
      </w:tr>
      <w:tr w14:paraId="27C316B0">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6D8C724C">
            <w:pPr>
              <w:pStyle w:val="115"/>
              <w:bidi w:val="0"/>
              <w:jc w:val="center"/>
              <w:rPr>
                <w:lang w:eastAsia="zh"/>
              </w:rPr>
            </w:pPr>
            <w:r>
              <w:t>5</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C4367A9">
            <w:pPr>
              <w:pStyle w:val="115"/>
              <w:bidi w:val="0"/>
              <w:jc w:val="center"/>
            </w:pPr>
            <w:r>
              <w:t>机关团体设施</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A6F4E31">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87498B6">
            <w:pPr>
              <w:pStyle w:val="115"/>
              <w:bidi w:val="0"/>
              <w:jc w:val="center"/>
            </w:pPr>
            <w:r>
              <w:t>白云铁矿办公楼</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470121C">
            <w:pPr>
              <w:pStyle w:val="115"/>
              <w:bidi w:val="0"/>
              <w:jc w:val="center"/>
            </w:pPr>
            <w:r>
              <w:t>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E2CACD4">
            <w:pPr>
              <w:pStyle w:val="115"/>
              <w:bidi w:val="0"/>
              <w:jc w:val="center"/>
            </w:pPr>
            <w:r>
              <w:t>150206001202001-26</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14EB681">
            <w:pPr>
              <w:pStyle w:val="115"/>
              <w:bidi w:val="0"/>
              <w:jc w:val="center"/>
            </w:pPr>
            <w:r>
              <w:t>0.59</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98FC42F">
            <w:pPr>
              <w:pStyle w:val="115"/>
              <w:bidi w:val="0"/>
              <w:jc w:val="center"/>
            </w:pPr>
            <w:r>
              <w:t>0.59</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4D1D4966">
            <w:pPr>
              <w:pStyle w:val="115"/>
              <w:bidi w:val="0"/>
              <w:jc w:val="center"/>
            </w:pPr>
            <w:r>
              <w:t>现状</w:t>
            </w:r>
          </w:p>
        </w:tc>
      </w:tr>
      <w:tr w14:paraId="49355962">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12A54F6B">
            <w:pPr>
              <w:pStyle w:val="115"/>
              <w:bidi w:val="0"/>
              <w:jc w:val="center"/>
            </w:pPr>
            <w:r>
              <w:t>6</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C7F4837">
            <w:pPr>
              <w:pStyle w:val="115"/>
              <w:bidi w:val="0"/>
              <w:jc w:val="center"/>
            </w:pPr>
            <w:r>
              <w:t>机关团体设施</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DEE354A">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BA7D031">
            <w:pPr>
              <w:pStyle w:val="115"/>
              <w:bidi w:val="0"/>
              <w:jc w:val="center"/>
            </w:pPr>
            <w:r>
              <w:t>北方稀土白云博宇分公司</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FDB2E60">
            <w:pPr>
              <w:pStyle w:val="115"/>
              <w:bidi w:val="0"/>
              <w:jc w:val="center"/>
            </w:pPr>
            <w:r>
              <w:t>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3BAF3FD">
            <w:pPr>
              <w:pStyle w:val="115"/>
              <w:bidi w:val="0"/>
              <w:jc w:val="center"/>
            </w:pPr>
            <w:r>
              <w:t>150206001202001-27</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86FAB04">
            <w:pPr>
              <w:pStyle w:val="115"/>
              <w:bidi w:val="0"/>
              <w:jc w:val="center"/>
            </w:pPr>
            <w:r>
              <w:t>2.39</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D8A554A">
            <w:pPr>
              <w:pStyle w:val="115"/>
              <w:bidi w:val="0"/>
              <w:jc w:val="center"/>
            </w:pPr>
            <w:r>
              <w:t>2.39</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68273C72">
            <w:pPr>
              <w:pStyle w:val="115"/>
              <w:bidi w:val="0"/>
              <w:jc w:val="center"/>
            </w:pPr>
            <w:r>
              <w:t>现状</w:t>
            </w:r>
          </w:p>
        </w:tc>
      </w:tr>
      <w:tr w14:paraId="68B7C5D1">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6CB67DAC">
            <w:pPr>
              <w:pStyle w:val="115"/>
              <w:bidi w:val="0"/>
              <w:jc w:val="center"/>
            </w:pPr>
            <w:r>
              <w:t>7</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BAEA123">
            <w:pPr>
              <w:pStyle w:val="115"/>
              <w:bidi w:val="0"/>
              <w:jc w:val="center"/>
            </w:pPr>
            <w:r>
              <w:t>机关团体设施</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CA92120">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A20AD82">
            <w:pPr>
              <w:pStyle w:val="115"/>
              <w:bidi w:val="0"/>
              <w:jc w:val="center"/>
            </w:pPr>
            <w:r>
              <w:t>铁矿幼儿园旧址</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B179B8D">
            <w:pPr>
              <w:pStyle w:val="115"/>
              <w:bidi w:val="0"/>
              <w:jc w:val="center"/>
            </w:pPr>
            <w:r>
              <w:t>社区级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EF242DF">
            <w:pPr>
              <w:pStyle w:val="115"/>
              <w:bidi w:val="0"/>
              <w:jc w:val="center"/>
            </w:pPr>
            <w:r>
              <w:t>150206001202001-28</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A5BE718">
            <w:pPr>
              <w:pStyle w:val="115"/>
              <w:bidi w:val="0"/>
              <w:jc w:val="center"/>
            </w:pPr>
            <w:r>
              <w:t>0.57</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AA2BE0A">
            <w:pPr>
              <w:pStyle w:val="115"/>
              <w:bidi w:val="0"/>
              <w:jc w:val="center"/>
            </w:pPr>
            <w:r>
              <w:t>0.57</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745CC077">
            <w:pPr>
              <w:pStyle w:val="115"/>
              <w:bidi w:val="0"/>
              <w:jc w:val="center"/>
            </w:pPr>
            <w:r>
              <w:t>现状</w:t>
            </w:r>
          </w:p>
        </w:tc>
      </w:tr>
      <w:tr w14:paraId="0E6DC625">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05A05A9B">
            <w:pPr>
              <w:pStyle w:val="115"/>
              <w:bidi w:val="0"/>
              <w:jc w:val="center"/>
            </w:pPr>
            <w:r>
              <w:t>8</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DD2A372">
            <w:pPr>
              <w:pStyle w:val="115"/>
              <w:bidi w:val="0"/>
              <w:jc w:val="center"/>
            </w:pPr>
            <w:r>
              <w:t>机关团体设施</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F3F998B">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45D1849">
            <w:pPr>
              <w:pStyle w:val="115"/>
              <w:bidi w:val="0"/>
              <w:jc w:val="center"/>
            </w:pPr>
            <w:r>
              <w:t>铁矿退休办</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B2DA038">
            <w:pPr>
              <w:pStyle w:val="115"/>
              <w:bidi w:val="0"/>
              <w:jc w:val="center"/>
            </w:pPr>
            <w:r>
              <w:t>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F811929">
            <w:pPr>
              <w:pStyle w:val="115"/>
              <w:bidi w:val="0"/>
              <w:jc w:val="center"/>
            </w:pPr>
            <w:r>
              <w:t>150206001202001-34</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CD4149E">
            <w:pPr>
              <w:pStyle w:val="115"/>
              <w:bidi w:val="0"/>
              <w:jc w:val="center"/>
            </w:pPr>
            <w:r>
              <w:t>0.45</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1EFFBC5">
            <w:pPr>
              <w:pStyle w:val="115"/>
              <w:bidi w:val="0"/>
              <w:jc w:val="center"/>
            </w:pPr>
            <w:r>
              <w:t>0.45</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3305FA8F">
            <w:pPr>
              <w:pStyle w:val="115"/>
              <w:bidi w:val="0"/>
              <w:jc w:val="center"/>
            </w:pPr>
            <w:r>
              <w:t>现状</w:t>
            </w:r>
          </w:p>
        </w:tc>
      </w:tr>
      <w:tr w14:paraId="68642DCA">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2A63A7DF">
            <w:pPr>
              <w:pStyle w:val="115"/>
              <w:bidi w:val="0"/>
              <w:jc w:val="center"/>
            </w:pPr>
            <w:r>
              <w:t>9</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EC9EE78">
            <w:pPr>
              <w:pStyle w:val="115"/>
              <w:bidi w:val="0"/>
              <w:jc w:val="center"/>
            </w:pPr>
            <w:r>
              <w:t>科研设施</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94D60BB">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EFB3F5B">
            <w:pPr>
              <w:pStyle w:val="115"/>
              <w:bidi w:val="0"/>
              <w:jc w:val="center"/>
            </w:pPr>
            <w:r>
              <w:t>现状科研设施</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15FCC91">
            <w:pPr>
              <w:pStyle w:val="115"/>
              <w:bidi w:val="0"/>
              <w:jc w:val="center"/>
            </w:pPr>
            <w:r>
              <w:t>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0E844C4">
            <w:pPr>
              <w:pStyle w:val="115"/>
              <w:bidi w:val="0"/>
              <w:jc w:val="center"/>
            </w:pPr>
            <w:r>
              <w:t>150206001202001-39</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1EB672F">
            <w:pPr>
              <w:pStyle w:val="115"/>
              <w:bidi w:val="0"/>
              <w:jc w:val="center"/>
            </w:pPr>
            <w:r>
              <w:t>0.89</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37C2118">
            <w:pPr>
              <w:pStyle w:val="115"/>
              <w:bidi w:val="0"/>
              <w:jc w:val="center"/>
            </w:pPr>
            <w:r>
              <w:t>1.07</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72871A32">
            <w:pPr>
              <w:pStyle w:val="115"/>
              <w:bidi w:val="0"/>
              <w:jc w:val="center"/>
            </w:pPr>
            <w:r>
              <w:t>现状</w:t>
            </w:r>
          </w:p>
        </w:tc>
      </w:tr>
      <w:tr w14:paraId="45A2ABD6">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7D75A0F3">
            <w:pPr>
              <w:pStyle w:val="115"/>
              <w:bidi w:val="0"/>
              <w:jc w:val="center"/>
            </w:pPr>
            <w:r>
              <w:t>10</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50FF1E1">
            <w:pPr>
              <w:pStyle w:val="115"/>
              <w:bidi w:val="0"/>
              <w:jc w:val="center"/>
            </w:pPr>
            <w:r>
              <w:t>机关团体设施</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893DCA1">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091A59E">
            <w:pPr>
              <w:pStyle w:val="115"/>
              <w:bidi w:val="0"/>
              <w:jc w:val="center"/>
            </w:pPr>
            <w:r>
              <w:t>白云区烟草专卖</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36A4FD4">
            <w:pPr>
              <w:pStyle w:val="115"/>
              <w:bidi w:val="0"/>
              <w:jc w:val="center"/>
            </w:pPr>
            <w:r>
              <w:t>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83B875C">
            <w:pPr>
              <w:pStyle w:val="115"/>
              <w:bidi w:val="0"/>
              <w:jc w:val="center"/>
            </w:pPr>
            <w:r>
              <w:t>150206001202002-04</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47B1F66">
            <w:pPr>
              <w:pStyle w:val="115"/>
              <w:bidi w:val="0"/>
              <w:jc w:val="center"/>
            </w:pPr>
            <w:r>
              <w:t>1.95</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F6A5900">
            <w:pPr>
              <w:pStyle w:val="115"/>
              <w:bidi w:val="0"/>
              <w:jc w:val="center"/>
            </w:pPr>
            <w:r>
              <w:t>1.95</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47406F0E">
            <w:pPr>
              <w:pStyle w:val="115"/>
              <w:bidi w:val="0"/>
              <w:jc w:val="center"/>
            </w:pPr>
            <w:r>
              <w:t>现状</w:t>
            </w:r>
          </w:p>
        </w:tc>
      </w:tr>
      <w:tr w14:paraId="63C7A65D">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49EDBC14">
            <w:pPr>
              <w:pStyle w:val="115"/>
              <w:bidi w:val="0"/>
              <w:jc w:val="center"/>
            </w:pPr>
            <w:r>
              <w:t>11</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E9BBF3F">
            <w:pPr>
              <w:pStyle w:val="115"/>
              <w:bidi w:val="0"/>
              <w:jc w:val="center"/>
            </w:pPr>
            <w:r>
              <w:t>机关团体设施</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862FB24">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EF41EAC">
            <w:pPr>
              <w:pStyle w:val="115"/>
              <w:bidi w:val="0"/>
              <w:jc w:val="center"/>
            </w:pPr>
            <w:r>
              <w:t>内蒙古农村信用社</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8D43464">
            <w:pPr>
              <w:pStyle w:val="115"/>
              <w:bidi w:val="0"/>
              <w:jc w:val="center"/>
            </w:pPr>
            <w:r>
              <w:t>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33E74B8">
            <w:pPr>
              <w:pStyle w:val="115"/>
              <w:bidi w:val="0"/>
              <w:jc w:val="center"/>
            </w:pPr>
            <w:r>
              <w:t>150206001202002-09</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2592ECC">
            <w:pPr>
              <w:pStyle w:val="115"/>
              <w:bidi w:val="0"/>
              <w:jc w:val="center"/>
            </w:pPr>
            <w:r>
              <w:t>0.1</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098479D">
            <w:pPr>
              <w:pStyle w:val="115"/>
              <w:bidi w:val="0"/>
              <w:jc w:val="center"/>
            </w:pPr>
            <w:r>
              <w:t>0.08</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6707264B">
            <w:pPr>
              <w:pStyle w:val="115"/>
              <w:bidi w:val="0"/>
              <w:jc w:val="center"/>
            </w:pPr>
            <w:r>
              <w:t>现状</w:t>
            </w:r>
          </w:p>
        </w:tc>
      </w:tr>
      <w:tr w14:paraId="64D6FB03">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3F0ADF3F">
            <w:pPr>
              <w:pStyle w:val="115"/>
              <w:bidi w:val="0"/>
              <w:jc w:val="center"/>
            </w:pPr>
            <w:r>
              <w:t>12</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6F1A47E">
            <w:pPr>
              <w:pStyle w:val="115"/>
              <w:bidi w:val="0"/>
              <w:jc w:val="center"/>
            </w:pPr>
            <w:r>
              <w:t>机关团体设施</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42F0ED2">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999CCC1">
            <w:pPr>
              <w:pStyle w:val="115"/>
              <w:bidi w:val="0"/>
              <w:jc w:val="center"/>
            </w:pPr>
            <w:r>
              <w:t>白云鄂博矿区税务局南部办公区</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8BB21F4">
            <w:pPr>
              <w:pStyle w:val="115"/>
              <w:bidi w:val="0"/>
              <w:jc w:val="center"/>
            </w:pPr>
            <w:r>
              <w:t>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33D1676">
            <w:pPr>
              <w:pStyle w:val="115"/>
              <w:bidi w:val="0"/>
              <w:jc w:val="center"/>
            </w:pPr>
            <w:r>
              <w:t>150206001202002-11</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2588BFB">
            <w:pPr>
              <w:pStyle w:val="115"/>
              <w:bidi w:val="0"/>
              <w:jc w:val="center"/>
            </w:pPr>
            <w:r>
              <w:t>0.21</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266C9D8">
            <w:pPr>
              <w:pStyle w:val="115"/>
              <w:bidi w:val="0"/>
              <w:jc w:val="center"/>
            </w:pPr>
            <w:r>
              <w:t>0.17</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0D4E9839">
            <w:pPr>
              <w:pStyle w:val="115"/>
              <w:bidi w:val="0"/>
              <w:jc w:val="center"/>
            </w:pPr>
            <w:r>
              <w:t>现状</w:t>
            </w:r>
          </w:p>
        </w:tc>
      </w:tr>
      <w:tr w14:paraId="046B62E8">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604DE467">
            <w:pPr>
              <w:pStyle w:val="115"/>
              <w:bidi w:val="0"/>
              <w:jc w:val="center"/>
            </w:pPr>
            <w:r>
              <w:t>13</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A8997DB">
            <w:pPr>
              <w:pStyle w:val="115"/>
              <w:bidi w:val="0"/>
              <w:jc w:val="center"/>
            </w:pPr>
            <w:r>
              <w:t>机关团体设施</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44C4165">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B08A300">
            <w:pPr>
              <w:pStyle w:val="115"/>
              <w:bidi w:val="0"/>
              <w:jc w:val="center"/>
            </w:pPr>
            <w:r>
              <w:t>白云鄂博矿区法律援助中心、白云鄂博矿区疾病预防控制中心、包头市白云鄂博矿区卫生局卫生监督所</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6F597B7">
            <w:pPr>
              <w:pStyle w:val="115"/>
              <w:bidi w:val="0"/>
              <w:jc w:val="center"/>
            </w:pPr>
            <w:r>
              <w:t>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112D956">
            <w:pPr>
              <w:pStyle w:val="115"/>
              <w:bidi w:val="0"/>
              <w:jc w:val="center"/>
            </w:pPr>
            <w:r>
              <w:t>150206001202002-13</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27BAF95">
            <w:pPr>
              <w:pStyle w:val="115"/>
              <w:bidi w:val="0"/>
              <w:jc w:val="center"/>
            </w:pPr>
            <w:r>
              <w:t>0.2</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09FB8CA">
            <w:pPr>
              <w:pStyle w:val="115"/>
              <w:bidi w:val="0"/>
              <w:jc w:val="center"/>
            </w:pPr>
            <w:r>
              <w:t>0.16</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0F3D851D">
            <w:pPr>
              <w:pStyle w:val="115"/>
              <w:bidi w:val="0"/>
              <w:jc w:val="center"/>
            </w:pPr>
            <w:r>
              <w:t>现状</w:t>
            </w:r>
          </w:p>
        </w:tc>
      </w:tr>
      <w:tr w14:paraId="3A7EB229">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24392FC7">
            <w:pPr>
              <w:pStyle w:val="115"/>
              <w:bidi w:val="0"/>
              <w:jc w:val="center"/>
            </w:pPr>
            <w:r>
              <w:t>14</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082D489">
            <w:pPr>
              <w:pStyle w:val="115"/>
              <w:bidi w:val="0"/>
              <w:jc w:val="center"/>
            </w:pPr>
            <w:r>
              <w:t>公共卫生设施</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4DE1D74">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D69410F">
            <w:pPr>
              <w:pStyle w:val="115"/>
              <w:bidi w:val="0"/>
              <w:jc w:val="center"/>
            </w:pPr>
            <w:r>
              <w:t>宝山社区卫生服务站</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AFFC325">
            <w:pPr>
              <w:pStyle w:val="115"/>
              <w:bidi w:val="0"/>
              <w:jc w:val="center"/>
            </w:pPr>
            <w:r>
              <w:t>社区级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4D0E7A8">
            <w:pPr>
              <w:pStyle w:val="115"/>
              <w:bidi w:val="0"/>
              <w:jc w:val="center"/>
            </w:pPr>
            <w:r>
              <w:t>150206001202002-15</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33EFC51">
            <w:pPr>
              <w:pStyle w:val="115"/>
              <w:bidi w:val="0"/>
              <w:jc w:val="center"/>
            </w:pPr>
            <w:r>
              <w:t>0.26</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07B6D97">
            <w:pPr>
              <w:pStyle w:val="115"/>
              <w:bidi w:val="0"/>
              <w:jc w:val="center"/>
            </w:pPr>
            <w:r>
              <w:t>0.26</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7E04F10D">
            <w:pPr>
              <w:pStyle w:val="115"/>
              <w:bidi w:val="0"/>
              <w:jc w:val="center"/>
            </w:pPr>
            <w:r>
              <w:t>现状</w:t>
            </w:r>
          </w:p>
        </w:tc>
      </w:tr>
      <w:tr w14:paraId="3EE005E6">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1C434F49">
            <w:pPr>
              <w:pStyle w:val="115"/>
              <w:bidi w:val="0"/>
              <w:jc w:val="center"/>
            </w:pPr>
            <w:r>
              <w:t>15</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D46E514">
            <w:pPr>
              <w:pStyle w:val="115"/>
              <w:bidi w:val="0"/>
              <w:jc w:val="center"/>
            </w:pPr>
            <w:r>
              <w:t>机关团体设施</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6A770AF">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45D3DB4">
            <w:pPr>
              <w:pStyle w:val="115"/>
              <w:bidi w:val="0"/>
              <w:jc w:val="center"/>
            </w:pPr>
            <w:r>
              <w:t>白云鄂博矿区</w:t>
            </w:r>
            <w:r>
              <w:rPr>
                <w:rFonts w:hint="eastAsia"/>
              </w:rPr>
              <w:t>人民政府</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D1CA819">
            <w:pPr>
              <w:pStyle w:val="115"/>
              <w:bidi w:val="0"/>
              <w:jc w:val="center"/>
            </w:pPr>
            <w:r>
              <w:t>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377A4B7">
            <w:pPr>
              <w:pStyle w:val="115"/>
              <w:bidi w:val="0"/>
              <w:jc w:val="center"/>
            </w:pPr>
            <w:r>
              <w:t>150206001202002-20</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65510A4">
            <w:pPr>
              <w:pStyle w:val="115"/>
              <w:bidi w:val="0"/>
              <w:jc w:val="center"/>
            </w:pPr>
            <w:r>
              <w:t>3.47</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5B90318">
            <w:pPr>
              <w:pStyle w:val="115"/>
              <w:bidi w:val="0"/>
              <w:jc w:val="center"/>
            </w:pPr>
            <w:r>
              <w:t>3.47</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6AABDCB9">
            <w:pPr>
              <w:pStyle w:val="115"/>
              <w:bidi w:val="0"/>
              <w:jc w:val="center"/>
            </w:pPr>
            <w:r>
              <w:t>现状</w:t>
            </w:r>
          </w:p>
        </w:tc>
      </w:tr>
      <w:tr w14:paraId="24786608">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6382B38C">
            <w:pPr>
              <w:pStyle w:val="115"/>
              <w:bidi w:val="0"/>
              <w:jc w:val="center"/>
            </w:pPr>
            <w:r>
              <w:t>16</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0E2F419">
            <w:pPr>
              <w:pStyle w:val="115"/>
              <w:bidi w:val="0"/>
              <w:jc w:val="center"/>
            </w:pPr>
            <w:r>
              <w:t>机关团体设施</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DB59D58">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00DC8E1">
            <w:pPr>
              <w:pStyle w:val="115"/>
              <w:bidi w:val="0"/>
              <w:jc w:val="center"/>
            </w:pPr>
            <w:r>
              <w:t>白云供电局</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59116BD">
            <w:pPr>
              <w:pStyle w:val="115"/>
              <w:bidi w:val="0"/>
              <w:jc w:val="center"/>
            </w:pPr>
            <w:r>
              <w:t>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C01045A">
            <w:pPr>
              <w:pStyle w:val="115"/>
              <w:bidi w:val="0"/>
              <w:jc w:val="center"/>
            </w:pPr>
            <w:r>
              <w:t>150206001202002-23</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B2DD5B6">
            <w:pPr>
              <w:pStyle w:val="115"/>
              <w:bidi w:val="0"/>
              <w:jc w:val="center"/>
            </w:pPr>
            <w:r>
              <w:t>0.47</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5DD80C9">
            <w:pPr>
              <w:pStyle w:val="115"/>
              <w:bidi w:val="0"/>
              <w:jc w:val="center"/>
            </w:pPr>
            <w:r>
              <w:t>0.38</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33DDF691">
            <w:pPr>
              <w:pStyle w:val="115"/>
              <w:bidi w:val="0"/>
              <w:jc w:val="center"/>
            </w:pPr>
            <w:r>
              <w:t>现状</w:t>
            </w:r>
          </w:p>
        </w:tc>
      </w:tr>
      <w:tr w14:paraId="3CE11D51">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5EF390DC">
            <w:pPr>
              <w:pStyle w:val="115"/>
              <w:bidi w:val="0"/>
              <w:jc w:val="center"/>
            </w:pPr>
            <w:r>
              <w:t>17</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E65AF0B">
            <w:pPr>
              <w:pStyle w:val="115"/>
              <w:bidi w:val="0"/>
              <w:jc w:val="center"/>
            </w:pPr>
            <w:r>
              <w:t>小学</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DB84CBD">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DD31824">
            <w:pPr>
              <w:pStyle w:val="115"/>
              <w:bidi w:val="0"/>
              <w:jc w:val="center"/>
            </w:pPr>
            <w:r>
              <w:t>鄂博矿区第一小学</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398AEF8">
            <w:pPr>
              <w:pStyle w:val="115"/>
              <w:bidi w:val="0"/>
              <w:jc w:val="center"/>
            </w:pPr>
            <w:r>
              <w:t>社区级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44880FA">
            <w:pPr>
              <w:pStyle w:val="115"/>
              <w:bidi w:val="0"/>
              <w:jc w:val="center"/>
            </w:pPr>
            <w:r>
              <w:t>150206001202002-32</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00D520C">
            <w:pPr>
              <w:pStyle w:val="115"/>
              <w:bidi w:val="0"/>
              <w:jc w:val="center"/>
            </w:pPr>
            <w:r>
              <w:t>2.55</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C4B8131">
            <w:pPr>
              <w:pStyle w:val="115"/>
              <w:bidi w:val="0"/>
              <w:jc w:val="center"/>
            </w:pPr>
            <w:r>
              <w:t>2.55</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4A77CEA5">
            <w:pPr>
              <w:pStyle w:val="115"/>
              <w:bidi w:val="0"/>
              <w:jc w:val="center"/>
            </w:pPr>
            <w:r>
              <w:t>现状</w:t>
            </w:r>
          </w:p>
        </w:tc>
      </w:tr>
      <w:tr w14:paraId="710E8B0A">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338464B8">
            <w:pPr>
              <w:pStyle w:val="115"/>
              <w:bidi w:val="0"/>
              <w:jc w:val="center"/>
            </w:pPr>
            <w:r>
              <w:t>18</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997E35F">
            <w:pPr>
              <w:pStyle w:val="115"/>
              <w:bidi w:val="0"/>
              <w:jc w:val="center"/>
            </w:pPr>
            <w:r>
              <w:t>体育场馆</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CFB82AD">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4AA2EC3">
            <w:pPr>
              <w:pStyle w:val="115"/>
              <w:bidi w:val="0"/>
              <w:jc w:val="center"/>
            </w:pPr>
            <w:r>
              <w:t>铁矿康体中心</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BDBAAEF">
            <w:pPr>
              <w:pStyle w:val="115"/>
              <w:bidi w:val="0"/>
              <w:jc w:val="center"/>
            </w:pPr>
            <w:r>
              <w:t>社区级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489AB4E">
            <w:pPr>
              <w:pStyle w:val="115"/>
              <w:bidi w:val="0"/>
              <w:jc w:val="center"/>
            </w:pPr>
            <w:r>
              <w:t>150206001202002-38</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1CBCB76">
            <w:pPr>
              <w:pStyle w:val="115"/>
              <w:bidi w:val="0"/>
              <w:jc w:val="center"/>
            </w:pPr>
            <w:r>
              <w:t>0.42</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5536EFD">
            <w:pPr>
              <w:pStyle w:val="115"/>
              <w:bidi w:val="0"/>
              <w:jc w:val="center"/>
            </w:pPr>
            <w:r>
              <w:t>0.34</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3D03C1B8">
            <w:pPr>
              <w:pStyle w:val="115"/>
              <w:bidi w:val="0"/>
              <w:jc w:val="center"/>
            </w:pPr>
            <w:r>
              <w:t>现状</w:t>
            </w:r>
          </w:p>
        </w:tc>
      </w:tr>
      <w:tr w14:paraId="4B4792FC">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26EAB882">
            <w:pPr>
              <w:pStyle w:val="115"/>
              <w:bidi w:val="0"/>
              <w:jc w:val="center"/>
            </w:pPr>
            <w:r>
              <w:t>19</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2594E27">
            <w:pPr>
              <w:pStyle w:val="115"/>
              <w:bidi w:val="0"/>
              <w:jc w:val="center"/>
            </w:pPr>
            <w:r>
              <w:t>社会福利设施</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6255D13">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677B70E">
            <w:pPr>
              <w:pStyle w:val="115"/>
              <w:bidi w:val="0"/>
              <w:jc w:val="center"/>
            </w:pPr>
            <w:r>
              <w:t>山外山幸福养老院</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ACB4995">
            <w:pPr>
              <w:pStyle w:val="115"/>
              <w:bidi w:val="0"/>
              <w:jc w:val="center"/>
            </w:pPr>
            <w:r>
              <w:t>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6316DD5">
            <w:pPr>
              <w:pStyle w:val="115"/>
              <w:bidi w:val="0"/>
              <w:jc w:val="center"/>
            </w:pPr>
            <w:r>
              <w:t>150206001202002-43</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6908D7B">
            <w:pPr>
              <w:pStyle w:val="115"/>
              <w:bidi w:val="0"/>
              <w:jc w:val="center"/>
            </w:pPr>
            <w:r>
              <w:t>0.34</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CDACBB7">
            <w:pPr>
              <w:pStyle w:val="115"/>
              <w:bidi w:val="0"/>
              <w:jc w:val="center"/>
            </w:pPr>
            <w:r>
              <w:t>0.27</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7C22190D">
            <w:pPr>
              <w:pStyle w:val="115"/>
              <w:bidi w:val="0"/>
              <w:jc w:val="center"/>
            </w:pPr>
            <w:r>
              <w:t>现状</w:t>
            </w:r>
          </w:p>
        </w:tc>
      </w:tr>
      <w:tr w14:paraId="02A58F5F">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272977DE">
            <w:pPr>
              <w:pStyle w:val="115"/>
              <w:bidi w:val="0"/>
              <w:jc w:val="center"/>
            </w:pPr>
            <w:r>
              <w:t>20</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BC1BAC8">
            <w:pPr>
              <w:pStyle w:val="115"/>
              <w:bidi w:val="0"/>
              <w:jc w:val="center"/>
            </w:pPr>
            <w:r>
              <w:t>文化活动设施</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B1CB0B3">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0A70F6C">
            <w:pPr>
              <w:pStyle w:val="115"/>
              <w:bidi w:val="0"/>
              <w:jc w:val="center"/>
            </w:pPr>
            <w:r>
              <w:t>铁矿少年宫</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473D9A4">
            <w:pPr>
              <w:pStyle w:val="115"/>
              <w:bidi w:val="0"/>
              <w:jc w:val="center"/>
            </w:pPr>
            <w:r>
              <w:t>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F68CE90">
            <w:pPr>
              <w:pStyle w:val="115"/>
              <w:bidi w:val="0"/>
              <w:jc w:val="center"/>
            </w:pPr>
            <w:r>
              <w:t>150206001202002-44</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F45A84C">
            <w:pPr>
              <w:pStyle w:val="115"/>
              <w:bidi w:val="0"/>
              <w:jc w:val="center"/>
            </w:pPr>
            <w:r>
              <w:t>0.15</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82B1CC6">
            <w:pPr>
              <w:pStyle w:val="115"/>
              <w:bidi w:val="0"/>
              <w:jc w:val="center"/>
            </w:pPr>
            <w:r>
              <w:t>0.12</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1812B64B">
            <w:pPr>
              <w:pStyle w:val="115"/>
              <w:bidi w:val="0"/>
              <w:jc w:val="center"/>
            </w:pPr>
            <w:r>
              <w:t>现状</w:t>
            </w:r>
          </w:p>
        </w:tc>
      </w:tr>
      <w:tr w14:paraId="69B50626">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63AF8717">
            <w:pPr>
              <w:pStyle w:val="115"/>
              <w:bidi w:val="0"/>
              <w:jc w:val="center"/>
            </w:pPr>
            <w:r>
              <w:t>21</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3C97F14">
            <w:pPr>
              <w:pStyle w:val="115"/>
              <w:bidi w:val="0"/>
              <w:jc w:val="center"/>
            </w:pPr>
            <w:r>
              <w:t>医院</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E8C02B5">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A73E090">
            <w:pPr>
              <w:pStyle w:val="115"/>
              <w:bidi w:val="0"/>
              <w:jc w:val="center"/>
            </w:pPr>
            <w:r>
              <w:t>中医蒙医医院</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9E60EDF">
            <w:pPr>
              <w:pStyle w:val="115"/>
              <w:bidi w:val="0"/>
              <w:jc w:val="center"/>
            </w:pPr>
            <w:r>
              <w:t>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4AE757B">
            <w:pPr>
              <w:pStyle w:val="115"/>
              <w:bidi w:val="0"/>
              <w:jc w:val="center"/>
            </w:pPr>
            <w:r>
              <w:t>150206001202002-47</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28CE10C">
            <w:pPr>
              <w:pStyle w:val="115"/>
              <w:bidi w:val="0"/>
              <w:jc w:val="center"/>
            </w:pPr>
            <w:r>
              <w:t>3.91</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49B7BA1">
            <w:pPr>
              <w:pStyle w:val="115"/>
              <w:bidi w:val="0"/>
              <w:jc w:val="center"/>
            </w:pPr>
            <w:r>
              <w:t>5.87</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41696C50">
            <w:pPr>
              <w:pStyle w:val="115"/>
              <w:bidi w:val="0"/>
              <w:jc w:val="center"/>
            </w:pPr>
            <w:r>
              <w:t>现状</w:t>
            </w:r>
          </w:p>
        </w:tc>
      </w:tr>
      <w:tr w14:paraId="5725EEAD">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12F4F6CA">
            <w:pPr>
              <w:pStyle w:val="115"/>
              <w:bidi w:val="0"/>
              <w:jc w:val="center"/>
            </w:pPr>
            <w:r>
              <w:t>22</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E3CB173">
            <w:pPr>
              <w:pStyle w:val="115"/>
              <w:bidi w:val="0"/>
              <w:jc w:val="center"/>
            </w:pPr>
            <w:r>
              <w:t>小学</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D649102">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9399395">
            <w:pPr>
              <w:pStyle w:val="115"/>
              <w:bidi w:val="0"/>
              <w:jc w:val="center"/>
            </w:pPr>
            <w:r>
              <w:t>铁矿第一小学</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874EF06">
            <w:pPr>
              <w:pStyle w:val="115"/>
              <w:bidi w:val="0"/>
              <w:jc w:val="center"/>
            </w:pPr>
            <w:r>
              <w:t>社区级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E8AEE3C">
            <w:pPr>
              <w:pStyle w:val="115"/>
              <w:bidi w:val="0"/>
              <w:jc w:val="center"/>
            </w:pPr>
            <w:r>
              <w:t>150206001202002-48</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3CA459B">
            <w:pPr>
              <w:pStyle w:val="115"/>
              <w:bidi w:val="0"/>
              <w:jc w:val="center"/>
            </w:pPr>
            <w:r>
              <w:t>1.32</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FE85C71">
            <w:pPr>
              <w:pStyle w:val="115"/>
              <w:bidi w:val="0"/>
              <w:jc w:val="center"/>
            </w:pPr>
            <w:r>
              <w:t>1.32</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5D61A91D">
            <w:pPr>
              <w:pStyle w:val="115"/>
              <w:bidi w:val="0"/>
              <w:jc w:val="center"/>
            </w:pPr>
            <w:r>
              <w:t>现状</w:t>
            </w:r>
          </w:p>
        </w:tc>
      </w:tr>
      <w:tr w14:paraId="626D534E">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669075C6">
            <w:pPr>
              <w:pStyle w:val="115"/>
              <w:bidi w:val="0"/>
              <w:jc w:val="center"/>
            </w:pPr>
            <w:r>
              <w:t>23</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E6FF3E6">
            <w:pPr>
              <w:pStyle w:val="115"/>
              <w:bidi w:val="0"/>
              <w:jc w:val="center"/>
            </w:pPr>
            <w:r>
              <w:t>社会福利设施</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888FB5A">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5388821">
            <w:pPr>
              <w:pStyle w:val="115"/>
              <w:bidi w:val="0"/>
              <w:jc w:val="center"/>
            </w:pPr>
            <w:r>
              <w:t>嘉德健康养老产业园</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2211087">
            <w:pPr>
              <w:pStyle w:val="115"/>
              <w:bidi w:val="0"/>
              <w:jc w:val="center"/>
            </w:pPr>
            <w:r>
              <w:t>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B16096D">
            <w:pPr>
              <w:pStyle w:val="115"/>
              <w:bidi w:val="0"/>
              <w:jc w:val="center"/>
            </w:pPr>
            <w:r>
              <w:t>150206001202002-54</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3ACD411">
            <w:pPr>
              <w:pStyle w:val="115"/>
              <w:bidi w:val="0"/>
              <w:jc w:val="center"/>
            </w:pPr>
            <w:r>
              <w:t>2.13</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EC3B971">
            <w:pPr>
              <w:pStyle w:val="115"/>
              <w:bidi w:val="0"/>
              <w:jc w:val="center"/>
            </w:pPr>
            <w:r>
              <w:t>2.13</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0E417F17">
            <w:pPr>
              <w:pStyle w:val="115"/>
              <w:bidi w:val="0"/>
              <w:jc w:val="center"/>
            </w:pPr>
            <w:r>
              <w:t>现状</w:t>
            </w:r>
          </w:p>
        </w:tc>
      </w:tr>
      <w:tr w14:paraId="1987305F">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390F1909">
            <w:pPr>
              <w:pStyle w:val="115"/>
              <w:bidi w:val="0"/>
              <w:jc w:val="center"/>
            </w:pPr>
            <w:r>
              <w:t>24</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4CA19BE">
            <w:pPr>
              <w:pStyle w:val="115"/>
              <w:bidi w:val="0"/>
              <w:jc w:val="center"/>
            </w:pPr>
            <w:r>
              <w:t>机关团体设施</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0D8E446">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44C5858">
            <w:pPr>
              <w:pStyle w:val="115"/>
              <w:bidi w:val="0"/>
              <w:jc w:val="center"/>
            </w:pPr>
            <w:r>
              <w:t>矿山路社区服务站</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D13D037">
            <w:pPr>
              <w:pStyle w:val="115"/>
              <w:bidi w:val="0"/>
              <w:jc w:val="center"/>
            </w:pPr>
            <w:r>
              <w:t>社区级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6D9E680">
            <w:pPr>
              <w:pStyle w:val="115"/>
              <w:bidi w:val="0"/>
              <w:jc w:val="center"/>
            </w:pPr>
            <w:r>
              <w:t>150206001202002-61</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7BF716C">
            <w:pPr>
              <w:pStyle w:val="115"/>
              <w:bidi w:val="0"/>
              <w:jc w:val="center"/>
            </w:pPr>
            <w:r>
              <w:t>0.32</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3361358">
            <w:pPr>
              <w:pStyle w:val="115"/>
              <w:bidi w:val="0"/>
              <w:jc w:val="center"/>
            </w:pPr>
            <w:r>
              <w:t>0.26</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1A7AB8B1">
            <w:pPr>
              <w:pStyle w:val="115"/>
              <w:bidi w:val="0"/>
              <w:jc w:val="center"/>
            </w:pPr>
            <w:r>
              <w:t>现状</w:t>
            </w:r>
          </w:p>
        </w:tc>
      </w:tr>
      <w:tr w14:paraId="7F7BBE3A">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27DC236E">
            <w:pPr>
              <w:pStyle w:val="115"/>
              <w:bidi w:val="0"/>
              <w:jc w:val="center"/>
            </w:pPr>
            <w:r>
              <w:t>25</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09062E9">
            <w:pPr>
              <w:pStyle w:val="115"/>
              <w:bidi w:val="0"/>
              <w:jc w:val="center"/>
            </w:pPr>
            <w:r>
              <w:t>幼儿园</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5DCB9A2">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4C69897">
            <w:pPr>
              <w:pStyle w:val="115"/>
              <w:bidi w:val="0"/>
              <w:jc w:val="center"/>
            </w:pPr>
            <w:r>
              <w:t>铁矿幼儿园</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AE2B314">
            <w:pPr>
              <w:pStyle w:val="115"/>
              <w:bidi w:val="0"/>
              <w:jc w:val="center"/>
            </w:pPr>
            <w:r>
              <w:t>社区级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98FFDA0">
            <w:pPr>
              <w:pStyle w:val="115"/>
              <w:bidi w:val="0"/>
              <w:jc w:val="center"/>
            </w:pPr>
            <w:r>
              <w:t>150206001202002-62</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542251C">
            <w:pPr>
              <w:pStyle w:val="115"/>
              <w:bidi w:val="0"/>
              <w:jc w:val="center"/>
            </w:pPr>
            <w:r>
              <w:t>1.4</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983EE40">
            <w:pPr>
              <w:pStyle w:val="115"/>
              <w:bidi w:val="0"/>
              <w:jc w:val="center"/>
            </w:pPr>
            <w:r>
              <w:t>1.12</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128D86AC">
            <w:pPr>
              <w:pStyle w:val="115"/>
              <w:bidi w:val="0"/>
              <w:jc w:val="center"/>
            </w:pPr>
            <w:r>
              <w:t>现状</w:t>
            </w:r>
          </w:p>
        </w:tc>
      </w:tr>
      <w:tr w14:paraId="0DCA5FE5">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0D177579">
            <w:pPr>
              <w:pStyle w:val="115"/>
              <w:bidi w:val="0"/>
              <w:jc w:val="center"/>
            </w:pPr>
            <w:r>
              <w:t>26</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27C9228">
            <w:pPr>
              <w:pStyle w:val="115"/>
              <w:bidi w:val="0"/>
              <w:jc w:val="center"/>
            </w:pPr>
            <w:r>
              <w:t>机关团体设施</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4406BC8">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B118C35">
            <w:pPr>
              <w:pStyle w:val="115"/>
              <w:bidi w:val="0"/>
              <w:jc w:val="center"/>
            </w:pPr>
            <w:r>
              <w:t>矿山路派出所</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900FECC">
            <w:pPr>
              <w:pStyle w:val="115"/>
              <w:bidi w:val="0"/>
              <w:jc w:val="center"/>
            </w:pPr>
            <w:r>
              <w:t>社区级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A6E3D14">
            <w:pPr>
              <w:pStyle w:val="115"/>
              <w:bidi w:val="0"/>
              <w:jc w:val="center"/>
            </w:pPr>
            <w:r>
              <w:t>150206001202002-70</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817EFF7">
            <w:pPr>
              <w:pStyle w:val="115"/>
              <w:bidi w:val="0"/>
              <w:jc w:val="center"/>
            </w:pPr>
            <w:r>
              <w:t>0.96</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6DD628E">
            <w:pPr>
              <w:pStyle w:val="115"/>
              <w:bidi w:val="0"/>
              <w:jc w:val="center"/>
            </w:pPr>
            <w:r>
              <w:t>0.77</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22F487D2">
            <w:pPr>
              <w:pStyle w:val="115"/>
              <w:bidi w:val="0"/>
              <w:jc w:val="center"/>
            </w:pPr>
            <w:r>
              <w:t>现状</w:t>
            </w:r>
          </w:p>
        </w:tc>
      </w:tr>
      <w:tr w14:paraId="18C8087C">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361DB7F4">
            <w:pPr>
              <w:pStyle w:val="115"/>
              <w:bidi w:val="0"/>
              <w:jc w:val="center"/>
            </w:pPr>
            <w:r>
              <w:t>27</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CAF02FE">
            <w:pPr>
              <w:pStyle w:val="115"/>
              <w:bidi w:val="0"/>
              <w:jc w:val="center"/>
            </w:pPr>
            <w:r>
              <w:t>体育场馆</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4E0A1C2">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337611A">
            <w:pPr>
              <w:pStyle w:val="115"/>
              <w:bidi w:val="0"/>
              <w:jc w:val="center"/>
            </w:pPr>
            <w:r>
              <w:t>全民健身中心</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A0F573C">
            <w:pPr>
              <w:pStyle w:val="115"/>
              <w:bidi w:val="0"/>
              <w:jc w:val="center"/>
            </w:pPr>
            <w:r>
              <w:t>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A7B9D88">
            <w:pPr>
              <w:pStyle w:val="115"/>
              <w:bidi w:val="0"/>
              <w:jc w:val="center"/>
            </w:pPr>
            <w:r>
              <w:t>150206001202002-71</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C4782C6">
            <w:pPr>
              <w:pStyle w:val="115"/>
              <w:bidi w:val="0"/>
              <w:jc w:val="center"/>
            </w:pPr>
            <w:r>
              <w:t>0.95</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31D79A9">
            <w:pPr>
              <w:pStyle w:val="115"/>
              <w:bidi w:val="0"/>
              <w:jc w:val="center"/>
            </w:pPr>
            <w:r>
              <w:t>0.76</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45BEDCC1">
            <w:pPr>
              <w:pStyle w:val="115"/>
              <w:bidi w:val="0"/>
              <w:jc w:val="center"/>
            </w:pPr>
            <w:r>
              <w:t>现状</w:t>
            </w:r>
          </w:p>
        </w:tc>
      </w:tr>
      <w:tr w14:paraId="1F85F913">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70D60AE5">
            <w:pPr>
              <w:pStyle w:val="115"/>
              <w:bidi w:val="0"/>
              <w:jc w:val="center"/>
            </w:pPr>
            <w:r>
              <w:t>28</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D97C8DF">
            <w:pPr>
              <w:pStyle w:val="115"/>
              <w:bidi w:val="0"/>
              <w:jc w:val="center"/>
            </w:pPr>
            <w:r>
              <w:t>机关团体设施</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30AB828">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45A9CDB">
            <w:pPr>
              <w:pStyle w:val="115"/>
              <w:bidi w:val="0"/>
              <w:jc w:val="center"/>
            </w:pPr>
            <w:r>
              <w:t>白云鄂博矿区人力资源和社会保障局</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530F447">
            <w:pPr>
              <w:pStyle w:val="115"/>
              <w:bidi w:val="0"/>
              <w:jc w:val="center"/>
            </w:pPr>
            <w:r>
              <w:t>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0C898DB">
            <w:pPr>
              <w:pStyle w:val="115"/>
              <w:bidi w:val="0"/>
              <w:jc w:val="center"/>
            </w:pPr>
            <w:r>
              <w:t>150206001202002-75</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1573D33">
            <w:pPr>
              <w:pStyle w:val="115"/>
              <w:bidi w:val="0"/>
              <w:jc w:val="center"/>
            </w:pPr>
            <w:r>
              <w:t>1.88</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4653B1C">
            <w:pPr>
              <w:pStyle w:val="115"/>
              <w:bidi w:val="0"/>
              <w:jc w:val="center"/>
            </w:pPr>
            <w:r>
              <w:t>1.88</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0E7F1FEE">
            <w:pPr>
              <w:pStyle w:val="115"/>
              <w:bidi w:val="0"/>
              <w:jc w:val="center"/>
            </w:pPr>
            <w:r>
              <w:t>现状</w:t>
            </w:r>
          </w:p>
        </w:tc>
      </w:tr>
      <w:tr w14:paraId="230317B6">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3DD06A81">
            <w:pPr>
              <w:pStyle w:val="115"/>
              <w:bidi w:val="0"/>
              <w:jc w:val="center"/>
            </w:pPr>
            <w:r>
              <w:t>29</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49B90E0">
            <w:pPr>
              <w:pStyle w:val="115"/>
              <w:bidi w:val="0"/>
              <w:jc w:val="center"/>
            </w:pPr>
            <w:r>
              <w:t>中学</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4755534">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8EE5F79">
            <w:pPr>
              <w:pStyle w:val="115"/>
              <w:bidi w:val="0"/>
              <w:jc w:val="center"/>
            </w:pPr>
            <w:r>
              <w:t>包头市第十八中学</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57A6C35">
            <w:pPr>
              <w:pStyle w:val="115"/>
              <w:bidi w:val="0"/>
              <w:jc w:val="center"/>
            </w:pPr>
            <w:r>
              <w:t>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A2F359C">
            <w:pPr>
              <w:pStyle w:val="115"/>
              <w:bidi w:val="0"/>
              <w:jc w:val="center"/>
            </w:pPr>
            <w:r>
              <w:t>150206001202002-78</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88E6E06">
            <w:pPr>
              <w:pStyle w:val="115"/>
              <w:bidi w:val="0"/>
              <w:jc w:val="center"/>
            </w:pPr>
            <w:r>
              <w:t>5.93</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D085544">
            <w:pPr>
              <w:pStyle w:val="115"/>
              <w:bidi w:val="0"/>
              <w:jc w:val="center"/>
            </w:pPr>
            <w:r>
              <w:t>5.93</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14DD0F71">
            <w:pPr>
              <w:pStyle w:val="115"/>
              <w:bidi w:val="0"/>
              <w:jc w:val="center"/>
            </w:pPr>
            <w:r>
              <w:t>现状</w:t>
            </w:r>
          </w:p>
        </w:tc>
      </w:tr>
      <w:tr w14:paraId="44A62E83">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3E0BEA0A">
            <w:pPr>
              <w:pStyle w:val="115"/>
              <w:bidi w:val="0"/>
              <w:jc w:val="center"/>
            </w:pPr>
            <w:r>
              <w:t>30</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C6A37D7">
            <w:pPr>
              <w:pStyle w:val="115"/>
              <w:bidi w:val="0"/>
              <w:jc w:val="center"/>
            </w:pPr>
            <w:r>
              <w:t>机关团体设施</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58A0ABB">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E7415B8">
            <w:pPr>
              <w:pStyle w:val="115"/>
              <w:bidi w:val="0"/>
              <w:jc w:val="center"/>
            </w:pPr>
            <w:r>
              <w:t>通阳道街道办事处</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9C605EB">
            <w:pPr>
              <w:pStyle w:val="115"/>
              <w:bidi w:val="0"/>
              <w:jc w:val="center"/>
            </w:pPr>
            <w:r>
              <w:t>社区级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9086FE4">
            <w:pPr>
              <w:pStyle w:val="115"/>
              <w:bidi w:val="0"/>
              <w:jc w:val="center"/>
            </w:pPr>
            <w:r>
              <w:t>150206001201003-02</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C1C111D">
            <w:pPr>
              <w:pStyle w:val="115"/>
              <w:bidi w:val="0"/>
              <w:jc w:val="center"/>
            </w:pPr>
            <w:r>
              <w:t>0.41</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CA1D50B">
            <w:pPr>
              <w:pStyle w:val="115"/>
              <w:bidi w:val="0"/>
              <w:jc w:val="center"/>
            </w:pPr>
            <w:r>
              <w:t>0.33</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1ABCA0AF">
            <w:pPr>
              <w:pStyle w:val="115"/>
              <w:bidi w:val="0"/>
              <w:jc w:val="center"/>
            </w:pPr>
            <w:r>
              <w:t>现状</w:t>
            </w:r>
          </w:p>
        </w:tc>
      </w:tr>
      <w:tr w14:paraId="18BB4EB9">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52410567">
            <w:pPr>
              <w:pStyle w:val="115"/>
              <w:bidi w:val="0"/>
              <w:jc w:val="center"/>
            </w:pPr>
            <w:r>
              <w:t>31</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04024FD">
            <w:pPr>
              <w:pStyle w:val="115"/>
              <w:bidi w:val="0"/>
              <w:jc w:val="center"/>
            </w:pPr>
            <w:r>
              <w:t>图书与展览设施</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103065E">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AB4DD32">
            <w:pPr>
              <w:pStyle w:val="115"/>
              <w:bidi w:val="0"/>
              <w:jc w:val="center"/>
            </w:pPr>
            <w:r>
              <w:t>新增图书与展览设施1</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40AEB6E">
            <w:pPr>
              <w:pStyle w:val="115"/>
              <w:bidi w:val="0"/>
              <w:jc w:val="center"/>
            </w:pPr>
            <w:r>
              <w:t>社区级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8A3726C">
            <w:pPr>
              <w:pStyle w:val="115"/>
              <w:bidi w:val="0"/>
              <w:jc w:val="center"/>
            </w:pPr>
            <w:r>
              <w:t>150206001201003-03</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592723F">
            <w:pPr>
              <w:pStyle w:val="115"/>
              <w:bidi w:val="0"/>
              <w:jc w:val="center"/>
            </w:pPr>
            <w:r>
              <w:t>2.12</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3D0DDB0">
            <w:pPr>
              <w:pStyle w:val="115"/>
              <w:bidi w:val="0"/>
              <w:jc w:val="center"/>
            </w:pPr>
            <w:r>
              <w:t>1.7</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723077C2">
            <w:pPr>
              <w:pStyle w:val="115"/>
              <w:bidi w:val="0"/>
              <w:jc w:val="center"/>
              <w:rPr>
                <w:lang w:eastAsia="zh"/>
              </w:rPr>
            </w:pPr>
            <w:r>
              <w:rPr>
                <w:rFonts w:hint="eastAsia"/>
                <w:lang w:eastAsia="zh"/>
              </w:rPr>
              <w:t>规划</w:t>
            </w:r>
          </w:p>
        </w:tc>
      </w:tr>
      <w:tr w14:paraId="0E6135DD">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017B291B">
            <w:pPr>
              <w:pStyle w:val="115"/>
              <w:bidi w:val="0"/>
              <w:jc w:val="center"/>
            </w:pPr>
            <w:r>
              <w:t>32</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4488A94">
            <w:pPr>
              <w:pStyle w:val="115"/>
              <w:bidi w:val="0"/>
              <w:jc w:val="center"/>
            </w:pPr>
            <w:r>
              <w:t>基层医疗卫生设施</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7DA38BC">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F05D14E">
            <w:pPr>
              <w:pStyle w:val="115"/>
              <w:bidi w:val="0"/>
              <w:jc w:val="center"/>
            </w:pPr>
            <w:r>
              <w:t>通阳道办事处社区卫生服务中心</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5EA095B">
            <w:pPr>
              <w:pStyle w:val="115"/>
              <w:bidi w:val="0"/>
              <w:jc w:val="center"/>
            </w:pPr>
            <w:r>
              <w:t>社区级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B2E7F70">
            <w:pPr>
              <w:pStyle w:val="115"/>
              <w:bidi w:val="0"/>
              <w:jc w:val="center"/>
            </w:pPr>
            <w:r>
              <w:t>150206001201003-11</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285161E">
            <w:pPr>
              <w:pStyle w:val="115"/>
              <w:bidi w:val="0"/>
              <w:jc w:val="center"/>
            </w:pPr>
            <w:r>
              <w:t>0.81</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617538E">
            <w:pPr>
              <w:pStyle w:val="115"/>
              <w:bidi w:val="0"/>
              <w:jc w:val="center"/>
            </w:pPr>
            <w:r>
              <w:t>0.81</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1BE1B8F9">
            <w:pPr>
              <w:pStyle w:val="115"/>
              <w:bidi w:val="0"/>
              <w:jc w:val="center"/>
            </w:pPr>
            <w:r>
              <w:t>现状</w:t>
            </w:r>
          </w:p>
        </w:tc>
      </w:tr>
      <w:tr w14:paraId="356D08CA">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471110E8">
            <w:pPr>
              <w:pStyle w:val="115"/>
              <w:bidi w:val="0"/>
              <w:jc w:val="center"/>
            </w:pPr>
            <w:r>
              <w:t>33</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78518C2">
            <w:pPr>
              <w:pStyle w:val="115"/>
              <w:bidi w:val="0"/>
              <w:jc w:val="center"/>
            </w:pPr>
            <w:r>
              <w:t>机关团体设施</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BE1FF7C">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7246607">
            <w:pPr>
              <w:pStyle w:val="115"/>
              <w:bidi w:val="0"/>
              <w:jc w:val="center"/>
            </w:pPr>
            <w:r>
              <w:t>白云运输管理所</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5793C51">
            <w:pPr>
              <w:pStyle w:val="115"/>
              <w:bidi w:val="0"/>
              <w:jc w:val="center"/>
            </w:pPr>
            <w:r>
              <w:t>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27B942C">
            <w:pPr>
              <w:pStyle w:val="115"/>
              <w:bidi w:val="0"/>
              <w:jc w:val="center"/>
            </w:pPr>
            <w:r>
              <w:t>150206001201003-14</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626CAD4">
            <w:pPr>
              <w:pStyle w:val="115"/>
              <w:bidi w:val="0"/>
              <w:jc w:val="center"/>
            </w:pPr>
            <w:r>
              <w:t>0.26</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74F35D2">
            <w:pPr>
              <w:pStyle w:val="115"/>
              <w:bidi w:val="0"/>
              <w:jc w:val="center"/>
            </w:pPr>
            <w:r>
              <w:t>0.21</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5AF71448">
            <w:pPr>
              <w:pStyle w:val="115"/>
              <w:bidi w:val="0"/>
              <w:jc w:val="center"/>
            </w:pPr>
            <w:r>
              <w:t>现状</w:t>
            </w:r>
          </w:p>
        </w:tc>
      </w:tr>
      <w:tr w14:paraId="798BC8CF">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3E620BD0">
            <w:pPr>
              <w:pStyle w:val="115"/>
              <w:bidi w:val="0"/>
              <w:jc w:val="center"/>
            </w:pPr>
            <w:r>
              <w:t>34</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ACF24B7">
            <w:pPr>
              <w:pStyle w:val="115"/>
              <w:bidi w:val="0"/>
              <w:jc w:val="center"/>
            </w:pPr>
            <w:r>
              <w:t>机关团体设施</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7BC512D">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57B416C">
            <w:pPr>
              <w:pStyle w:val="115"/>
              <w:bidi w:val="0"/>
              <w:jc w:val="center"/>
            </w:pPr>
            <w:r>
              <w:t>白云鄂博矿区卫生健康委员会</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BE01B41">
            <w:pPr>
              <w:pStyle w:val="115"/>
              <w:bidi w:val="0"/>
              <w:jc w:val="center"/>
            </w:pPr>
            <w:r>
              <w:t>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52FA717">
            <w:pPr>
              <w:pStyle w:val="115"/>
              <w:bidi w:val="0"/>
              <w:jc w:val="center"/>
            </w:pPr>
            <w:r>
              <w:t>150206001201003-15</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42AFADF">
            <w:pPr>
              <w:pStyle w:val="115"/>
              <w:bidi w:val="0"/>
              <w:jc w:val="center"/>
            </w:pPr>
            <w:r>
              <w:t>1.18</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77EEB2F">
            <w:pPr>
              <w:pStyle w:val="115"/>
              <w:bidi w:val="0"/>
              <w:jc w:val="center"/>
            </w:pPr>
            <w:r>
              <w:t>0.94</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48A80DCA">
            <w:pPr>
              <w:pStyle w:val="115"/>
              <w:bidi w:val="0"/>
              <w:jc w:val="center"/>
            </w:pPr>
            <w:r>
              <w:t>现状</w:t>
            </w:r>
          </w:p>
        </w:tc>
      </w:tr>
      <w:tr w14:paraId="1268F611">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1E1B69E1">
            <w:pPr>
              <w:pStyle w:val="115"/>
              <w:bidi w:val="0"/>
              <w:jc w:val="center"/>
            </w:pPr>
            <w:r>
              <w:t>35</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7DA6195">
            <w:pPr>
              <w:pStyle w:val="115"/>
              <w:bidi w:val="0"/>
              <w:jc w:val="center"/>
            </w:pPr>
            <w:r>
              <w:t>机关团体设施</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0CC629F">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3A1EF75">
            <w:pPr>
              <w:pStyle w:val="115"/>
              <w:bidi w:val="0"/>
              <w:jc w:val="center"/>
            </w:pPr>
            <w:r>
              <w:t>白云鄂博矿区消费者协会、白云工商所</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C292C6F">
            <w:pPr>
              <w:pStyle w:val="115"/>
              <w:bidi w:val="0"/>
              <w:jc w:val="center"/>
            </w:pPr>
            <w:r>
              <w:t>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04B2BE2">
            <w:pPr>
              <w:pStyle w:val="115"/>
              <w:bidi w:val="0"/>
              <w:jc w:val="center"/>
            </w:pPr>
            <w:r>
              <w:t>150206001201003-19</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3DBDD95">
            <w:pPr>
              <w:pStyle w:val="115"/>
              <w:bidi w:val="0"/>
              <w:jc w:val="center"/>
            </w:pPr>
            <w:r>
              <w:t>0.8</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2578C92">
            <w:pPr>
              <w:pStyle w:val="115"/>
              <w:bidi w:val="0"/>
              <w:jc w:val="center"/>
            </w:pPr>
            <w:r>
              <w:t>0.64</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72EAFC8F">
            <w:pPr>
              <w:pStyle w:val="115"/>
              <w:bidi w:val="0"/>
              <w:jc w:val="center"/>
            </w:pPr>
            <w:r>
              <w:t>现状</w:t>
            </w:r>
          </w:p>
        </w:tc>
      </w:tr>
      <w:tr w14:paraId="7D3F5205">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7ED8CA53">
            <w:pPr>
              <w:pStyle w:val="115"/>
              <w:bidi w:val="0"/>
              <w:jc w:val="center"/>
            </w:pPr>
            <w:r>
              <w:t>36</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5615776">
            <w:pPr>
              <w:pStyle w:val="115"/>
              <w:bidi w:val="0"/>
              <w:jc w:val="center"/>
            </w:pPr>
            <w:r>
              <w:t>机关团体设施</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874631E">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6B30995">
            <w:pPr>
              <w:pStyle w:val="115"/>
              <w:bidi w:val="0"/>
              <w:jc w:val="center"/>
            </w:pPr>
            <w:r>
              <w:t>包头市公安局白云鄂博矿区分局</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6F983F0">
            <w:pPr>
              <w:pStyle w:val="115"/>
              <w:bidi w:val="0"/>
              <w:jc w:val="center"/>
            </w:pPr>
            <w:r>
              <w:t>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1A3646D">
            <w:pPr>
              <w:pStyle w:val="115"/>
              <w:bidi w:val="0"/>
              <w:jc w:val="center"/>
            </w:pPr>
            <w:r>
              <w:t>150206001201003-20</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F56584C">
            <w:pPr>
              <w:pStyle w:val="115"/>
              <w:bidi w:val="0"/>
              <w:jc w:val="center"/>
            </w:pPr>
            <w:r>
              <w:t>0.92</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F265722">
            <w:pPr>
              <w:pStyle w:val="115"/>
              <w:bidi w:val="0"/>
              <w:jc w:val="center"/>
            </w:pPr>
            <w:r>
              <w:t>0.74</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319598DD">
            <w:pPr>
              <w:pStyle w:val="115"/>
              <w:bidi w:val="0"/>
              <w:jc w:val="center"/>
            </w:pPr>
            <w:r>
              <w:t>现状</w:t>
            </w:r>
          </w:p>
        </w:tc>
      </w:tr>
      <w:tr w14:paraId="1D043040">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40D2F1EE">
            <w:pPr>
              <w:pStyle w:val="115"/>
              <w:bidi w:val="0"/>
              <w:jc w:val="center"/>
            </w:pPr>
            <w:r>
              <w:t>37</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A66EAD6">
            <w:pPr>
              <w:pStyle w:val="115"/>
              <w:bidi w:val="0"/>
              <w:jc w:val="center"/>
            </w:pPr>
            <w:r>
              <w:t>图书与展览设施</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43AC138">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CB41572">
            <w:pPr>
              <w:pStyle w:val="115"/>
              <w:bidi w:val="0"/>
              <w:jc w:val="center"/>
            </w:pPr>
            <w:r>
              <w:t>区图书馆、区文化艺术中心</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EA8051C">
            <w:pPr>
              <w:pStyle w:val="115"/>
              <w:bidi w:val="0"/>
              <w:jc w:val="center"/>
            </w:pPr>
            <w:r>
              <w:t>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AB13D73">
            <w:pPr>
              <w:pStyle w:val="115"/>
              <w:bidi w:val="0"/>
              <w:jc w:val="center"/>
            </w:pPr>
            <w:r>
              <w:t>150206001201003-23</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5A29C36">
            <w:pPr>
              <w:pStyle w:val="115"/>
              <w:bidi w:val="0"/>
              <w:jc w:val="center"/>
            </w:pPr>
            <w:r>
              <w:t>1.02</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1B003F7">
            <w:pPr>
              <w:pStyle w:val="115"/>
              <w:bidi w:val="0"/>
              <w:jc w:val="center"/>
            </w:pPr>
            <w:r>
              <w:t>0.82</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73966CE0">
            <w:pPr>
              <w:pStyle w:val="115"/>
              <w:bidi w:val="0"/>
              <w:jc w:val="center"/>
            </w:pPr>
            <w:r>
              <w:t>现状</w:t>
            </w:r>
          </w:p>
        </w:tc>
      </w:tr>
      <w:tr w14:paraId="32C06027">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22D31AA6">
            <w:pPr>
              <w:pStyle w:val="115"/>
              <w:bidi w:val="0"/>
              <w:jc w:val="center"/>
            </w:pPr>
            <w:r>
              <w:t>38</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7E8605B">
            <w:pPr>
              <w:pStyle w:val="115"/>
              <w:bidi w:val="0"/>
              <w:jc w:val="center"/>
            </w:pPr>
            <w:r>
              <w:t>机关团体设施</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918516D">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7C2ABA7">
            <w:pPr>
              <w:pStyle w:val="115"/>
              <w:bidi w:val="0"/>
              <w:jc w:val="center"/>
            </w:pPr>
            <w:r>
              <w:t>包头市白云鄂博矿区人民法院</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A6D0837">
            <w:pPr>
              <w:pStyle w:val="115"/>
              <w:bidi w:val="0"/>
              <w:jc w:val="center"/>
            </w:pPr>
            <w:r>
              <w:t>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11875AB">
            <w:pPr>
              <w:pStyle w:val="115"/>
              <w:bidi w:val="0"/>
              <w:jc w:val="center"/>
            </w:pPr>
            <w:r>
              <w:t>150206001201003-32</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21EB71B">
            <w:pPr>
              <w:pStyle w:val="115"/>
              <w:bidi w:val="0"/>
              <w:jc w:val="center"/>
            </w:pPr>
            <w:r>
              <w:t>1.07</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680DB72">
            <w:pPr>
              <w:pStyle w:val="115"/>
              <w:bidi w:val="0"/>
              <w:jc w:val="center"/>
            </w:pPr>
            <w:r>
              <w:t>0.86</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4D2A8860">
            <w:pPr>
              <w:pStyle w:val="115"/>
              <w:bidi w:val="0"/>
              <w:jc w:val="center"/>
            </w:pPr>
            <w:r>
              <w:t>现状</w:t>
            </w:r>
          </w:p>
        </w:tc>
      </w:tr>
      <w:tr w14:paraId="3BF53C0E">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154357FD">
            <w:pPr>
              <w:pStyle w:val="115"/>
              <w:bidi w:val="0"/>
              <w:jc w:val="center"/>
            </w:pPr>
            <w:r>
              <w:t>39</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9259A22">
            <w:pPr>
              <w:pStyle w:val="115"/>
              <w:bidi w:val="0"/>
              <w:jc w:val="center"/>
            </w:pPr>
            <w:r>
              <w:t>机关团体设施</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C0F207A">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C9BFDA1">
            <w:pPr>
              <w:pStyle w:val="115"/>
              <w:bidi w:val="0"/>
              <w:jc w:val="center"/>
            </w:pPr>
            <w:r>
              <w:t>包头市公安局交通管理支队白云矿区大队</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33D873E">
            <w:pPr>
              <w:pStyle w:val="115"/>
              <w:bidi w:val="0"/>
              <w:jc w:val="center"/>
            </w:pPr>
            <w:r>
              <w:t>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8B0F071">
            <w:pPr>
              <w:pStyle w:val="115"/>
              <w:bidi w:val="0"/>
              <w:jc w:val="center"/>
            </w:pPr>
            <w:r>
              <w:t>150206001201003-40</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3953D10">
            <w:pPr>
              <w:pStyle w:val="115"/>
              <w:bidi w:val="0"/>
              <w:jc w:val="center"/>
            </w:pPr>
            <w:r>
              <w:t>1.49</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8815A00">
            <w:pPr>
              <w:pStyle w:val="115"/>
              <w:bidi w:val="0"/>
              <w:jc w:val="center"/>
            </w:pPr>
            <w:r>
              <w:t>1.19</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72C8083C">
            <w:pPr>
              <w:pStyle w:val="115"/>
              <w:bidi w:val="0"/>
              <w:jc w:val="center"/>
            </w:pPr>
            <w:r>
              <w:t>现状</w:t>
            </w:r>
          </w:p>
        </w:tc>
      </w:tr>
      <w:tr w14:paraId="3082EBEA">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1769EE75">
            <w:pPr>
              <w:pStyle w:val="115"/>
              <w:bidi w:val="0"/>
              <w:jc w:val="center"/>
            </w:pPr>
            <w:r>
              <w:t>40</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FE648E4">
            <w:pPr>
              <w:pStyle w:val="115"/>
              <w:bidi w:val="0"/>
              <w:jc w:val="center"/>
            </w:pPr>
            <w:r>
              <w:t>机关团体设施</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BBD6E42">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DB78900">
            <w:pPr>
              <w:pStyle w:val="115"/>
              <w:bidi w:val="0"/>
              <w:jc w:val="center"/>
            </w:pPr>
            <w:r>
              <w:t>白云矿区人民检察院</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6CEF9F7">
            <w:pPr>
              <w:pStyle w:val="115"/>
              <w:bidi w:val="0"/>
              <w:jc w:val="center"/>
            </w:pPr>
            <w:r>
              <w:t>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AA0A190">
            <w:pPr>
              <w:pStyle w:val="115"/>
              <w:bidi w:val="0"/>
              <w:jc w:val="center"/>
            </w:pPr>
            <w:r>
              <w:t>150206001201003-45</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C4B4938">
            <w:pPr>
              <w:pStyle w:val="115"/>
              <w:bidi w:val="0"/>
              <w:jc w:val="center"/>
            </w:pPr>
            <w:r>
              <w:t>1.49</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510BF8E">
            <w:pPr>
              <w:pStyle w:val="115"/>
              <w:bidi w:val="0"/>
              <w:jc w:val="center"/>
            </w:pPr>
            <w:r>
              <w:t>1.19</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5B5D1DA0">
            <w:pPr>
              <w:pStyle w:val="115"/>
              <w:bidi w:val="0"/>
              <w:jc w:val="center"/>
            </w:pPr>
            <w:r>
              <w:t>现状</w:t>
            </w:r>
          </w:p>
        </w:tc>
      </w:tr>
      <w:tr w14:paraId="109518D7">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692BC59E">
            <w:pPr>
              <w:pStyle w:val="115"/>
              <w:bidi w:val="0"/>
              <w:jc w:val="center"/>
            </w:pPr>
            <w:r>
              <w:t>41</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A0E0D4B">
            <w:pPr>
              <w:pStyle w:val="115"/>
              <w:bidi w:val="0"/>
              <w:jc w:val="center"/>
            </w:pPr>
            <w:r>
              <w:t>公共卫生设施</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5B0E9B2">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77D746C">
            <w:pPr>
              <w:pStyle w:val="115"/>
              <w:bidi w:val="0"/>
              <w:jc w:val="center"/>
            </w:pPr>
            <w:r>
              <w:t>新增公共卫生设施</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DF10539">
            <w:pPr>
              <w:pStyle w:val="115"/>
              <w:bidi w:val="0"/>
              <w:jc w:val="center"/>
            </w:pPr>
            <w:r>
              <w:t>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D60A9A4">
            <w:pPr>
              <w:pStyle w:val="115"/>
              <w:bidi w:val="0"/>
              <w:jc w:val="center"/>
            </w:pPr>
            <w:r>
              <w:t>150206001201003-47</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BA75B08">
            <w:pPr>
              <w:pStyle w:val="115"/>
              <w:bidi w:val="0"/>
              <w:jc w:val="center"/>
            </w:pPr>
            <w:r>
              <w:t>3.26</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AB517CD">
            <w:pPr>
              <w:pStyle w:val="115"/>
              <w:bidi w:val="0"/>
              <w:jc w:val="center"/>
            </w:pPr>
            <w:r>
              <w:t>3.26</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37546ABA">
            <w:pPr>
              <w:pStyle w:val="115"/>
              <w:bidi w:val="0"/>
              <w:jc w:val="center"/>
            </w:pPr>
            <w:r>
              <w:t>规划</w:t>
            </w:r>
          </w:p>
        </w:tc>
      </w:tr>
      <w:tr w14:paraId="1CFAC156">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21CCBB45">
            <w:pPr>
              <w:pStyle w:val="115"/>
              <w:bidi w:val="0"/>
              <w:jc w:val="center"/>
            </w:pPr>
            <w:r>
              <w:t>42</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2A8F6FD">
            <w:pPr>
              <w:pStyle w:val="115"/>
              <w:bidi w:val="0"/>
              <w:jc w:val="center"/>
            </w:pPr>
            <w:r>
              <w:t>机关团体设施</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6A1CFB2">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90CE4E8">
            <w:pPr>
              <w:pStyle w:val="115"/>
              <w:bidi w:val="0"/>
              <w:jc w:val="center"/>
            </w:pPr>
            <w:r>
              <w:t>包头市供电局白云分局</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29A45A9">
            <w:pPr>
              <w:pStyle w:val="115"/>
              <w:bidi w:val="0"/>
              <w:jc w:val="center"/>
            </w:pPr>
            <w:r>
              <w:t>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012D651">
            <w:pPr>
              <w:pStyle w:val="115"/>
              <w:bidi w:val="0"/>
              <w:jc w:val="center"/>
            </w:pPr>
            <w:r>
              <w:t>150206001201003-51</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7BB268E">
            <w:pPr>
              <w:pStyle w:val="115"/>
              <w:bidi w:val="0"/>
              <w:jc w:val="center"/>
            </w:pPr>
            <w:r>
              <w:t>1.24</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14DDFAE">
            <w:pPr>
              <w:pStyle w:val="115"/>
              <w:bidi w:val="0"/>
              <w:jc w:val="center"/>
            </w:pPr>
            <w:r>
              <w:t>0.99</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62C88374">
            <w:pPr>
              <w:pStyle w:val="115"/>
              <w:bidi w:val="0"/>
              <w:jc w:val="center"/>
            </w:pPr>
            <w:r>
              <w:t>现状</w:t>
            </w:r>
          </w:p>
        </w:tc>
      </w:tr>
      <w:tr w14:paraId="01C2C899">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1E1BC6B1">
            <w:pPr>
              <w:pStyle w:val="115"/>
              <w:bidi w:val="0"/>
              <w:jc w:val="center"/>
            </w:pPr>
            <w:r>
              <w:t>43</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F1CF027">
            <w:pPr>
              <w:pStyle w:val="115"/>
              <w:bidi w:val="0"/>
              <w:jc w:val="center"/>
            </w:pPr>
            <w:r>
              <w:t>体育场馆</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06150E4">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640268C">
            <w:pPr>
              <w:pStyle w:val="115"/>
              <w:bidi w:val="0"/>
              <w:jc w:val="center"/>
            </w:pPr>
            <w:r>
              <w:t>新建体育场馆2</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F9339EE">
            <w:pPr>
              <w:pStyle w:val="115"/>
              <w:bidi w:val="0"/>
              <w:jc w:val="center"/>
            </w:pPr>
            <w:r>
              <w:t>社区级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5903083">
            <w:pPr>
              <w:pStyle w:val="115"/>
              <w:bidi w:val="0"/>
              <w:jc w:val="center"/>
            </w:pPr>
            <w:r>
              <w:t>150206001201003-55</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CE20082">
            <w:pPr>
              <w:pStyle w:val="115"/>
              <w:bidi w:val="0"/>
              <w:jc w:val="center"/>
            </w:pPr>
            <w:r>
              <w:t>0.79</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802BC43">
            <w:pPr>
              <w:pStyle w:val="115"/>
              <w:bidi w:val="0"/>
              <w:jc w:val="center"/>
            </w:pPr>
            <w:r>
              <w:t>0.63</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2B985CEC">
            <w:pPr>
              <w:pStyle w:val="115"/>
              <w:bidi w:val="0"/>
              <w:jc w:val="center"/>
            </w:pPr>
            <w:r>
              <w:t>规划</w:t>
            </w:r>
          </w:p>
        </w:tc>
      </w:tr>
      <w:tr w14:paraId="6CC4D2D7">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21879D30">
            <w:pPr>
              <w:pStyle w:val="115"/>
              <w:bidi w:val="0"/>
              <w:jc w:val="center"/>
            </w:pPr>
            <w:r>
              <w:t>44</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44D20F1">
            <w:pPr>
              <w:pStyle w:val="115"/>
              <w:bidi w:val="0"/>
              <w:jc w:val="center"/>
            </w:pPr>
            <w:r>
              <w:t>文化活动设施</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45FB020">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74DEFF4">
            <w:pPr>
              <w:pStyle w:val="115"/>
              <w:bidi w:val="0"/>
              <w:jc w:val="center"/>
            </w:pPr>
            <w:r>
              <w:t>新增文化活动设施2</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FAD2BAB">
            <w:pPr>
              <w:pStyle w:val="115"/>
              <w:bidi w:val="0"/>
              <w:jc w:val="center"/>
            </w:pPr>
            <w:r>
              <w:t>社区级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ED568D7">
            <w:pPr>
              <w:pStyle w:val="115"/>
              <w:bidi w:val="0"/>
              <w:jc w:val="center"/>
            </w:pPr>
            <w:r>
              <w:t>150206001201003-56</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5FAE9EA">
            <w:pPr>
              <w:pStyle w:val="115"/>
              <w:bidi w:val="0"/>
              <w:jc w:val="center"/>
            </w:pPr>
            <w:r>
              <w:t>0.83</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46809EA">
            <w:pPr>
              <w:pStyle w:val="115"/>
              <w:bidi w:val="0"/>
              <w:jc w:val="center"/>
            </w:pPr>
            <w:r>
              <w:t>0.66</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61E9C577">
            <w:pPr>
              <w:pStyle w:val="115"/>
              <w:bidi w:val="0"/>
              <w:jc w:val="center"/>
            </w:pPr>
            <w:r>
              <w:t>规划</w:t>
            </w:r>
          </w:p>
        </w:tc>
      </w:tr>
      <w:tr w14:paraId="59A35637">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120AF815">
            <w:pPr>
              <w:pStyle w:val="115"/>
              <w:bidi w:val="0"/>
              <w:jc w:val="center"/>
            </w:pPr>
            <w:r>
              <w:t>45</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D49AE9F">
            <w:pPr>
              <w:pStyle w:val="115"/>
              <w:bidi w:val="0"/>
              <w:jc w:val="center"/>
            </w:pPr>
            <w:r>
              <w:t>图书与展览设施</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99F1926">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C7DB3A7">
            <w:pPr>
              <w:pStyle w:val="115"/>
              <w:bidi w:val="0"/>
              <w:jc w:val="center"/>
            </w:pPr>
            <w:r>
              <w:t>草原英雄小姐妹</w:t>
            </w:r>
          </w:p>
          <w:p w14:paraId="6556E327">
            <w:pPr>
              <w:pStyle w:val="115"/>
              <w:bidi w:val="0"/>
              <w:jc w:val="center"/>
            </w:pPr>
            <w:r>
              <w:t>事迹展览馆</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B56BF5B">
            <w:pPr>
              <w:pStyle w:val="115"/>
              <w:bidi w:val="0"/>
              <w:jc w:val="center"/>
            </w:pPr>
            <w:r>
              <w:t>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59B46DE">
            <w:pPr>
              <w:pStyle w:val="115"/>
              <w:bidi w:val="0"/>
              <w:jc w:val="center"/>
            </w:pPr>
            <w:r>
              <w:t>150206001201003-57</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0534860">
            <w:pPr>
              <w:pStyle w:val="115"/>
              <w:bidi w:val="0"/>
              <w:jc w:val="center"/>
            </w:pPr>
            <w:r>
              <w:t>1.71</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3BB54CF">
            <w:pPr>
              <w:pStyle w:val="115"/>
              <w:bidi w:val="0"/>
              <w:jc w:val="center"/>
            </w:pPr>
            <w:r>
              <w:t>1.37</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5EF0B9D0">
            <w:pPr>
              <w:pStyle w:val="115"/>
              <w:bidi w:val="0"/>
              <w:jc w:val="center"/>
            </w:pPr>
            <w:r>
              <w:t>现状</w:t>
            </w:r>
          </w:p>
        </w:tc>
      </w:tr>
      <w:tr w14:paraId="567D4FF0">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3B723FF8">
            <w:pPr>
              <w:pStyle w:val="115"/>
              <w:bidi w:val="0"/>
              <w:jc w:val="center"/>
            </w:pPr>
            <w:r>
              <w:t>46</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6D1BAF2">
            <w:pPr>
              <w:pStyle w:val="115"/>
              <w:bidi w:val="0"/>
              <w:jc w:val="center"/>
            </w:pPr>
            <w:r>
              <w:t>机关团体设施</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EFC4287">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A995F79">
            <w:pPr>
              <w:pStyle w:val="115"/>
              <w:bidi w:val="0"/>
              <w:jc w:val="center"/>
            </w:pPr>
            <w:r>
              <w:t>白云鄂博车站公安派出所</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B09B744">
            <w:pPr>
              <w:pStyle w:val="115"/>
              <w:bidi w:val="0"/>
              <w:jc w:val="center"/>
            </w:pPr>
            <w:r>
              <w:t>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1D435F4">
            <w:pPr>
              <w:pStyle w:val="115"/>
              <w:bidi w:val="0"/>
              <w:jc w:val="center"/>
            </w:pPr>
            <w:r>
              <w:t>150206002201004-07</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CD00D5F">
            <w:pPr>
              <w:pStyle w:val="115"/>
              <w:bidi w:val="0"/>
              <w:jc w:val="center"/>
            </w:pPr>
            <w:r>
              <w:t>0.63</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206953B">
            <w:pPr>
              <w:pStyle w:val="115"/>
              <w:bidi w:val="0"/>
              <w:jc w:val="center"/>
            </w:pPr>
            <w:r>
              <w:t>0.5</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21809BAA">
            <w:pPr>
              <w:pStyle w:val="115"/>
              <w:bidi w:val="0"/>
              <w:jc w:val="center"/>
            </w:pPr>
            <w:r>
              <w:t>现状</w:t>
            </w:r>
          </w:p>
        </w:tc>
      </w:tr>
      <w:tr w14:paraId="4E7B54C9">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76AF8B5A">
            <w:pPr>
              <w:pStyle w:val="115"/>
              <w:bidi w:val="0"/>
              <w:jc w:val="center"/>
            </w:pPr>
            <w:r>
              <w:t>47</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65C9E28">
            <w:pPr>
              <w:pStyle w:val="115"/>
              <w:bidi w:val="0"/>
              <w:jc w:val="center"/>
            </w:pPr>
            <w:r>
              <w:t>小学</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C1B7C36">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AC70953">
            <w:pPr>
              <w:pStyle w:val="115"/>
              <w:bidi w:val="0"/>
              <w:jc w:val="center"/>
            </w:pPr>
            <w:r>
              <w:t>铁矿第二小学</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2BB0BD0">
            <w:pPr>
              <w:pStyle w:val="115"/>
              <w:bidi w:val="0"/>
              <w:jc w:val="center"/>
            </w:pPr>
            <w:r>
              <w:t>社区级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3543C5C">
            <w:pPr>
              <w:pStyle w:val="115"/>
              <w:bidi w:val="0"/>
              <w:jc w:val="center"/>
            </w:pPr>
            <w:r>
              <w:t>150206002201004-27</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81A34BE">
            <w:pPr>
              <w:pStyle w:val="115"/>
              <w:bidi w:val="0"/>
              <w:jc w:val="center"/>
            </w:pPr>
            <w:r>
              <w:t>1.81</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7283A5E">
            <w:pPr>
              <w:pStyle w:val="115"/>
              <w:bidi w:val="0"/>
              <w:jc w:val="center"/>
            </w:pPr>
            <w:r>
              <w:t>1.81</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684E459A">
            <w:pPr>
              <w:pStyle w:val="115"/>
              <w:bidi w:val="0"/>
              <w:jc w:val="center"/>
            </w:pPr>
            <w:r>
              <w:t>现状</w:t>
            </w:r>
          </w:p>
        </w:tc>
      </w:tr>
      <w:tr w14:paraId="7E6526B5">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4E67860E">
            <w:pPr>
              <w:pStyle w:val="115"/>
              <w:bidi w:val="0"/>
              <w:jc w:val="center"/>
            </w:pPr>
            <w:r>
              <w:t>48</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CC61B80">
            <w:pPr>
              <w:pStyle w:val="115"/>
              <w:bidi w:val="0"/>
              <w:jc w:val="center"/>
            </w:pPr>
            <w:r>
              <w:t>幼儿园</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2CDAE7D">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A9F7222">
            <w:pPr>
              <w:pStyle w:val="115"/>
              <w:bidi w:val="0"/>
              <w:jc w:val="center"/>
            </w:pPr>
            <w:r>
              <w:t>规划幼儿园1</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CA16161">
            <w:pPr>
              <w:pStyle w:val="115"/>
              <w:bidi w:val="0"/>
              <w:jc w:val="center"/>
            </w:pPr>
            <w:r>
              <w:t>社区级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0C6C818">
            <w:pPr>
              <w:pStyle w:val="115"/>
              <w:bidi w:val="0"/>
              <w:jc w:val="center"/>
            </w:pPr>
            <w:r>
              <w:t>150206002201004-29</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F992E3C">
            <w:pPr>
              <w:pStyle w:val="115"/>
              <w:bidi w:val="0"/>
              <w:jc w:val="center"/>
            </w:pPr>
            <w:r>
              <w:t>0.42</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5D76497">
            <w:pPr>
              <w:pStyle w:val="115"/>
              <w:bidi w:val="0"/>
              <w:jc w:val="center"/>
            </w:pPr>
            <w:r>
              <w:t>0.34</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7F07F458">
            <w:pPr>
              <w:pStyle w:val="115"/>
              <w:bidi w:val="0"/>
              <w:jc w:val="center"/>
            </w:pPr>
            <w:r>
              <w:t>规划</w:t>
            </w:r>
          </w:p>
        </w:tc>
      </w:tr>
      <w:tr w14:paraId="4A1968B1">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2EC4B160">
            <w:pPr>
              <w:pStyle w:val="115"/>
              <w:bidi w:val="0"/>
              <w:jc w:val="center"/>
            </w:pPr>
            <w:r>
              <w:t>49</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D06CACA">
            <w:pPr>
              <w:pStyle w:val="115"/>
              <w:bidi w:val="0"/>
              <w:jc w:val="center"/>
            </w:pPr>
            <w:r>
              <w:t>机关团体设施</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FA86400">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59EDFB1">
            <w:pPr>
              <w:pStyle w:val="115"/>
              <w:bidi w:val="0"/>
              <w:jc w:val="center"/>
            </w:pPr>
            <w:r>
              <w:t>蒙古自治区白云鄂博矿区气象局</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48B0A17">
            <w:pPr>
              <w:pStyle w:val="115"/>
              <w:bidi w:val="0"/>
              <w:jc w:val="center"/>
            </w:pPr>
            <w:r>
              <w:t>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DE381B8">
            <w:pPr>
              <w:pStyle w:val="115"/>
              <w:bidi w:val="0"/>
              <w:jc w:val="center"/>
            </w:pPr>
            <w:r>
              <w:t>150206002201005-08</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E25F3EA">
            <w:pPr>
              <w:pStyle w:val="115"/>
              <w:bidi w:val="0"/>
              <w:jc w:val="center"/>
            </w:pPr>
            <w:r>
              <w:t>2.1</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51CB863">
            <w:pPr>
              <w:pStyle w:val="115"/>
              <w:bidi w:val="0"/>
              <w:jc w:val="center"/>
            </w:pPr>
            <w:r>
              <w:t>2.1</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4A03E0CD">
            <w:pPr>
              <w:pStyle w:val="115"/>
              <w:bidi w:val="0"/>
              <w:jc w:val="center"/>
            </w:pPr>
            <w:r>
              <w:t>现状</w:t>
            </w:r>
          </w:p>
        </w:tc>
      </w:tr>
      <w:tr w14:paraId="5D13752F">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65523AD6">
            <w:pPr>
              <w:pStyle w:val="115"/>
              <w:bidi w:val="0"/>
              <w:jc w:val="center"/>
            </w:pPr>
            <w:r>
              <w:t>50</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5CB1937">
            <w:pPr>
              <w:pStyle w:val="115"/>
              <w:bidi w:val="0"/>
              <w:jc w:val="center"/>
            </w:pPr>
            <w:r>
              <w:t>机关团体设施</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9EBF89D">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679B603">
            <w:pPr>
              <w:pStyle w:val="115"/>
              <w:bidi w:val="0"/>
              <w:jc w:val="center"/>
            </w:pPr>
            <w:r>
              <w:t>白云鄂博矿区自然资源局</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EB7E905">
            <w:pPr>
              <w:pStyle w:val="115"/>
              <w:bidi w:val="0"/>
              <w:jc w:val="center"/>
            </w:pPr>
            <w:r>
              <w:t>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F21164B">
            <w:pPr>
              <w:pStyle w:val="115"/>
              <w:bidi w:val="0"/>
              <w:jc w:val="center"/>
            </w:pPr>
            <w:r>
              <w:t>150206002201005-18</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CC41193">
            <w:pPr>
              <w:pStyle w:val="115"/>
              <w:bidi w:val="0"/>
              <w:jc w:val="center"/>
            </w:pPr>
            <w:r>
              <w:t>0.79</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A9FDCC5">
            <w:pPr>
              <w:pStyle w:val="115"/>
              <w:bidi w:val="0"/>
              <w:jc w:val="center"/>
            </w:pPr>
            <w:r>
              <w:t>0.63</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2DF2A208">
            <w:pPr>
              <w:pStyle w:val="115"/>
              <w:bidi w:val="0"/>
              <w:jc w:val="center"/>
            </w:pPr>
            <w:r>
              <w:t>现状</w:t>
            </w:r>
          </w:p>
        </w:tc>
      </w:tr>
      <w:tr w14:paraId="5F341A4B">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3D06C936">
            <w:pPr>
              <w:pStyle w:val="115"/>
              <w:bidi w:val="0"/>
              <w:jc w:val="center"/>
            </w:pPr>
            <w:r>
              <w:t>51</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19387C8">
            <w:pPr>
              <w:pStyle w:val="115"/>
              <w:bidi w:val="0"/>
              <w:jc w:val="center"/>
            </w:pPr>
            <w:r>
              <w:t>职校</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5D4AB01">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7AC454B">
            <w:pPr>
              <w:pStyle w:val="115"/>
              <w:bidi w:val="0"/>
              <w:jc w:val="center"/>
            </w:pPr>
            <w:r>
              <w:t>包钢白云铁矿职业高级中学</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1A9B12C">
            <w:pPr>
              <w:pStyle w:val="115"/>
              <w:bidi w:val="0"/>
              <w:jc w:val="center"/>
            </w:pPr>
            <w:r>
              <w:t>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A52D9D3">
            <w:pPr>
              <w:pStyle w:val="115"/>
              <w:bidi w:val="0"/>
              <w:jc w:val="center"/>
            </w:pPr>
            <w:r>
              <w:t>150206002201005-20</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97EE6E9">
            <w:pPr>
              <w:pStyle w:val="115"/>
              <w:bidi w:val="0"/>
              <w:jc w:val="center"/>
            </w:pPr>
            <w:r>
              <w:t>4.18</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D484CF1">
            <w:pPr>
              <w:pStyle w:val="115"/>
              <w:bidi w:val="0"/>
              <w:jc w:val="center"/>
            </w:pPr>
            <w:r>
              <w:t>5.02</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08CF22D1">
            <w:pPr>
              <w:pStyle w:val="115"/>
              <w:bidi w:val="0"/>
              <w:jc w:val="center"/>
            </w:pPr>
            <w:r>
              <w:t>现状</w:t>
            </w:r>
          </w:p>
        </w:tc>
      </w:tr>
      <w:tr w14:paraId="414A014F">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5C4BC370">
            <w:pPr>
              <w:pStyle w:val="115"/>
              <w:bidi w:val="0"/>
              <w:jc w:val="center"/>
            </w:pPr>
            <w:r>
              <w:t>52</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DD9788A">
            <w:pPr>
              <w:pStyle w:val="115"/>
              <w:bidi w:val="0"/>
              <w:jc w:val="center"/>
            </w:pPr>
            <w:r>
              <w:t>机关团体设施</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AE693E3">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B569E2E">
            <w:pPr>
              <w:pStyle w:val="115"/>
              <w:bidi w:val="0"/>
              <w:jc w:val="center"/>
            </w:pPr>
            <w:r>
              <w:t>白云鄂博矿区财政局</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61A2594">
            <w:pPr>
              <w:pStyle w:val="115"/>
              <w:bidi w:val="0"/>
              <w:jc w:val="center"/>
            </w:pPr>
            <w:r>
              <w:t>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6B7E977">
            <w:pPr>
              <w:pStyle w:val="115"/>
              <w:bidi w:val="0"/>
              <w:jc w:val="center"/>
            </w:pPr>
            <w:r>
              <w:t>150206002201005-25</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7E2F43E">
            <w:pPr>
              <w:pStyle w:val="115"/>
              <w:bidi w:val="0"/>
              <w:jc w:val="center"/>
            </w:pPr>
            <w:r>
              <w:t>0.233</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B13325F">
            <w:pPr>
              <w:pStyle w:val="115"/>
              <w:bidi w:val="0"/>
              <w:jc w:val="center"/>
            </w:pPr>
            <w:r>
              <w:t>0.19</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47A55103">
            <w:pPr>
              <w:pStyle w:val="115"/>
              <w:bidi w:val="0"/>
              <w:jc w:val="center"/>
            </w:pPr>
            <w:r>
              <w:t>现状</w:t>
            </w:r>
          </w:p>
        </w:tc>
      </w:tr>
      <w:tr w14:paraId="7A1BD536">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24FA94E8">
            <w:pPr>
              <w:pStyle w:val="115"/>
              <w:bidi w:val="0"/>
              <w:jc w:val="center"/>
            </w:pPr>
            <w:r>
              <w:t>53</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0539690">
            <w:pPr>
              <w:pStyle w:val="115"/>
              <w:bidi w:val="0"/>
              <w:jc w:val="center"/>
            </w:pPr>
            <w:r>
              <w:t>社会福利设施</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4A418F5">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963BEF1">
            <w:pPr>
              <w:pStyle w:val="115"/>
              <w:bidi w:val="0"/>
              <w:jc w:val="center"/>
            </w:pPr>
            <w:r>
              <w:t>残疾人党群服务站</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637AEC8">
            <w:pPr>
              <w:pStyle w:val="115"/>
              <w:bidi w:val="0"/>
              <w:jc w:val="center"/>
            </w:pPr>
            <w:r>
              <w:t>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120354D">
            <w:pPr>
              <w:pStyle w:val="115"/>
              <w:bidi w:val="0"/>
              <w:jc w:val="center"/>
            </w:pPr>
            <w:r>
              <w:t>150206002201005-26</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85BE987">
            <w:pPr>
              <w:pStyle w:val="115"/>
              <w:bidi w:val="0"/>
              <w:jc w:val="center"/>
            </w:pPr>
            <w:r>
              <w:t>0.12</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D0069B9">
            <w:pPr>
              <w:pStyle w:val="115"/>
              <w:bidi w:val="0"/>
              <w:jc w:val="center"/>
            </w:pPr>
            <w:r>
              <w:t>0.1</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0D9E3183">
            <w:pPr>
              <w:pStyle w:val="115"/>
              <w:bidi w:val="0"/>
              <w:jc w:val="center"/>
            </w:pPr>
            <w:r>
              <w:t>现状</w:t>
            </w:r>
          </w:p>
        </w:tc>
      </w:tr>
      <w:tr w14:paraId="1BC0B5CE">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52673496">
            <w:pPr>
              <w:pStyle w:val="115"/>
              <w:bidi w:val="0"/>
              <w:jc w:val="center"/>
            </w:pPr>
            <w:r>
              <w:t>54</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032153B">
            <w:pPr>
              <w:pStyle w:val="115"/>
              <w:bidi w:val="0"/>
              <w:jc w:val="center"/>
            </w:pPr>
            <w:r>
              <w:t>机关团体设施</w:t>
            </w:r>
          </w:p>
        </w:tc>
        <w:tc>
          <w:tcPr>
            <w:tcW w:w="3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7EFA079">
            <w:pPr>
              <w:pStyle w:val="115"/>
              <w:bidi w:val="0"/>
              <w:jc w:val="center"/>
            </w:pPr>
            <w:r>
              <w:t>独立占地</w:t>
            </w:r>
          </w:p>
        </w:tc>
        <w:tc>
          <w:tcPr>
            <w:tcW w:w="98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A60D5BB">
            <w:pPr>
              <w:pStyle w:val="115"/>
              <w:bidi w:val="0"/>
              <w:jc w:val="center"/>
            </w:pPr>
            <w:r>
              <w:t>白云矿区联合接访中心</w:t>
            </w:r>
          </w:p>
        </w:tc>
        <w:tc>
          <w:tcPr>
            <w:tcW w:w="4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D834385">
            <w:pPr>
              <w:pStyle w:val="115"/>
              <w:bidi w:val="0"/>
              <w:jc w:val="center"/>
            </w:pPr>
            <w:r>
              <w:t>区级</w:t>
            </w:r>
          </w:p>
        </w:tc>
        <w:tc>
          <w:tcPr>
            <w:tcW w:w="107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E99169F">
            <w:pPr>
              <w:pStyle w:val="115"/>
              <w:bidi w:val="0"/>
              <w:jc w:val="center"/>
            </w:pPr>
            <w:r>
              <w:t>150206002201005-30</w:t>
            </w:r>
          </w:p>
        </w:tc>
        <w:tc>
          <w:tcPr>
            <w:tcW w:w="41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49B10EE">
            <w:pPr>
              <w:pStyle w:val="115"/>
              <w:bidi w:val="0"/>
              <w:jc w:val="center"/>
            </w:pPr>
            <w:r>
              <w:t>0.35</w:t>
            </w:r>
          </w:p>
        </w:tc>
        <w:tc>
          <w:tcPr>
            <w:tcW w:w="51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015C3A4">
            <w:pPr>
              <w:pStyle w:val="115"/>
              <w:bidi w:val="0"/>
              <w:jc w:val="center"/>
            </w:pPr>
            <w:r>
              <w:t>0.28</w:t>
            </w:r>
          </w:p>
        </w:tc>
        <w:tc>
          <w:tcPr>
            <w:tcW w:w="3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68B9BB4F">
            <w:pPr>
              <w:pStyle w:val="115"/>
              <w:bidi w:val="0"/>
              <w:jc w:val="center"/>
            </w:pPr>
            <w:r>
              <w:t>现状</w:t>
            </w:r>
          </w:p>
        </w:tc>
      </w:tr>
      <w:tr w14:paraId="6489EFB2">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70" w:hRule="atLeast"/>
        </w:trPr>
        <w:tc>
          <w:tcPr>
            <w:tcW w:w="232" w:type="pct"/>
            <w:tcBorders>
              <w:top w:val="single" w:color="000000" w:sz="4" w:space="0"/>
              <w:left w:val="single" w:color="000000" w:sz="12" w:space="0"/>
              <w:bottom w:val="single" w:color="000000" w:sz="12" w:space="0"/>
              <w:right w:val="single" w:color="000000" w:sz="4" w:space="0"/>
            </w:tcBorders>
            <w:shd w:val="clear" w:color="auto" w:fill="FFFFFF"/>
            <w:vAlign w:val="center"/>
          </w:tcPr>
          <w:p w14:paraId="22FD45DC">
            <w:pPr>
              <w:pStyle w:val="115"/>
              <w:bidi w:val="0"/>
              <w:jc w:val="center"/>
            </w:pPr>
            <w:r>
              <w:t>55</w:t>
            </w:r>
          </w:p>
        </w:tc>
        <w:tc>
          <w:tcPr>
            <w:tcW w:w="587"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0B78203C">
            <w:pPr>
              <w:pStyle w:val="115"/>
              <w:bidi w:val="0"/>
              <w:jc w:val="center"/>
            </w:pPr>
            <w:r>
              <w:t>幼儿园</w:t>
            </w:r>
          </w:p>
        </w:tc>
        <w:tc>
          <w:tcPr>
            <w:tcW w:w="382"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30080F2A">
            <w:pPr>
              <w:pStyle w:val="115"/>
              <w:bidi w:val="0"/>
              <w:jc w:val="center"/>
            </w:pPr>
            <w:r>
              <w:t>独立占地</w:t>
            </w:r>
          </w:p>
        </w:tc>
        <w:tc>
          <w:tcPr>
            <w:tcW w:w="985"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7A036B65">
            <w:pPr>
              <w:pStyle w:val="115"/>
              <w:bidi w:val="0"/>
              <w:jc w:val="center"/>
            </w:pPr>
            <w:r>
              <w:t>民族幼儿园</w:t>
            </w:r>
          </w:p>
        </w:tc>
        <w:tc>
          <w:tcPr>
            <w:tcW w:w="418"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362B3C3E">
            <w:pPr>
              <w:pStyle w:val="115"/>
              <w:bidi w:val="0"/>
              <w:jc w:val="center"/>
            </w:pPr>
            <w:r>
              <w:t>社区级</w:t>
            </w:r>
          </w:p>
        </w:tc>
        <w:tc>
          <w:tcPr>
            <w:tcW w:w="1079"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3619ABC8">
            <w:pPr>
              <w:pStyle w:val="115"/>
              <w:bidi w:val="0"/>
              <w:jc w:val="center"/>
            </w:pPr>
            <w:r>
              <w:t>150206002201005-37</w:t>
            </w:r>
          </w:p>
        </w:tc>
        <w:tc>
          <w:tcPr>
            <w:tcW w:w="414"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09D69134">
            <w:pPr>
              <w:pStyle w:val="115"/>
              <w:bidi w:val="0"/>
              <w:jc w:val="center"/>
            </w:pPr>
            <w:r>
              <w:t>0.81</w:t>
            </w:r>
          </w:p>
        </w:tc>
        <w:tc>
          <w:tcPr>
            <w:tcW w:w="517"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4CDC0652">
            <w:pPr>
              <w:pStyle w:val="115"/>
              <w:bidi w:val="0"/>
              <w:jc w:val="center"/>
            </w:pPr>
            <w:r>
              <w:t>0.65</w:t>
            </w:r>
          </w:p>
        </w:tc>
        <w:tc>
          <w:tcPr>
            <w:tcW w:w="383" w:type="pct"/>
            <w:tcBorders>
              <w:top w:val="single" w:color="000000" w:sz="4" w:space="0"/>
              <w:left w:val="single" w:color="000000" w:sz="4" w:space="0"/>
              <w:bottom w:val="single" w:color="000000" w:sz="12" w:space="0"/>
              <w:right w:val="single" w:color="000000" w:sz="12" w:space="0"/>
            </w:tcBorders>
            <w:shd w:val="clear" w:color="auto" w:fill="FFFFFF"/>
            <w:vAlign w:val="center"/>
          </w:tcPr>
          <w:p w14:paraId="4DC8E41C">
            <w:pPr>
              <w:pStyle w:val="115"/>
              <w:bidi w:val="0"/>
              <w:jc w:val="center"/>
            </w:pPr>
            <w:r>
              <w:t>现状</w:t>
            </w:r>
          </w:p>
        </w:tc>
      </w:tr>
    </w:tbl>
    <w:p w14:paraId="55958ECA">
      <w:pPr>
        <w:spacing w:after="166"/>
        <w:ind w:firstLine="0" w:firstLineChars="0"/>
        <w:jc w:val="center"/>
      </w:pPr>
    </w:p>
    <w:p w14:paraId="15E7BEF0">
      <w:pPr>
        <w:spacing w:after="166"/>
        <w:ind w:firstLine="500"/>
      </w:pPr>
      <w:r>
        <w:br w:type="page"/>
      </w:r>
    </w:p>
    <w:p w14:paraId="551F08A8">
      <w:pPr>
        <w:pStyle w:val="2"/>
        <w:numPr>
          <w:ilvl w:val="0"/>
          <w:numId w:val="5"/>
        </w:numPr>
        <w:rPr>
          <w:rFonts w:hint="eastAsia"/>
        </w:rPr>
      </w:pPr>
      <w:bookmarkStart w:id="8" w:name="_Toc5473"/>
      <w:r>
        <w:rPr>
          <w:rFonts w:hint="eastAsia"/>
        </w:rPr>
        <w:t>商业服务设施</w:t>
      </w:r>
      <w:bookmarkEnd w:id="8"/>
    </w:p>
    <w:p w14:paraId="2FE70DC5">
      <w:pPr>
        <w:pStyle w:val="3"/>
        <w:numPr>
          <w:ilvl w:val="1"/>
          <w:numId w:val="5"/>
        </w:numPr>
        <w:spacing w:before="332" w:after="166"/>
        <w:rPr>
          <w:rFonts w:hint="eastAsia"/>
        </w:rPr>
      </w:pPr>
      <w:r>
        <w:rPr>
          <w:rFonts w:hint="eastAsia"/>
        </w:rPr>
        <w:t>现状与问题</w:t>
      </w:r>
    </w:p>
    <w:p w14:paraId="14D05580">
      <w:pPr>
        <w:spacing w:after="166"/>
        <w:ind w:firstLine="500"/>
        <w:rPr>
          <w:lang w:val="en-US"/>
        </w:rPr>
      </w:pPr>
      <w:r>
        <w:rPr>
          <w:rFonts w:hint="eastAsia"/>
          <w:lang w:val="en-US"/>
        </w:rPr>
        <w:t>商业体系缺乏层次性，现有商业空间难以与居民需求匹配。商业体系缺乏层次性，整体较为低端。餐饮用地和零售商业用地占商业服务业用地比例为35%，实际居民满意度较低。目前居民购物主要为网购和包头市购物两种方式，进一步影响城区实体商贸发展。</w:t>
      </w:r>
    </w:p>
    <w:p w14:paraId="638FAEC4">
      <w:pPr>
        <w:spacing w:after="166"/>
        <w:ind w:firstLine="0" w:firstLineChars="0"/>
        <w:rPr>
          <w:lang w:val="en-US"/>
        </w:rPr>
      </w:pPr>
      <w:r>
        <w:rPr>
          <w:lang w:val="en-US"/>
        </w:rPr>
        <w:drawing>
          <wp:inline distT="0" distB="0" distL="0" distR="0">
            <wp:extent cx="5218430" cy="3222625"/>
            <wp:effectExtent l="0" t="0" r="0" b="0"/>
            <wp:docPr id="79209300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093001" name="图片 15"/>
                    <pic:cNvPicPr>
                      <a:picLocks noChangeAspect="1" noChangeArrowheads="1"/>
                    </pic:cNvPicPr>
                  </pic:nvPicPr>
                  <pic:blipFill>
                    <a:blip r:embed="rId64"/>
                    <a:srcRect t="4807"/>
                    <a:stretch>
                      <a:fillRect/>
                    </a:stretch>
                  </pic:blipFill>
                  <pic:spPr>
                    <a:xfrm>
                      <a:off x="0" y="0"/>
                      <a:ext cx="5218430" cy="3222625"/>
                    </a:xfrm>
                    <a:prstGeom prst="rect">
                      <a:avLst/>
                    </a:prstGeom>
                    <a:noFill/>
                    <a:ln>
                      <a:noFill/>
                    </a:ln>
                  </pic:spPr>
                </pic:pic>
              </a:graphicData>
            </a:graphic>
          </wp:inline>
        </w:drawing>
      </w:r>
    </w:p>
    <w:p w14:paraId="7A84E95D">
      <w:pPr>
        <w:pStyle w:val="117"/>
      </w:pPr>
      <w:r>
        <w:rPr>
          <w:rFonts w:hint="eastAsia"/>
        </w:rPr>
        <w:t>图7-1现状商业设施分布图</w:t>
      </w:r>
    </w:p>
    <w:p w14:paraId="31E1E846">
      <w:pPr>
        <w:pStyle w:val="3"/>
        <w:numPr>
          <w:ilvl w:val="1"/>
          <w:numId w:val="5"/>
        </w:numPr>
        <w:spacing w:before="332" w:after="166"/>
        <w:rPr>
          <w:rFonts w:hint="eastAsia"/>
        </w:rPr>
      </w:pPr>
      <w:r>
        <w:rPr>
          <w:rFonts w:hint="eastAsia"/>
        </w:rPr>
        <w:t>规划理念</w:t>
      </w:r>
    </w:p>
    <w:p w14:paraId="0CEC6204">
      <w:pPr>
        <w:pStyle w:val="5"/>
        <w:numPr>
          <w:ilvl w:val="-1"/>
          <w:numId w:val="0"/>
        </w:numPr>
        <w:ind w:left="0" w:firstLine="0"/>
      </w:pPr>
      <w:r>
        <w:rPr>
          <w:rFonts w:hint="eastAsia"/>
        </w:rPr>
        <w:t>理念① 盘活存量，引导升级</w:t>
      </w:r>
    </w:p>
    <w:p w14:paraId="2D568F89">
      <w:pPr>
        <w:spacing w:after="166"/>
        <w:ind w:firstLine="500"/>
      </w:pPr>
      <w:r>
        <w:rPr>
          <w:rFonts w:hint="eastAsia"/>
        </w:rPr>
        <w:t>引导现状低效、零散分布商业用地整合集聚，引导沿街、市场等传统业态转型升级。</w:t>
      </w:r>
    </w:p>
    <w:p w14:paraId="1744A287">
      <w:pPr>
        <w:pStyle w:val="5"/>
        <w:numPr>
          <w:ilvl w:val="-1"/>
          <w:numId w:val="0"/>
        </w:numPr>
        <w:ind w:left="0" w:firstLine="0"/>
      </w:pPr>
      <w:r>
        <w:rPr>
          <w:rFonts w:hint="eastAsia"/>
        </w:rPr>
        <w:t>理念② 服务人民，激活消费</w:t>
      </w:r>
    </w:p>
    <w:p w14:paraId="6CC4E91D">
      <w:pPr>
        <w:spacing w:after="166"/>
        <w:ind w:firstLine="500"/>
      </w:pPr>
      <w:r>
        <w:rPr>
          <w:rFonts w:hint="eastAsia"/>
        </w:rPr>
        <w:t>贯彻“以人民为中心”思想，逐步完善满足不同年龄、不同家庭构成居民需求的高品质、多样化生活性商业空间供给，激活消费动力。</w:t>
      </w:r>
    </w:p>
    <w:p w14:paraId="42523162">
      <w:pPr>
        <w:pStyle w:val="5"/>
        <w:numPr>
          <w:ilvl w:val="-1"/>
          <w:numId w:val="0"/>
        </w:numPr>
        <w:ind w:left="0" w:firstLine="0"/>
      </w:pPr>
      <w:r>
        <w:rPr>
          <w:rFonts w:hint="eastAsia"/>
        </w:rPr>
        <w:t>理念③ 服务产业，完善配套</w:t>
      </w:r>
    </w:p>
    <w:p w14:paraId="52CE979E">
      <w:pPr>
        <w:spacing w:after="166"/>
        <w:ind w:firstLine="500"/>
      </w:pPr>
      <w:r>
        <w:rPr>
          <w:rFonts w:hint="eastAsia"/>
        </w:rPr>
        <w:t>践行“产城融合”理念，增加企业商务设施布局，优化生产性服务业空间供给。</w:t>
      </w:r>
    </w:p>
    <w:p w14:paraId="643F2519">
      <w:pPr>
        <w:pStyle w:val="3"/>
        <w:numPr>
          <w:ilvl w:val="1"/>
          <w:numId w:val="5"/>
        </w:numPr>
        <w:spacing w:before="332" w:after="166"/>
        <w:rPr>
          <w:rFonts w:hint="eastAsia"/>
        </w:rPr>
      </w:pPr>
      <w:r>
        <w:rPr>
          <w:rFonts w:hint="eastAsia"/>
        </w:rPr>
        <w:t>规划策略</w:t>
      </w:r>
    </w:p>
    <w:p w14:paraId="64EEF8B4">
      <w:pPr>
        <w:pStyle w:val="4"/>
        <w:numPr>
          <w:ilvl w:val="2"/>
          <w:numId w:val="5"/>
        </w:numPr>
        <w:spacing w:before="332" w:after="166"/>
        <w:rPr>
          <w:rFonts w:hint="eastAsia"/>
          <w:lang w:val="en-US"/>
        </w:rPr>
      </w:pPr>
      <w:r>
        <w:rPr>
          <w:rFonts w:hint="eastAsia"/>
          <w:lang w:val="en-US"/>
        </w:rPr>
        <w:t xml:space="preserve"> “留、优、拆”分类优化</w:t>
      </w:r>
    </w:p>
    <w:p w14:paraId="78645F04">
      <w:pPr>
        <w:spacing w:after="166"/>
        <w:ind w:firstLine="500"/>
        <w:rPr>
          <w:lang w:val="en-US"/>
        </w:rPr>
      </w:pPr>
      <w:r>
        <w:rPr>
          <w:rFonts w:hint="eastAsia"/>
          <w:lang w:val="en-US"/>
        </w:rPr>
        <w:t>留——延续格局，有机更新：保留矿山路、通阳道北段的T形现状商业空间以及部分沿街商业空间</w:t>
      </w:r>
    </w:p>
    <w:p w14:paraId="7F7D5A18">
      <w:pPr>
        <w:spacing w:after="166"/>
        <w:ind w:firstLine="500"/>
        <w:rPr>
          <w:lang w:val="en-US"/>
        </w:rPr>
      </w:pPr>
      <w:r>
        <w:rPr>
          <w:rFonts w:hint="eastAsia"/>
          <w:lang w:val="en-US"/>
        </w:rPr>
        <w:t>优——化零为整，提升业态：优化货运服务板块形态格局，优化地质道两侧商业格局</w:t>
      </w:r>
    </w:p>
    <w:p w14:paraId="554F9DF8">
      <w:pPr>
        <w:spacing w:after="166"/>
        <w:ind w:firstLine="500"/>
        <w:rPr>
          <w:lang w:val="en-US"/>
        </w:rPr>
      </w:pPr>
      <w:r>
        <w:rPr>
          <w:rFonts w:hint="eastAsia"/>
          <w:lang w:val="en-US"/>
        </w:rPr>
        <w:t>增——增加供给，补足短板：增加商务设施用地布局（为产服务）</w:t>
      </w:r>
    </w:p>
    <w:p w14:paraId="6C0F10F3">
      <w:pPr>
        <w:spacing w:after="166"/>
        <w:ind w:firstLine="0" w:firstLineChars="0"/>
        <w:rPr>
          <w:lang w:val="en-US"/>
        </w:rPr>
      </w:pPr>
      <w:r>
        <w:rPr>
          <w:lang w:val="en-US"/>
        </w:rPr>
        <w:drawing>
          <wp:inline distT="0" distB="0" distL="0" distR="0">
            <wp:extent cx="5435600" cy="2891790"/>
            <wp:effectExtent l="0" t="0" r="0" b="3810"/>
            <wp:docPr id="96108214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082148" name="图片 3"/>
                    <pic:cNvPicPr>
                      <a:picLocks noChangeAspect="1" noChangeArrowheads="1"/>
                    </pic:cNvPicPr>
                  </pic:nvPicPr>
                  <pic:blipFill>
                    <a:blip r:embed="rId65"/>
                    <a:srcRect/>
                    <a:stretch>
                      <a:fillRect/>
                    </a:stretch>
                  </pic:blipFill>
                  <pic:spPr>
                    <a:xfrm>
                      <a:off x="0" y="0"/>
                      <a:ext cx="5436475" cy="2892322"/>
                    </a:xfrm>
                    <a:prstGeom prst="rect">
                      <a:avLst/>
                    </a:prstGeom>
                    <a:noFill/>
                  </pic:spPr>
                </pic:pic>
              </a:graphicData>
            </a:graphic>
          </wp:inline>
        </w:drawing>
      </w:r>
    </w:p>
    <w:p w14:paraId="048C0BC1">
      <w:pPr>
        <w:pStyle w:val="117"/>
      </w:pPr>
      <w:r>
        <w:rPr>
          <w:rFonts w:hint="eastAsia"/>
        </w:rPr>
        <w:t>图7-2商业服务业设施用地“留、优、拆”分类优化对比图</w:t>
      </w:r>
    </w:p>
    <w:p w14:paraId="643552E8">
      <w:pPr>
        <w:pStyle w:val="4"/>
        <w:numPr>
          <w:ilvl w:val="2"/>
          <w:numId w:val="5"/>
        </w:numPr>
        <w:spacing w:before="332" w:after="166"/>
        <w:rPr>
          <w:rFonts w:hint="eastAsia"/>
          <w:lang w:val="en-US"/>
        </w:rPr>
      </w:pPr>
      <w:r>
        <w:rPr>
          <w:rFonts w:hint="eastAsia"/>
          <w:lang w:val="en-US"/>
        </w:rPr>
        <w:t>重点业态策划</w:t>
      </w:r>
    </w:p>
    <w:p w14:paraId="6F6829D2">
      <w:pPr>
        <w:pStyle w:val="5"/>
        <w:numPr>
          <w:ilvl w:val="0"/>
          <w:numId w:val="22"/>
        </w:numPr>
      </w:pPr>
      <w:r>
        <w:rPr>
          <w:rFonts w:hint="eastAsia"/>
        </w:rPr>
        <w:t>为人服务</w:t>
      </w:r>
    </w:p>
    <w:p w14:paraId="57FBB57C">
      <w:pPr>
        <w:spacing w:after="166"/>
        <w:ind w:firstLine="500"/>
        <w:rPr>
          <w:lang w:val="en-US"/>
        </w:rPr>
      </w:pPr>
      <w:r>
        <w:rPr>
          <w:rFonts w:hint="eastAsia"/>
          <w:lang w:val="en-US"/>
        </w:rPr>
        <w:t>策划小而精、小而全、小而美的社区综合商业。小而精：建设0.6-1万方左右（主要服务白云城区、外来人口，兼顾辐射临近城镇）；小而全：全年龄服务、多样业态、一站式，可以提供多种功能，较长时间停留；小而美：颜值、打卡、休闲、辐射周边，保持持续性流量。</w:t>
      </w:r>
    </w:p>
    <w:p w14:paraId="62479724">
      <w:pPr>
        <w:spacing w:after="166"/>
        <w:ind w:firstLine="500"/>
      </w:pPr>
      <w:r>
        <w:rPr>
          <w:rFonts w:hint="eastAsia"/>
        </w:rPr>
        <w:t>规划城市商业综合中心选址建议。选址1：白云鄂博大厦重建。优势为有利于提升门户形象，便于交通组织，利于对外服务，可带动奇石街整体升级。劣势为现有体量和形态不合适，需要拆除重建；选址2：闲置商业翻新。优势为距离现有商业集聚区近，可结合穿心街整体改造。劣势为交通组织压力大，建议配建停车并与矿山路拓宽整体推进。</w:t>
      </w:r>
    </w:p>
    <w:p w14:paraId="327B86B7">
      <w:pPr>
        <w:pStyle w:val="13"/>
        <w:spacing w:after="166"/>
        <w:ind w:left="1" w:leftChars="-56" w:hanging="141" w:hangingChars="59"/>
        <w:jc w:val="center"/>
        <w:rPr>
          <w:rFonts w:hint="eastAsia"/>
          <w:lang w:val="en-US"/>
        </w:rPr>
      </w:pPr>
      <w:r>
        <w:rPr>
          <w:rFonts w:hint="eastAsia"/>
          <w:lang w:val="en-US"/>
        </w:rPr>
        <w:drawing>
          <wp:inline distT="0" distB="0" distL="0" distR="0">
            <wp:extent cx="6182995" cy="5181600"/>
            <wp:effectExtent l="0" t="0" r="8255" b="0"/>
            <wp:docPr id="15502791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279115" name="图片 2"/>
                    <pic:cNvPicPr>
                      <a:picLocks noChangeAspect="1" noChangeArrowheads="1"/>
                    </pic:cNvPicPr>
                  </pic:nvPicPr>
                  <pic:blipFill>
                    <a:blip r:embed="rId66"/>
                    <a:srcRect/>
                    <a:stretch>
                      <a:fillRect/>
                    </a:stretch>
                  </pic:blipFill>
                  <pic:spPr>
                    <a:xfrm>
                      <a:off x="0" y="0"/>
                      <a:ext cx="6240558" cy="5229798"/>
                    </a:xfrm>
                    <a:prstGeom prst="rect">
                      <a:avLst/>
                    </a:prstGeom>
                    <a:noFill/>
                  </pic:spPr>
                </pic:pic>
              </a:graphicData>
            </a:graphic>
          </wp:inline>
        </w:drawing>
      </w:r>
    </w:p>
    <w:p w14:paraId="15C7D7F9">
      <w:pPr>
        <w:pStyle w:val="117"/>
      </w:pPr>
      <w:r>
        <w:rPr>
          <w:rFonts w:hint="eastAsia"/>
        </w:rPr>
        <w:t>图7-3 社区级商业综合体选址意向图</w:t>
      </w:r>
    </w:p>
    <w:p w14:paraId="3B7C2E5E">
      <w:pPr>
        <w:pStyle w:val="5"/>
        <w:numPr>
          <w:ilvl w:val="0"/>
          <w:numId w:val="22"/>
        </w:numPr>
      </w:pPr>
      <w:r>
        <w:rPr>
          <w:rFonts w:hint="eastAsia"/>
        </w:rPr>
        <w:t>为产服务</w:t>
      </w:r>
    </w:p>
    <w:p w14:paraId="00DD3FF4">
      <w:pPr>
        <w:spacing w:after="166"/>
        <w:ind w:firstLine="500"/>
      </w:pPr>
      <w:r>
        <w:rPr>
          <w:rFonts w:hint="eastAsia"/>
        </w:rPr>
        <w:t>结合门户和园区两个导向，为企业办公集聚区提供选址对比。</w:t>
      </w:r>
    </w:p>
    <w:p w14:paraId="1591A535">
      <w:pPr>
        <w:pStyle w:val="13"/>
        <w:spacing w:after="166"/>
        <w:ind w:firstLine="480"/>
        <w:rPr>
          <w:rFonts w:hint="eastAsia"/>
        </w:rPr>
      </w:pPr>
      <w:r>
        <w:rPr>
          <w:rFonts w:hint="eastAsia"/>
        </w:rPr>
        <w:t>文化旅游配套业态方面，北侧结合现状矿山主题公园，基于火车站提供入户文旅配套服务；南侧结合综合教育营地、现状草原英雄小姐妹事迹展览馆完善文化旅游配套。</w:t>
      </w:r>
    </w:p>
    <w:p w14:paraId="5D6DE649">
      <w:pPr>
        <w:pStyle w:val="13"/>
        <w:spacing w:after="166"/>
        <w:ind w:firstLine="480"/>
        <w:rPr>
          <w:rFonts w:hint="eastAsia"/>
        </w:rPr>
      </w:pPr>
      <w:r>
        <w:rPr>
          <w:rFonts w:hint="eastAsia"/>
        </w:rPr>
        <w:t>面向货运配套集聚区优化布局，对原地块内部以汽车维修、汽车相关服务为主的沿街商业进行整体统筹规划：利用原有空地打造货运配套集聚区，新增块状商业空间；对原地块外部的沿街商业进行更新改造。</w:t>
      </w:r>
    </w:p>
    <w:p w14:paraId="28971D2B">
      <w:pPr>
        <w:pStyle w:val="13"/>
        <w:spacing w:after="0" w:afterLines="0"/>
        <w:ind w:firstLine="0" w:firstLineChars="0"/>
        <w:jc w:val="center"/>
        <w:rPr>
          <w:rFonts w:hint="eastAsia"/>
        </w:rPr>
      </w:pPr>
      <w:r>
        <w:rPr>
          <w:rFonts w:hint="eastAsia"/>
        </w:rPr>
        <w:drawing>
          <wp:inline distT="0" distB="0" distL="0" distR="0">
            <wp:extent cx="4686300" cy="3926205"/>
            <wp:effectExtent l="0" t="0" r="0" b="0"/>
            <wp:docPr id="19127120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712014" name="图片 4"/>
                    <pic:cNvPicPr>
                      <a:picLocks noChangeAspect="1" noChangeArrowheads="1"/>
                    </pic:cNvPicPr>
                  </pic:nvPicPr>
                  <pic:blipFill>
                    <a:blip r:embed="rId67"/>
                    <a:srcRect/>
                    <a:stretch>
                      <a:fillRect/>
                    </a:stretch>
                  </pic:blipFill>
                  <pic:spPr>
                    <a:xfrm>
                      <a:off x="0" y="0"/>
                      <a:ext cx="4689439" cy="3929121"/>
                    </a:xfrm>
                    <a:prstGeom prst="rect">
                      <a:avLst/>
                    </a:prstGeom>
                    <a:noFill/>
                  </pic:spPr>
                </pic:pic>
              </a:graphicData>
            </a:graphic>
          </wp:inline>
        </w:drawing>
      </w:r>
    </w:p>
    <w:p w14:paraId="465F47DC">
      <w:pPr>
        <w:pStyle w:val="268"/>
      </w:pPr>
      <w:r>
        <w:rPr>
          <w:rFonts w:hint="eastAsia"/>
        </w:rPr>
        <w:t>图7-4 企业办公集聚区分布图</w:t>
      </w:r>
    </w:p>
    <w:p w14:paraId="3B712A4D">
      <w:pPr>
        <w:pStyle w:val="13"/>
        <w:spacing w:after="0" w:afterLines="0"/>
        <w:ind w:firstLine="0" w:firstLineChars="0"/>
        <w:jc w:val="center"/>
        <w:rPr>
          <w:rFonts w:hint="eastAsia"/>
        </w:rPr>
      </w:pPr>
      <w:r>
        <w:rPr>
          <w:rFonts w:hint="eastAsia"/>
          <w:lang w:val="en-US"/>
        </w:rPr>
        <w:drawing>
          <wp:inline distT="0" distB="0" distL="0" distR="0">
            <wp:extent cx="4795520" cy="4019550"/>
            <wp:effectExtent l="0" t="0" r="5080" b="0"/>
            <wp:docPr id="62474624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746243" name="图片 5"/>
                    <pic:cNvPicPr>
                      <a:picLocks noChangeAspect="1" noChangeArrowheads="1"/>
                    </pic:cNvPicPr>
                  </pic:nvPicPr>
                  <pic:blipFill>
                    <a:blip r:embed="rId68"/>
                    <a:srcRect/>
                    <a:stretch>
                      <a:fillRect/>
                    </a:stretch>
                  </pic:blipFill>
                  <pic:spPr>
                    <a:xfrm>
                      <a:off x="0" y="0"/>
                      <a:ext cx="4807432" cy="4029124"/>
                    </a:xfrm>
                    <a:prstGeom prst="rect">
                      <a:avLst/>
                    </a:prstGeom>
                    <a:noFill/>
                  </pic:spPr>
                </pic:pic>
              </a:graphicData>
            </a:graphic>
          </wp:inline>
        </w:drawing>
      </w:r>
    </w:p>
    <w:p w14:paraId="433383A1">
      <w:pPr>
        <w:pStyle w:val="268"/>
      </w:pPr>
      <w:r>
        <w:rPr>
          <w:rFonts w:hint="eastAsia"/>
        </w:rPr>
        <w:t>图7-</w:t>
      </w:r>
      <w:r>
        <w:rPr>
          <w:rFonts w:hint="eastAsia"/>
          <w:lang w:val="en-US" w:eastAsia="zh-CN"/>
        </w:rPr>
        <w:t>5</w:t>
      </w:r>
      <w:r>
        <w:rPr>
          <w:rFonts w:hint="eastAsia"/>
        </w:rPr>
        <w:t xml:space="preserve"> 文化旅游配套业态分布图</w:t>
      </w:r>
    </w:p>
    <w:p w14:paraId="24BFA79E">
      <w:pPr>
        <w:pStyle w:val="13"/>
        <w:spacing w:after="166"/>
        <w:ind w:firstLine="0" w:firstLineChars="0"/>
        <w:rPr>
          <w:rFonts w:hint="eastAsia"/>
        </w:rPr>
      </w:pPr>
    </w:p>
    <w:p w14:paraId="7BBCDFD5">
      <w:pPr>
        <w:spacing w:after="166"/>
        <w:ind w:firstLine="500"/>
      </w:pPr>
      <w:r>
        <w:drawing>
          <wp:inline distT="0" distB="0" distL="0" distR="0">
            <wp:extent cx="4999990" cy="3160395"/>
            <wp:effectExtent l="0" t="0" r="0" b="1905"/>
            <wp:docPr id="129958442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584426" name="图片 6"/>
                    <pic:cNvPicPr>
                      <a:picLocks noChangeAspect="1" noChangeArrowheads="1"/>
                    </pic:cNvPicPr>
                  </pic:nvPicPr>
                  <pic:blipFill>
                    <a:blip r:embed="rId69"/>
                    <a:srcRect/>
                    <a:stretch>
                      <a:fillRect/>
                    </a:stretch>
                  </pic:blipFill>
                  <pic:spPr>
                    <a:xfrm>
                      <a:off x="0" y="0"/>
                      <a:ext cx="4999990" cy="3160395"/>
                    </a:xfrm>
                    <a:prstGeom prst="rect">
                      <a:avLst/>
                    </a:prstGeom>
                    <a:noFill/>
                  </pic:spPr>
                </pic:pic>
              </a:graphicData>
            </a:graphic>
          </wp:inline>
        </w:drawing>
      </w:r>
    </w:p>
    <w:p w14:paraId="7FCD3245">
      <w:pPr>
        <w:pStyle w:val="117"/>
      </w:pPr>
      <w:r>
        <w:rPr>
          <w:rFonts w:hint="eastAsia"/>
        </w:rPr>
        <w:t>图7-6 货运配套集聚区优化布局意向图</w:t>
      </w:r>
    </w:p>
    <w:p w14:paraId="19B13A5F">
      <w:pPr>
        <w:pStyle w:val="4"/>
        <w:numPr>
          <w:ilvl w:val="2"/>
          <w:numId w:val="5"/>
        </w:numPr>
        <w:spacing w:before="332" w:after="166"/>
        <w:rPr>
          <w:rFonts w:hint="eastAsia"/>
          <w:lang w:val="en-US"/>
        </w:rPr>
      </w:pPr>
      <w:r>
        <w:rPr>
          <w:rFonts w:hint="eastAsia"/>
          <w:lang w:val="en-US"/>
        </w:rPr>
        <w:t>匹配人群需求，丰富业态类型，合理布局</w:t>
      </w:r>
    </w:p>
    <w:p w14:paraId="652D7ADE">
      <w:pPr>
        <w:spacing w:after="166"/>
        <w:ind w:firstLine="500"/>
      </w:pPr>
      <w:r>
        <w:rPr>
          <w:rFonts w:hint="eastAsia"/>
        </w:rPr>
        <w:t>综合商业服务设施（0901）：集中布局于干路交叉口，占据最佳交通区位，服务于整个矿区居民。业态构成复合中高端零售、餐饮、休闲娱乐功能，空间形态上以大体量单体建筑为主。</w:t>
      </w:r>
    </w:p>
    <w:p w14:paraId="25C9E09D">
      <w:pPr>
        <w:spacing w:after="166"/>
        <w:ind w:firstLine="500"/>
      </w:pPr>
      <w:r>
        <w:rPr>
          <w:rFonts w:hint="eastAsia"/>
        </w:rPr>
        <w:t>商务金融、旅馆、营业网点服务业集中区（0902/090104/090105/0904）：西南组团：形成围绕转盘的商业商办门户区，盘活永盛城周边闲置商业用地；东部组团：位于轻量化园区北侧，盘活现状低效用地，提供生产性服务功能。</w:t>
      </w:r>
    </w:p>
    <w:p w14:paraId="6DE934A5">
      <w:pPr>
        <w:spacing w:after="166"/>
        <w:ind w:firstLine="500"/>
      </w:pPr>
      <w:r>
        <w:rPr>
          <w:rFonts w:hint="eastAsia"/>
        </w:rPr>
        <w:t>社区商业中心（0901/090101）：布局于居住片区内部，服务于周边居民。业态构成上以菜市场、中低端餐饮、零售、维修等生活服务功能为主，呈现便民的主要特征；空间形态上以中体量低层单体建筑为主。</w:t>
      </w:r>
    </w:p>
    <w:p w14:paraId="720B0E0F">
      <w:pPr>
        <w:spacing w:after="166"/>
        <w:ind w:firstLine="500"/>
      </w:pPr>
      <w:r>
        <w:rPr>
          <w:rFonts w:hint="eastAsia"/>
        </w:rPr>
        <w:t>沿街商业（0901/090101）：布局于居住密度较高的矿山路、通阳道两侧，保证其经营不影响住宅的品质，服务于周边住区。业态构成上以便民的零售、餐饮、维修、医疗等生活服务功能为主，空间形态上呈低层的带形建筑。</w:t>
      </w:r>
    </w:p>
    <w:p w14:paraId="6031BAF1">
      <w:pPr>
        <w:pStyle w:val="13"/>
        <w:spacing w:after="166"/>
        <w:ind w:firstLine="480"/>
        <w:rPr>
          <w:rFonts w:hint="eastAsia"/>
        </w:rPr>
      </w:pPr>
      <w:r>
        <w:rPr>
          <w:rFonts w:hint="eastAsia"/>
        </w:rPr>
        <w:drawing>
          <wp:inline distT="0" distB="0" distL="0" distR="0">
            <wp:extent cx="4931410" cy="3986530"/>
            <wp:effectExtent l="0" t="0" r="0" b="13970"/>
            <wp:docPr id="21319070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90703" name="图片 7"/>
                    <pic:cNvPicPr>
                      <a:picLocks noChangeAspect="1" noChangeArrowheads="1"/>
                    </pic:cNvPicPr>
                  </pic:nvPicPr>
                  <pic:blipFill>
                    <a:blip r:embed="rId70"/>
                    <a:srcRect/>
                    <a:stretch>
                      <a:fillRect/>
                    </a:stretch>
                  </pic:blipFill>
                  <pic:spPr>
                    <a:xfrm>
                      <a:off x="0" y="0"/>
                      <a:ext cx="4946144" cy="3998746"/>
                    </a:xfrm>
                    <a:prstGeom prst="rect">
                      <a:avLst/>
                    </a:prstGeom>
                    <a:noFill/>
                  </pic:spPr>
                </pic:pic>
              </a:graphicData>
            </a:graphic>
          </wp:inline>
        </w:drawing>
      </w:r>
    </w:p>
    <w:p w14:paraId="7182D0A5">
      <w:pPr>
        <w:pStyle w:val="117"/>
      </w:pPr>
      <w:r>
        <w:rPr>
          <w:rFonts w:hint="eastAsia"/>
        </w:rPr>
        <w:t>图7-7 商业服务设施功能引导图</w:t>
      </w:r>
    </w:p>
    <w:p w14:paraId="2962650F">
      <w:pPr>
        <w:pStyle w:val="3"/>
        <w:numPr>
          <w:ilvl w:val="1"/>
          <w:numId w:val="5"/>
        </w:numPr>
        <w:spacing w:before="332" w:after="166"/>
        <w:rPr>
          <w:rFonts w:hint="eastAsia"/>
        </w:rPr>
      </w:pPr>
      <w:r>
        <w:rPr>
          <w:rFonts w:hint="eastAsia"/>
        </w:rPr>
        <w:t>商业用地</w:t>
      </w:r>
    </w:p>
    <w:p w14:paraId="57AA00DD">
      <w:pPr>
        <w:spacing w:after="166"/>
        <w:ind w:firstLine="500"/>
        <w:rPr>
          <w:lang w:val="en-US"/>
        </w:rPr>
      </w:pPr>
      <w:r>
        <w:rPr>
          <w:rFonts w:hint="eastAsia"/>
          <w:lang w:val="en-US"/>
        </w:rPr>
        <w:t xml:space="preserve">商业设施用地主要包括规划规划区内的零售用地、旅馆用地、批发市场用地、公用设施营业网点用地以及规划拟落实的配套旅游服务、零售商业等用地，规划商业用地38.46公顷，占总建设用地比例为6.01%。 </w:t>
      </w:r>
    </w:p>
    <w:p w14:paraId="0379C90E">
      <w:pPr>
        <w:spacing w:after="166"/>
        <w:ind w:firstLine="500"/>
        <w:rPr>
          <w:lang w:val="en-US"/>
        </w:rPr>
      </w:pPr>
      <w:r>
        <w:rPr>
          <w:rFonts w:hint="eastAsia"/>
          <w:lang w:val="en-US"/>
        </w:rPr>
        <w:t>（1）零售商业用地：共5.00公顷，占总建设用地比例为0.78%。主要布局于矿山路、通阳道两侧。</w:t>
      </w:r>
    </w:p>
    <w:p w14:paraId="727239E2">
      <w:pPr>
        <w:spacing w:after="166"/>
        <w:ind w:firstLine="500"/>
        <w:rPr>
          <w:lang w:val="en-US"/>
        </w:rPr>
      </w:pPr>
      <w:r>
        <w:rPr>
          <w:rFonts w:hint="eastAsia"/>
          <w:lang w:val="en-US"/>
        </w:rPr>
        <w:t>（2）旅馆用地：共5.80公顷，占总建设用地比例为0.91%。主要布局于矿区转盘周边。</w:t>
      </w:r>
    </w:p>
    <w:p w14:paraId="16D64DD6">
      <w:pPr>
        <w:spacing w:after="166"/>
        <w:ind w:firstLine="500"/>
        <w:rPr>
          <w:lang w:val="en-US"/>
        </w:rPr>
      </w:pPr>
      <w:r>
        <w:rPr>
          <w:rFonts w:hint="eastAsia"/>
          <w:lang w:val="en-US"/>
        </w:rPr>
        <w:t>（3）公共设施营业网点用地：共1.33公顷，占总建设用地比例为0.21%。主要为矿区内加油站设施。</w:t>
      </w:r>
    </w:p>
    <w:p w14:paraId="5E410771">
      <w:pPr>
        <w:spacing w:after="166"/>
        <w:ind w:firstLine="500"/>
        <w:rPr>
          <w:lang w:val="en-US"/>
        </w:rPr>
      </w:pPr>
      <w:r>
        <w:rPr>
          <w:rFonts w:hint="eastAsia"/>
          <w:lang w:val="en-US"/>
        </w:rPr>
        <w:t>（4）综合商业设施用地：共26.33公顷，占总建设用地比例为4.12%。</w:t>
      </w:r>
    </w:p>
    <w:p w14:paraId="7F4C9B6E">
      <w:pPr>
        <w:pStyle w:val="3"/>
        <w:numPr>
          <w:ilvl w:val="1"/>
          <w:numId w:val="5"/>
        </w:numPr>
        <w:spacing w:before="332" w:after="166"/>
        <w:rPr>
          <w:rFonts w:hint="eastAsia"/>
        </w:rPr>
      </w:pPr>
      <w:r>
        <w:rPr>
          <w:rFonts w:hint="eastAsia"/>
        </w:rPr>
        <w:t>商务金融用地</w:t>
      </w:r>
    </w:p>
    <w:p w14:paraId="4A87768F">
      <w:pPr>
        <w:spacing w:after="166"/>
        <w:ind w:firstLine="500"/>
        <w:rPr>
          <w:lang w:val="en-US"/>
        </w:rPr>
      </w:pPr>
      <w:r>
        <w:rPr>
          <w:rFonts w:hint="eastAsia"/>
          <w:lang w:val="en-US"/>
        </w:rPr>
        <w:t>用地面积为6.86公顷，占总建设用地比例为1.07%。分别布局于西南组团和东部组团</w:t>
      </w:r>
      <w:r>
        <w:rPr>
          <w:rFonts w:hint="eastAsia"/>
          <w:lang w:val="en-US" w:eastAsia="zh-CN"/>
        </w:rPr>
        <w:t>，</w:t>
      </w:r>
      <w:r>
        <w:rPr>
          <w:rFonts w:hint="eastAsia"/>
          <w:lang w:val="en-US"/>
        </w:rPr>
        <w:t>主要为金融保险、技术服务、物流管理中心等综合性办公功能。</w:t>
      </w:r>
    </w:p>
    <w:p w14:paraId="441C2880">
      <w:pPr>
        <w:pStyle w:val="3"/>
        <w:numPr>
          <w:ilvl w:val="1"/>
          <w:numId w:val="5"/>
        </w:numPr>
        <w:spacing w:before="332" w:after="166"/>
        <w:rPr>
          <w:rFonts w:hint="eastAsia"/>
        </w:rPr>
      </w:pPr>
      <w:r>
        <w:rPr>
          <w:rFonts w:hint="eastAsia"/>
        </w:rPr>
        <w:t>其它商业服务业</w:t>
      </w:r>
    </w:p>
    <w:p w14:paraId="4873A686">
      <w:pPr>
        <w:spacing w:after="166"/>
        <w:ind w:firstLine="500"/>
        <w:rPr>
          <w:lang w:val="en-US"/>
        </w:rPr>
      </w:pPr>
      <w:r>
        <w:rPr>
          <w:rFonts w:hint="eastAsia"/>
          <w:lang w:val="en-US"/>
        </w:rPr>
        <w:t>用地面积为12.38公顷，占总建设用地比例为1.94%。包括教育培训等其它商业服务业功能，主要布局于白云鄂博大街两侧。</w:t>
      </w:r>
    </w:p>
    <w:p w14:paraId="7C71D808">
      <w:pPr>
        <w:widowControl/>
        <w:spacing w:after="166"/>
        <w:ind w:firstLine="500"/>
        <w:jc w:val="left"/>
        <w:rPr>
          <w:rFonts w:hint="eastAsia" w:ascii="宋体" w:hAnsi="宋体" w:cs="宋体"/>
          <w:lang w:val="en-US" w:bidi="ar"/>
        </w:rPr>
      </w:pPr>
      <w:r>
        <w:rPr>
          <w:rFonts w:ascii="宋体" w:hAnsi="宋体" w:cs="宋体"/>
          <w:lang w:val="en-US" w:bidi="ar"/>
        </w:rPr>
        <w:drawing>
          <wp:inline distT="0" distB="0" distL="0" distR="0">
            <wp:extent cx="4724400" cy="3816350"/>
            <wp:effectExtent l="0" t="0" r="0" b="0"/>
            <wp:docPr id="206821900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219000" name="图片 14"/>
                    <pic:cNvPicPr>
                      <a:picLocks noChangeAspect="1" noChangeArrowheads="1"/>
                    </pic:cNvPicPr>
                  </pic:nvPicPr>
                  <pic:blipFill>
                    <a:blip r:embed="rId71"/>
                    <a:srcRect/>
                    <a:stretch>
                      <a:fillRect/>
                    </a:stretch>
                  </pic:blipFill>
                  <pic:spPr>
                    <a:xfrm>
                      <a:off x="0" y="0"/>
                      <a:ext cx="4725512" cy="3817472"/>
                    </a:xfrm>
                    <a:prstGeom prst="rect">
                      <a:avLst/>
                    </a:prstGeom>
                    <a:noFill/>
                  </pic:spPr>
                </pic:pic>
              </a:graphicData>
            </a:graphic>
          </wp:inline>
        </w:drawing>
      </w:r>
    </w:p>
    <w:p w14:paraId="2C2969FF">
      <w:pPr>
        <w:pStyle w:val="117"/>
      </w:pPr>
      <w:r>
        <w:rPr>
          <w:rFonts w:hint="eastAsia"/>
        </w:rPr>
        <w:t>图7-8 商业服务业设施用地布局规划图</w:t>
      </w:r>
    </w:p>
    <w:p w14:paraId="2DE227E4">
      <w:pPr>
        <w:spacing w:after="166"/>
        <w:ind w:firstLine="500"/>
        <w:rPr>
          <w:rFonts w:hint="eastAsia" w:ascii="宋体" w:hAnsi="宋体" w:cs="宋体"/>
          <w:u w:val="single"/>
          <w:lang w:val="en-US" w:bidi="ar"/>
        </w:rPr>
      </w:pPr>
      <w:r>
        <w:rPr>
          <w:rFonts w:ascii="宋体" w:hAnsi="宋体" w:cs="宋体"/>
          <w:u w:val="single"/>
          <w:lang w:val="en-US" w:bidi="ar"/>
        </w:rPr>
        <w:br w:type="page"/>
      </w:r>
    </w:p>
    <w:p w14:paraId="23759F9C">
      <w:pPr>
        <w:pStyle w:val="2"/>
        <w:numPr>
          <w:ilvl w:val="0"/>
          <w:numId w:val="5"/>
        </w:numPr>
        <w:rPr>
          <w:rFonts w:hint="eastAsia"/>
        </w:rPr>
      </w:pPr>
      <w:bookmarkStart w:id="9" w:name="_Toc21449"/>
      <w:r>
        <w:rPr>
          <w:rFonts w:hint="eastAsia"/>
        </w:rPr>
        <w:t>绿地与开敞空间</w:t>
      </w:r>
      <w:bookmarkEnd w:id="9"/>
    </w:p>
    <w:p w14:paraId="755325B1">
      <w:pPr>
        <w:pStyle w:val="3"/>
        <w:numPr>
          <w:ilvl w:val="1"/>
          <w:numId w:val="5"/>
        </w:numPr>
        <w:spacing w:before="332" w:after="166"/>
        <w:rPr>
          <w:rFonts w:hint="eastAsia"/>
        </w:rPr>
      </w:pPr>
      <w:r>
        <w:rPr>
          <w:rFonts w:hint="eastAsia"/>
        </w:rPr>
        <w:t>现状与问题</w:t>
      </w:r>
    </w:p>
    <w:p w14:paraId="4706CF73">
      <w:pPr>
        <w:pStyle w:val="5"/>
        <w:numPr>
          <w:ilvl w:val="0"/>
          <w:numId w:val="23"/>
        </w:numPr>
        <w:ind w:leftChars="0"/>
      </w:pPr>
      <w:r>
        <w:rPr>
          <w:rFonts w:hint="eastAsia"/>
        </w:rPr>
        <w:t>绿地是白云鄂博最直观的城市特色</w:t>
      </w:r>
    </w:p>
    <w:p w14:paraId="019D8969">
      <w:pPr>
        <w:spacing w:after="166"/>
        <w:ind w:firstLine="500"/>
        <w:rPr>
          <w:lang w:val="en-US"/>
        </w:rPr>
      </w:pPr>
      <w:r>
        <w:rPr>
          <w:rFonts w:hint="eastAsia"/>
          <w:lang w:val="en-US"/>
        </w:rPr>
        <w:t>白云鄂博矿区现状公园绿地的指标，已经达到国家生态园林城市、国家园林城市水平。现状建成区绿化覆盖率为45%，超过国家生态园林城市43%，国家园林城市41%的指标要求；城市绿地率约为28%，达到国家生态园林城市28% ，国家园林城市25%的指标要求；人均公园绿地面积超过60平方米，远远超过国家生态园林城市5.5平方米、国家园林城市5平米的指标要求；万人用用综合公园数1.0个，远远超过国家生态园林城市0.15个、国家园林城市0.1个的的指标要求。</w:t>
      </w:r>
    </w:p>
    <w:p w14:paraId="7C7DBA5A">
      <w:pPr>
        <w:pStyle w:val="5"/>
        <w:numPr>
          <w:ilvl w:val="0"/>
          <w:numId w:val="23"/>
        </w:numPr>
        <w:ind w:leftChars="0"/>
      </w:pPr>
      <w:r>
        <w:rPr>
          <w:rFonts w:hint="eastAsia"/>
        </w:rPr>
        <w:t>绿地结构与空间分布亟待提升</w:t>
      </w:r>
    </w:p>
    <w:p w14:paraId="20D60F20">
      <w:pPr>
        <w:spacing w:after="166"/>
        <w:ind w:firstLine="500"/>
        <w:rPr>
          <w:lang w:val="en-US"/>
        </w:rPr>
      </w:pPr>
      <w:r>
        <w:rPr>
          <w:rFonts w:hint="eastAsia"/>
          <w:lang w:val="en-US"/>
        </w:rPr>
        <w:t>现状公园绿地以综合公园为主，缺少社区公园，公园绿地服务半径覆盖率不足，城区西侧公园绿地较缺乏。</w:t>
      </w:r>
    </w:p>
    <w:p w14:paraId="501358D6">
      <w:pPr>
        <w:spacing w:after="166"/>
        <w:ind w:firstLine="500"/>
        <w:rPr>
          <w:lang w:val="en-US"/>
        </w:rPr>
      </w:pPr>
      <w:r>
        <w:rPr>
          <w:rFonts w:hint="eastAsia"/>
          <w:lang w:val="en-US"/>
        </w:rPr>
        <w:t>现状防护绿地主要分布在白云鄂博大街两侧，部分工业仓储用地、市政公用设施用地防护绿地亟需补齐。</w:t>
      </w:r>
    </w:p>
    <w:p w14:paraId="5EFBBB47">
      <w:pPr>
        <w:widowControl/>
        <w:spacing w:after="166"/>
        <w:ind w:firstLine="0" w:firstLineChars="0"/>
        <w:jc w:val="center"/>
      </w:pPr>
      <w:r>
        <w:drawing>
          <wp:inline distT="0" distB="0" distL="114300" distR="114300">
            <wp:extent cx="5083175" cy="4272280"/>
            <wp:effectExtent l="0" t="0" r="317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72"/>
                    <a:stretch>
                      <a:fillRect/>
                    </a:stretch>
                  </pic:blipFill>
                  <pic:spPr>
                    <a:xfrm>
                      <a:off x="0" y="0"/>
                      <a:ext cx="5084828" cy="4273518"/>
                    </a:xfrm>
                    <a:prstGeom prst="rect">
                      <a:avLst/>
                    </a:prstGeom>
                    <a:noFill/>
                    <a:ln>
                      <a:noFill/>
                    </a:ln>
                  </pic:spPr>
                </pic:pic>
              </a:graphicData>
            </a:graphic>
          </wp:inline>
        </w:drawing>
      </w:r>
    </w:p>
    <w:p w14:paraId="5C4ECD95">
      <w:pPr>
        <w:pStyle w:val="268"/>
      </w:pPr>
      <w:r>
        <w:rPr>
          <w:rFonts w:hint="eastAsia"/>
        </w:rPr>
        <w:t>图8-1 现状绿地与开敞空间分布图</w:t>
      </w:r>
    </w:p>
    <w:p w14:paraId="5A217DEA">
      <w:pPr>
        <w:pStyle w:val="3"/>
        <w:numPr>
          <w:ilvl w:val="1"/>
          <w:numId w:val="5"/>
        </w:numPr>
        <w:spacing w:before="332" w:after="166"/>
        <w:rPr>
          <w:rFonts w:hint="eastAsia"/>
        </w:rPr>
      </w:pPr>
      <w:r>
        <w:rPr>
          <w:rFonts w:hint="eastAsia"/>
        </w:rPr>
        <w:t>规划原则</w:t>
      </w:r>
    </w:p>
    <w:p w14:paraId="735C8E9B">
      <w:pPr>
        <w:pStyle w:val="5"/>
        <w:numPr>
          <w:ilvl w:val="0"/>
          <w:numId w:val="24"/>
        </w:numPr>
        <w:ind w:leftChars="0"/>
      </w:pPr>
      <w:r>
        <w:rPr>
          <w:rFonts w:hint="eastAsia"/>
        </w:rPr>
        <w:t>充分利用自然资源的原则</w:t>
      </w:r>
    </w:p>
    <w:p w14:paraId="3B3B204E">
      <w:pPr>
        <w:spacing w:after="166"/>
        <w:ind w:firstLine="500"/>
        <w:rPr>
          <w:lang w:val="en-US"/>
        </w:rPr>
      </w:pPr>
      <w:r>
        <w:rPr>
          <w:rFonts w:hint="eastAsia"/>
          <w:lang w:val="en-US"/>
        </w:rPr>
        <w:t>充分利用现状自然条件，保护和建立功能完善的生态环境系统，塑造出拥有良好的水绿自然体系的城市生态系统。</w:t>
      </w:r>
    </w:p>
    <w:p w14:paraId="0FE677EE">
      <w:pPr>
        <w:pStyle w:val="5"/>
        <w:numPr>
          <w:ilvl w:val="0"/>
          <w:numId w:val="24"/>
        </w:numPr>
        <w:ind w:leftChars="0"/>
      </w:pPr>
      <w:r>
        <w:rPr>
          <w:rFonts w:hint="eastAsia"/>
        </w:rPr>
        <w:t>体现城市特色原则</w:t>
      </w:r>
    </w:p>
    <w:p w14:paraId="376823C3">
      <w:pPr>
        <w:spacing w:after="166"/>
        <w:ind w:firstLine="500"/>
        <w:rPr>
          <w:lang w:val="en-US"/>
        </w:rPr>
      </w:pPr>
      <w:r>
        <w:rPr>
          <w:rFonts w:hint="eastAsia"/>
          <w:lang w:val="en-US"/>
        </w:rPr>
        <w:t>以创新的生态规划理念，结合矿区独特的自然资源禀赋，设置城市新型绿地景观廊道，打造城市名片，体现特色。</w:t>
      </w:r>
    </w:p>
    <w:p w14:paraId="41B57BE5">
      <w:pPr>
        <w:pStyle w:val="5"/>
        <w:numPr>
          <w:ilvl w:val="0"/>
          <w:numId w:val="24"/>
        </w:numPr>
        <w:ind w:leftChars="0"/>
      </w:pPr>
      <w:r>
        <w:rPr>
          <w:rFonts w:hint="eastAsia"/>
        </w:rPr>
        <w:t>改善人居环境的原则</w:t>
      </w:r>
    </w:p>
    <w:p w14:paraId="3952B127">
      <w:pPr>
        <w:spacing w:after="166"/>
        <w:ind w:firstLine="500"/>
        <w:rPr>
          <w:lang w:val="en-US"/>
        </w:rPr>
      </w:pPr>
      <w:r>
        <w:rPr>
          <w:rFonts w:hint="eastAsia"/>
          <w:lang w:val="en-US"/>
        </w:rPr>
        <w:t>大力提高综合公园和社区绿地的景观效果及文化内涵，构建高品质的人居环境。</w:t>
      </w:r>
    </w:p>
    <w:p w14:paraId="028D42EA">
      <w:pPr>
        <w:pStyle w:val="5"/>
        <w:numPr>
          <w:ilvl w:val="0"/>
          <w:numId w:val="24"/>
        </w:numPr>
        <w:ind w:leftChars="0"/>
      </w:pPr>
      <w:r>
        <w:rPr>
          <w:rFonts w:hint="eastAsia"/>
        </w:rPr>
        <w:t>增强资源共享的原则</w:t>
      </w:r>
    </w:p>
    <w:p w14:paraId="0FB30955">
      <w:pPr>
        <w:spacing w:after="166"/>
        <w:ind w:firstLine="500"/>
        <w:rPr>
          <w:lang w:val="en-US"/>
        </w:rPr>
      </w:pPr>
      <w:r>
        <w:rPr>
          <w:rFonts w:hint="eastAsia"/>
          <w:lang w:val="en-US"/>
        </w:rPr>
        <w:t>强调广场、建筑与沿街绿地的穿插组合和分段处理，以构成连续、多层次的共享性较强的活动空间。</w:t>
      </w:r>
    </w:p>
    <w:p w14:paraId="37428AC4">
      <w:pPr>
        <w:pStyle w:val="3"/>
        <w:numPr>
          <w:ilvl w:val="1"/>
          <w:numId w:val="5"/>
        </w:numPr>
        <w:spacing w:before="332" w:after="166"/>
        <w:rPr>
          <w:rFonts w:hint="eastAsia"/>
        </w:rPr>
      </w:pPr>
      <w:r>
        <w:rPr>
          <w:rFonts w:hint="eastAsia"/>
        </w:rPr>
        <w:t>规划理念</w:t>
      </w:r>
    </w:p>
    <w:p w14:paraId="0C7D7092">
      <w:pPr>
        <w:spacing w:after="166"/>
        <w:ind w:firstLine="500"/>
        <w:rPr>
          <w:lang w:val="en-US"/>
        </w:rPr>
      </w:pPr>
      <w:r>
        <w:rPr>
          <w:rFonts w:hint="eastAsia"/>
          <w:lang w:val="en-US"/>
        </w:rPr>
        <w:t>以生态建设为主导，完善绿地与开敞空间结构。提升已建设绿地的质量，加强对矿山公园的修复与综合利用，利用蓝绿空间体系构建合理的绿地网络系统，保护城市周边的自然生态环境，将白云鄂博矿区城区建设为人城产绿和谐的绿色城区。</w:t>
      </w:r>
    </w:p>
    <w:p w14:paraId="6FEF6B62">
      <w:pPr>
        <w:pStyle w:val="3"/>
        <w:numPr>
          <w:ilvl w:val="1"/>
          <w:numId w:val="5"/>
        </w:numPr>
        <w:spacing w:before="332" w:after="166"/>
        <w:rPr>
          <w:rFonts w:hint="eastAsia"/>
        </w:rPr>
      </w:pPr>
      <w:r>
        <w:rPr>
          <w:rFonts w:hint="eastAsia"/>
        </w:rPr>
        <w:t>绿地公园结构</w:t>
      </w:r>
    </w:p>
    <w:p w14:paraId="5985CAA1">
      <w:pPr>
        <w:spacing w:after="166"/>
        <w:ind w:firstLine="500"/>
        <w:rPr>
          <w:lang w:val="en-US"/>
        </w:rPr>
      </w:pPr>
      <w:r>
        <w:rPr>
          <w:rFonts w:hint="eastAsia"/>
          <w:lang w:val="en-US"/>
        </w:rPr>
        <w:t xml:space="preserve">以“分级配置、均好布局、蓝绿交融”为原则，规划形成“一廊、一带、多点”的绿地系统结构，形成“城区-邻里”两级绿地公园体系，实现 300 米见绿，500 米见园，营造 “园在城中、园景相融”的绿色生活环境。 </w:t>
      </w:r>
    </w:p>
    <w:p w14:paraId="6A8C79BA">
      <w:pPr>
        <w:spacing w:after="166"/>
        <w:ind w:firstLine="500"/>
        <w:rPr>
          <w:lang w:val="en-US"/>
        </w:rPr>
      </w:pPr>
      <w:r>
        <w:rPr>
          <w:rFonts w:hint="eastAsia"/>
          <w:lang w:val="en-US"/>
        </w:rPr>
        <w:t xml:space="preserve">“一廊”：指南北串联的“矿山公园-塔拉公园-湿地公园-丁香园”公园群形成的生态休闲游憩廊道，整合生态、游憩、文化、科普、景观、应急避难等综合功能，布局文化休闲场所，建设步移景异的空间场景，打造蓝绿交织、富有人文意境的市民公园。 </w:t>
      </w:r>
    </w:p>
    <w:p w14:paraId="6B1CFB9E">
      <w:pPr>
        <w:spacing w:after="166"/>
        <w:ind w:firstLine="500"/>
        <w:rPr>
          <w:lang w:val="en-US"/>
        </w:rPr>
      </w:pPr>
      <w:r>
        <w:rPr>
          <w:rFonts w:hint="eastAsia"/>
          <w:lang w:val="en-US"/>
        </w:rPr>
        <w:t xml:space="preserve">“一带”：指白云鄂博大街沿线形成的道路景观带。充分利用道路两侧生态防护距离，设置绿化开敞空间，营造线性门户景观，打造丰富的景观界面。 </w:t>
      </w:r>
    </w:p>
    <w:p w14:paraId="63B17630">
      <w:pPr>
        <w:spacing w:after="166"/>
        <w:ind w:firstLine="500"/>
        <w:rPr>
          <w:lang w:val="en-US"/>
        </w:rPr>
      </w:pPr>
      <w:r>
        <w:rPr>
          <w:rFonts w:hint="eastAsia"/>
          <w:lang w:val="en-US"/>
        </w:rPr>
        <w:t xml:space="preserve">“多点”：指规划区内人工或自然的绿化节点，引导带状沿路绿带集中化布局，形成游憩景点、口袋公园等。 </w:t>
      </w:r>
    </w:p>
    <w:p w14:paraId="0CEDD96F">
      <w:pPr>
        <w:widowControl/>
        <w:spacing w:after="166"/>
        <w:ind w:firstLine="0" w:firstLineChars="0"/>
        <w:jc w:val="left"/>
      </w:pPr>
      <w:r>
        <w:drawing>
          <wp:inline distT="0" distB="0" distL="114300" distR="114300">
            <wp:extent cx="5266055" cy="4584700"/>
            <wp:effectExtent l="0" t="0" r="10795" b="635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73"/>
                    <a:stretch>
                      <a:fillRect/>
                    </a:stretch>
                  </pic:blipFill>
                  <pic:spPr>
                    <a:xfrm>
                      <a:off x="0" y="0"/>
                      <a:ext cx="5266055" cy="4584700"/>
                    </a:xfrm>
                    <a:prstGeom prst="rect">
                      <a:avLst/>
                    </a:prstGeom>
                    <a:noFill/>
                    <a:ln>
                      <a:noFill/>
                    </a:ln>
                  </pic:spPr>
                </pic:pic>
              </a:graphicData>
            </a:graphic>
          </wp:inline>
        </w:drawing>
      </w:r>
    </w:p>
    <w:p w14:paraId="6648BE1B">
      <w:pPr>
        <w:pStyle w:val="117"/>
      </w:pPr>
      <w:r>
        <w:rPr>
          <w:rFonts w:hint="eastAsia"/>
        </w:rPr>
        <w:t>图8-2 绿地系统结构图</w:t>
      </w:r>
    </w:p>
    <w:p w14:paraId="3E9D0AC5">
      <w:pPr>
        <w:pStyle w:val="3"/>
        <w:numPr>
          <w:ilvl w:val="1"/>
          <w:numId w:val="5"/>
        </w:numPr>
        <w:spacing w:before="332" w:after="166"/>
        <w:rPr>
          <w:rFonts w:hint="eastAsia"/>
        </w:rPr>
      </w:pPr>
      <w:r>
        <w:rPr>
          <w:rFonts w:hint="eastAsia"/>
        </w:rPr>
        <w:t>绿地与开敞空间用地</w:t>
      </w:r>
    </w:p>
    <w:p w14:paraId="75121FF2">
      <w:pPr>
        <w:spacing w:after="166"/>
        <w:ind w:firstLine="500"/>
        <w:rPr>
          <w:lang w:val="en-US"/>
        </w:rPr>
      </w:pPr>
      <w:r>
        <w:rPr>
          <w:rFonts w:hint="eastAsia"/>
          <w:lang w:val="en-US"/>
        </w:rPr>
        <w:t xml:space="preserve">规划绿地与开敞空间用地面积180.63公顷，占规划区内建设用地总面积的 28.25%，人均绿地与开敞空间用地面积60.21平方米/人，其中规划公园绿地面积162.94公顷，人均公园绿地面积为54.31平方米/人。 </w:t>
      </w:r>
    </w:p>
    <w:p w14:paraId="11DB472A">
      <w:pPr>
        <w:spacing w:after="166"/>
        <w:ind w:firstLine="0" w:firstLineChars="0"/>
      </w:pPr>
      <w:r>
        <w:drawing>
          <wp:inline distT="0" distB="0" distL="114300" distR="114300">
            <wp:extent cx="5270500" cy="4267835"/>
            <wp:effectExtent l="0" t="0" r="6350" b="1841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74"/>
                    <a:stretch>
                      <a:fillRect/>
                    </a:stretch>
                  </pic:blipFill>
                  <pic:spPr>
                    <a:xfrm>
                      <a:off x="0" y="0"/>
                      <a:ext cx="5270500" cy="4267835"/>
                    </a:xfrm>
                    <a:prstGeom prst="rect">
                      <a:avLst/>
                    </a:prstGeom>
                    <a:noFill/>
                    <a:ln>
                      <a:noFill/>
                    </a:ln>
                  </pic:spPr>
                </pic:pic>
              </a:graphicData>
            </a:graphic>
          </wp:inline>
        </w:drawing>
      </w:r>
    </w:p>
    <w:p w14:paraId="74E89108">
      <w:pPr>
        <w:pStyle w:val="117"/>
        <w:rPr>
          <w:rFonts w:hint="eastAsia"/>
        </w:rPr>
      </w:pPr>
      <w:r>
        <w:rPr>
          <w:rFonts w:hint="eastAsia"/>
        </w:rPr>
        <w:t>图8-3 绿地与开敞空间用地分布规划图</w:t>
      </w:r>
    </w:p>
    <w:p w14:paraId="1A68C5AA">
      <w:pPr>
        <w:pStyle w:val="117"/>
        <w:rPr>
          <w:rFonts w:hint="eastAsia"/>
        </w:rPr>
      </w:pPr>
    </w:p>
    <w:p w14:paraId="1DD6F6D3">
      <w:pPr>
        <w:pStyle w:val="3"/>
        <w:numPr>
          <w:ilvl w:val="1"/>
          <w:numId w:val="5"/>
        </w:numPr>
        <w:spacing w:before="332" w:after="166"/>
        <w:rPr>
          <w:rFonts w:hint="eastAsia"/>
        </w:rPr>
      </w:pPr>
      <w:r>
        <w:rPr>
          <w:rFonts w:hint="eastAsia"/>
        </w:rPr>
        <w:t>绿地与开敞空间构成</w:t>
      </w:r>
    </w:p>
    <w:p w14:paraId="5F1BF271">
      <w:pPr>
        <w:pStyle w:val="4"/>
        <w:numPr>
          <w:ilvl w:val="2"/>
          <w:numId w:val="5"/>
        </w:numPr>
        <w:spacing w:before="332" w:after="166"/>
        <w:rPr>
          <w:rFonts w:hint="eastAsia"/>
          <w:lang w:val="en-US"/>
        </w:rPr>
      </w:pPr>
      <w:r>
        <w:rPr>
          <w:rFonts w:hint="eastAsia"/>
          <w:lang w:val="en-US"/>
        </w:rPr>
        <w:t>公园绿地</w:t>
      </w:r>
    </w:p>
    <w:p w14:paraId="6BD200AC">
      <w:pPr>
        <w:widowControl/>
        <w:spacing w:beforeAutospacing="1" w:after="166"/>
        <w:ind w:firstLine="500"/>
        <w:jc w:val="left"/>
      </w:pPr>
      <w:r>
        <w:rPr>
          <w:rFonts w:hint="eastAsia" w:ascii="宋体" w:hAnsi="宋体" w:cs="宋体"/>
          <w:lang w:val="en-US" w:bidi="ar"/>
        </w:rPr>
        <w:t>公园绿地由综合公园及</w:t>
      </w:r>
      <w:r>
        <w:rPr>
          <w:rFonts w:hint="eastAsia" w:ascii="宋体" w:hAnsi="宋体" w:cs="宋体"/>
          <w:lang w:val="en-US" w:eastAsia="zh" w:bidi="ar"/>
        </w:rPr>
        <w:t>社区</w:t>
      </w:r>
      <w:r>
        <w:rPr>
          <w:rFonts w:hint="eastAsia" w:ascii="宋体" w:hAnsi="宋体" w:cs="宋体"/>
          <w:lang w:val="en-US" w:bidi="ar"/>
        </w:rPr>
        <w:t>公园组成，主要包括矿山公园、塔拉公园、湿地公园、丁香园及多处</w:t>
      </w:r>
      <w:r>
        <w:rPr>
          <w:rFonts w:hint="eastAsia" w:ascii="宋体" w:hAnsi="宋体" w:cs="宋体"/>
          <w:lang w:val="en-US" w:eastAsia="zh" w:bidi="ar"/>
        </w:rPr>
        <w:t>社区</w:t>
      </w:r>
      <w:r>
        <w:rPr>
          <w:rFonts w:hint="eastAsia" w:ascii="宋体" w:hAnsi="宋体" w:cs="宋体"/>
          <w:lang w:val="en-US" w:bidi="ar"/>
        </w:rPr>
        <w:t>公园节点。规划公园绿地面积为</w:t>
      </w:r>
      <w:r>
        <w:rPr>
          <w:rFonts w:hint="eastAsia"/>
          <w:lang w:val="en-US" w:bidi="ar"/>
        </w:rPr>
        <w:t xml:space="preserve"> </w:t>
      </w:r>
      <w:r>
        <w:rPr>
          <w:lang w:val="en-US" w:bidi="ar"/>
        </w:rPr>
        <w:t>162.94</w:t>
      </w:r>
      <w:r>
        <w:rPr>
          <w:rFonts w:hint="eastAsia" w:ascii="宋体" w:hAnsi="宋体" w:cs="宋体"/>
          <w:lang w:val="en-US" w:bidi="ar"/>
        </w:rPr>
        <w:t>公顷，占建设用地总面积</w:t>
      </w:r>
      <w:r>
        <w:rPr>
          <w:lang w:val="en-US" w:bidi="ar"/>
        </w:rPr>
        <w:t>25.48%</w:t>
      </w:r>
      <w:r>
        <w:rPr>
          <w:rFonts w:hint="eastAsia" w:ascii="宋体" w:hAnsi="宋体" w:cs="宋体"/>
          <w:lang w:val="en-US" w:bidi="ar"/>
        </w:rPr>
        <w:t>。</w:t>
      </w:r>
      <w:r>
        <w:rPr>
          <w:rFonts w:hint="eastAsia"/>
          <w:lang w:val="en-US" w:bidi="ar"/>
        </w:rPr>
        <w:t xml:space="preserve"> </w:t>
      </w:r>
    </w:p>
    <w:p w14:paraId="199FC981">
      <w:pPr>
        <w:pStyle w:val="5"/>
        <w:numPr>
          <w:ilvl w:val="0"/>
          <w:numId w:val="25"/>
        </w:numPr>
      </w:pPr>
      <w:r>
        <w:rPr>
          <w:rFonts w:hint="eastAsia"/>
        </w:rPr>
        <w:t>防护绿地</w:t>
      </w:r>
    </w:p>
    <w:p w14:paraId="0013E1FA">
      <w:pPr>
        <w:widowControl/>
        <w:spacing w:beforeAutospacing="1" w:after="166"/>
        <w:ind w:firstLine="500"/>
        <w:jc w:val="left"/>
      </w:pPr>
      <w:r>
        <w:rPr>
          <w:rFonts w:hint="eastAsia" w:ascii="宋体" w:hAnsi="宋体" w:cs="宋体"/>
          <w:lang w:val="en-US" w:bidi="ar"/>
        </w:rPr>
        <w:t>防护绿地主要为交通和市政基础设施隔离防护绿地，规划防护绿地面积为</w:t>
      </w:r>
      <w:r>
        <w:rPr>
          <w:rFonts w:hint="eastAsia"/>
          <w:lang w:val="en-US" w:bidi="ar"/>
        </w:rPr>
        <w:t xml:space="preserve"> </w:t>
      </w:r>
      <w:r>
        <w:rPr>
          <w:lang w:val="en-US" w:bidi="ar"/>
        </w:rPr>
        <w:t>12.32</w:t>
      </w:r>
      <w:r>
        <w:rPr>
          <w:rFonts w:hint="eastAsia" w:ascii="宋体" w:hAnsi="宋体" w:cs="宋体"/>
          <w:lang w:val="en-US" w:bidi="ar"/>
        </w:rPr>
        <w:t>公顷，占建设用地总面积</w:t>
      </w:r>
      <w:r>
        <w:rPr>
          <w:lang w:val="en-US" w:bidi="ar"/>
        </w:rPr>
        <w:t>1.93%</w:t>
      </w:r>
      <w:r>
        <w:rPr>
          <w:rFonts w:hint="eastAsia" w:ascii="宋体" w:hAnsi="宋体" w:cs="宋体"/>
          <w:lang w:val="en-US" w:bidi="ar"/>
        </w:rPr>
        <w:t>。</w:t>
      </w:r>
      <w:r>
        <w:rPr>
          <w:rFonts w:hint="eastAsia"/>
          <w:lang w:val="en-US" w:bidi="ar"/>
        </w:rPr>
        <w:t xml:space="preserve"> </w:t>
      </w:r>
    </w:p>
    <w:p w14:paraId="5C713248">
      <w:pPr>
        <w:pStyle w:val="5"/>
        <w:numPr>
          <w:ilvl w:val="0"/>
          <w:numId w:val="25"/>
        </w:numPr>
      </w:pPr>
      <w:r>
        <w:rPr>
          <w:rFonts w:hint="eastAsia"/>
        </w:rPr>
        <w:t>广场用地</w:t>
      </w:r>
    </w:p>
    <w:p w14:paraId="346A02DB">
      <w:pPr>
        <w:widowControl/>
        <w:spacing w:beforeAutospacing="1" w:after="166"/>
        <w:ind w:firstLine="500"/>
        <w:jc w:val="left"/>
        <w:rPr>
          <w:lang w:val="en-US" w:bidi="ar"/>
        </w:rPr>
      </w:pPr>
      <w:r>
        <w:rPr>
          <w:rFonts w:hint="eastAsia" w:ascii="宋体" w:hAnsi="宋体" w:cs="宋体"/>
          <w:lang w:val="en-US" w:bidi="ar"/>
        </w:rPr>
        <w:t>规划布局</w:t>
      </w:r>
      <w:r>
        <w:rPr>
          <w:rFonts w:hint="eastAsia"/>
          <w:lang w:val="en-US" w:bidi="ar"/>
        </w:rPr>
        <w:t xml:space="preserve"> </w:t>
      </w:r>
      <w:r>
        <w:rPr>
          <w:lang w:val="en-US" w:bidi="ar"/>
        </w:rPr>
        <w:t>6</w:t>
      </w:r>
      <w:r>
        <w:rPr>
          <w:rFonts w:hint="eastAsia" w:ascii="宋体" w:hAnsi="宋体" w:cs="宋体"/>
          <w:lang w:val="en-US" w:bidi="ar"/>
        </w:rPr>
        <w:t>处广场，为通阳道与白云鄂博大街交叉口南侧</w:t>
      </w:r>
      <w:r>
        <w:rPr>
          <w:lang w:val="en-US" w:bidi="ar"/>
        </w:rPr>
        <w:t>2</w:t>
      </w:r>
      <w:r>
        <w:rPr>
          <w:rFonts w:hint="eastAsia" w:ascii="宋体" w:hAnsi="宋体" w:cs="宋体"/>
          <w:lang w:val="en-US" w:bidi="ar"/>
        </w:rPr>
        <w:t>处、区政府南侧、白云铁矿办公楼南侧、铁矿一小西侧、矿山路东端各</w:t>
      </w:r>
      <w:r>
        <w:rPr>
          <w:lang w:val="en-US" w:bidi="ar"/>
        </w:rPr>
        <w:t>1</w:t>
      </w:r>
      <w:r>
        <w:rPr>
          <w:rFonts w:hint="eastAsia" w:ascii="宋体" w:hAnsi="宋体" w:cs="宋体"/>
          <w:lang w:val="en-US" w:bidi="ar"/>
        </w:rPr>
        <w:t>处，规划广场用地面积为</w:t>
      </w:r>
      <w:r>
        <w:rPr>
          <w:lang w:val="en-US" w:bidi="ar"/>
        </w:rPr>
        <w:t>5.37</w:t>
      </w:r>
      <w:r>
        <w:rPr>
          <w:rFonts w:hint="eastAsia" w:ascii="宋体" w:hAnsi="宋体" w:cs="宋体"/>
          <w:lang w:val="en-US" w:bidi="ar"/>
        </w:rPr>
        <w:t>公顷，占建设用地总面积</w:t>
      </w:r>
      <w:r>
        <w:rPr>
          <w:lang w:val="en-US" w:bidi="ar"/>
        </w:rPr>
        <w:t>0.84%</w:t>
      </w:r>
      <w:r>
        <w:rPr>
          <w:rFonts w:hint="eastAsia" w:ascii="宋体" w:hAnsi="宋体" w:cs="宋体"/>
          <w:lang w:val="en-US" w:bidi="ar"/>
        </w:rPr>
        <w:t>。</w:t>
      </w:r>
      <w:r>
        <w:rPr>
          <w:rFonts w:hint="eastAsia"/>
          <w:lang w:val="en-US" w:bidi="ar"/>
        </w:rPr>
        <w:t xml:space="preserve"> </w:t>
      </w:r>
    </w:p>
    <w:p w14:paraId="00796996">
      <w:pPr>
        <w:pStyle w:val="117"/>
      </w:pPr>
      <w:r>
        <w:rPr>
          <w:rFonts w:hint="eastAsia"/>
        </w:rPr>
        <w:t>表8-1 绿地与开敞空间一览表</w:t>
      </w:r>
    </w:p>
    <w:tbl>
      <w:tblPr>
        <w:tblStyle w:val="36"/>
        <w:tblW w:w="5000" w:type="pct"/>
        <w:tblInd w:w="0" w:type="dxa"/>
        <w:tblLayout w:type="autofit"/>
        <w:tblCellMar>
          <w:top w:w="0" w:type="dxa"/>
          <w:left w:w="108" w:type="dxa"/>
          <w:bottom w:w="0" w:type="dxa"/>
          <w:right w:w="108" w:type="dxa"/>
        </w:tblCellMar>
      </w:tblPr>
      <w:tblGrid>
        <w:gridCol w:w="699"/>
        <w:gridCol w:w="1001"/>
        <w:gridCol w:w="1953"/>
        <w:gridCol w:w="1999"/>
        <w:gridCol w:w="1201"/>
        <w:gridCol w:w="975"/>
        <w:gridCol w:w="694"/>
      </w:tblGrid>
      <w:tr w14:paraId="7A40200B">
        <w:tblPrEx>
          <w:tblCellMar>
            <w:top w:w="0" w:type="dxa"/>
            <w:left w:w="108" w:type="dxa"/>
            <w:bottom w:w="0" w:type="dxa"/>
            <w:right w:w="108" w:type="dxa"/>
          </w:tblCellMar>
        </w:tblPrEx>
        <w:trPr>
          <w:trHeight w:val="113" w:hRule="atLeast"/>
        </w:trPr>
        <w:tc>
          <w:tcPr>
            <w:tcW w:w="410" w:type="pct"/>
            <w:tcBorders>
              <w:top w:val="single" w:color="000000" w:sz="12" w:space="0"/>
              <w:left w:val="single" w:color="000000" w:sz="12" w:space="0"/>
              <w:bottom w:val="single" w:color="000000" w:sz="4" w:space="0"/>
              <w:right w:val="single" w:color="000000" w:sz="4" w:space="0"/>
              <w:tl2br w:val="nil"/>
            </w:tcBorders>
            <w:shd w:val="clear" w:color="auto" w:fill="FFFFFF"/>
            <w:vAlign w:val="center"/>
          </w:tcPr>
          <w:p w14:paraId="2F98A7E2">
            <w:pPr>
              <w:pStyle w:val="115"/>
              <w:jc w:val="center"/>
              <w:rPr>
                <w:b w:val="0"/>
                <w:color w:val="000000"/>
                <w:szCs w:val="18"/>
              </w:rPr>
            </w:pPr>
            <w:r>
              <w:rPr>
                <w:rFonts w:hint="eastAsia"/>
                <w:b w:val="0"/>
                <w:color w:val="000000"/>
                <w:szCs w:val="18"/>
              </w:rPr>
              <w:t>序号</w:t>
            </w:r>
          </w:p>
        </w:tc>
        <w:tc>
          <w:tcPr>
            <w:tcW w:w="587"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267365CC">
            <w:pPr>
              <w:pStyle w:val="115"/>
              <w:jc w:val="center"/>
              <w:rPr>
                <w:b w:val="0"/>
                <w:color w:val="000000"/>
                <w:szCs w:val="18"/>
              </w:rPr>
            </w:pPr>
            <w:r>
              <w:rPr>
                <w:rFonts w:hint="eastAsia"/>
                <w:b w:val="0"/>
                <w:color w:val="000000"/>
                <w:szCs w:val="18"/>
              </w:rPr>
              <w:t>绿地广场类型</w:t>
            </w:r>
          </w:p>
        </w:tc>
        <w:tc>
          <w:tcPr>
            <w:tcW w:w="1145"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75F46E1A">
            <w:pPr>
              <w:pStyle w:val="115"/>
              <w:jc w:val="center"/>
              <w:rPr>
                <w:b w:val="0"/>
                <w:color w:val="000000"/>
                <w:szCs w:val="18"/>
              </w:rPr>
            </w:pPr>
            <w:r>
              <w:rPr>
                <w:rFonts w:hint="eastAsia"/>
                <w:b w:val="0"/>
                <w:color w:val="000000"/>
                <w:szCs w:val="18"/>
              </w:rPr>
              <w:t>绿地广场名称</w:t>
            </w:r>
          </w:p>
        </w:tc>
        <w:tc>
          <w:tcPr>
            <w:tcW w:w="1172"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03E2CB86">
            <w:pPr>
              <w:pStyle w:val="115"/>
              <w:jc w:val="center"/>
              <w:rPr>
                <w:b w:val="0"/>
                <w:color w:val="000000"/>
                <w:szCs w:val="18"/>
              </w:rPr>
            </w:pPr>
            <w:r>
              <w:rPr>
                <w:rFonts w:hint="eastAsia"/>
                <w:b w:val="0"/>
                <w:color w:val="000000"/>
                <w:szCs w:val="18"/>
              </w:rPr>
              <w:t>地块编号</w:t>
            </w:r>
          </w:p>
        </w:tc>
        <w:tc>
          <w:tcPr>
            <w:tcW w:w="704"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7F585166">
            <w:pPr>
              <w:pStyle w:val="115"/>
              <w:jc w:val="center"/>
              <w:rPr>
                <w:b w:val="0"/>
                <w:color w:val="000000"/>
                <w:szCs w:val="18"/>
              </w:rPr>
            </w:pPr>
            <w:r>
              <w:rPr>
                <w:rFonts w:hint="eastAsia"/>
                <w:b w:val="0"/>
                <w:color w:val="000000"/>
                <w:szCs w:val="18"/>
              </w:rPr>
              <w:t>用地面积（m2）</w:t>
            </w:r>
          </w:p>
        </w:tc>
        <w:tc>
          <w:tcPr>
            <w:tcW w:w="572"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1AC8A465">
            <w:pPr>
              <w:pStyle w:val="115"/>
              <w:jc w:val="center"/>
              <w:rPr>
                <w:b w:val="0"/>
                <w:color w:val="000000"/>
                <w:szCs w:val="18"/>
              </w:rPr>
            </w:pPr>
            <w:r>
              <w:rPr>
                <w:rFonts w:hint="eastAsia"/>
                <w:b w:val="0"/>
                <w:color w:val="000000"/>
                <w:szCs w:val="18"/>
              </w:rPr>
              <w:t>控制类型</w:t>
            </w:r>
          </w:p>
        </w:tc>
        <w:tc>
          <w:tcPr>
            <w:tcW w:w="407" w:type="pct"/>
            <w:tcBorders>
              <w:top w:val="single" w:color="000000" w:sz="12" w:space="0"/>
              <w:left w:val="single" w:color="000000" w:sz="4" w:space="0"/>
              <w:bottom w:val="single" w:color="000000" w:sz="4" w:space="0"/>
              <w:right w:val="single" w:color="000000" w:sz="12" w:space="0"/>
            </w:tcBorders>
            <w:shd w:val="clear" w:color="auto" w:fill="FFFFFF"/>
            <w:vAlign w:val="center"/>
          </w:tcPr>
          <w:p w14:paraId="380A673A">
            <w:pPr>
              <w:pStyle w:val="115"/>
              <w:jc w:val="center"/>
              <w:rPr>
                <w:b w:val="0"/>
                <w:color w:val="000000"/>
                <w:szCs w:val="18"/>
              </w:rPr>
            </w:pPr>
            <w:r>
              <w:rPr>
                <w:rFonts w:hint="eastAsia"/>
                <w:b w:val="0"/>
                <w:color w:val="000000"/>
                <w:szCs w:val="18"/>
              </w:rPr>
              <w:t>规划状态</w:t>
            </w:r>
          </w:p>
        </w:tc>
      </w:tr>
      <w:tr w14:paraId="43C84E23">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3D54DDBA">
            <w:pPr>
              <w:pStyle w:val="115"/>
              <w:jc w:val="center"/>
              <w:rPr>
                <w:b w:val="0"/>
                <w:color w:val="000000"/>
                <w:szCs w:val="18"/>
              </w:rPr>
            </w:pPr>
            <w:r>
              <w:rPr>
                <w:rFonts w:hint="eastAsia"/>
                <w:b w:val="0"/>
                <w:color w:val="000000"/>
                <w:szCs w:val="18"/>
              </w:rPr>
              <w:t>1</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E872F8F">
            <w:pPr>
              <w:pStyle w:val="115"/>
              <w:jc w:val="center"/>
              <w:rPr>
                <w:b w:val="0"/>
                <w:color w:val="000000"/>
                <w:szCs w:val="18"/>
              </w:rPr>
            </w:pPr>
            <w:r>
              <w:rPr>
                <w:rFonts w:hint="eastAsia"/>
                <w:b w:val="0"/>
                <w:color w:val="000000"/>
                <w:szCs w:val="18"/>
              </w:rPr>
              <w:t>公园绿地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0853CAF">
            <w:pPr>
              <w:pStyle w:val="115"/>
              <w:rPr>
                <w:b w:val="0"/>
                <w:color w:val="000000"/>
                <w:szCs w:val="18"/>
              </w:rPr>
            </w:pPr>
            <w:r>
              <w:rPr>
                <w:rFonts w:hint="eastAsia"/>
                <w:b w:val="0"/>
                <w:color w:val="000000"/>
                <w:szCs w:val="18"/>
              </w:rPr>
              <w:t>矿山公园</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F63B025">
            <w:pPr>
              <w:pStyle w:val="115"/>
              <w:jc w:val="center"/>
              <w:rPr>
                <w:b w:val="0"/>
                <w:color w:val="000000"/>
                <w:szCs w:val="18"/>
              </w:rPr>
            </w:pPr>
            <w:r>
              <w:rPr>
                <w:rFonts w:hint="eastAsia"/>
                <w:b w:val="0"/>
                <w:color w:val="000000"/>
                <w:szCs w:val="18"/>
              </w:rPr>
              <w:t>150206001202001-02</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C43BD4F">
            <w:pPr>
              <w:pStyle w:val="115"/>
              <w:jc w:val="center"/>
              <w:rPr>
                <w:b w:val="0"/>
                <w:color w:val="000000"/>
                <w:szCs w:val="18"/>
              </w:rPr>
            </w:pPr>
            <w:r>
              <w:rPr>
                <w:rFonts w:hint="eastAsia"/>
                <w:b w:val="0"/>
                <w:color w:val="000000"/>
                <w:szCs w:val="18"/>
              </w:rPr>
              <w:t>803888.67</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D1E130F">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7A78862E">
            <w:pPr>
              <w:pStyle w:val="115"/>
              <w:jc w:val="center"/>
              <w:rPr>
                <w:b w:val="0"/>
                <w:color w:val="000000"/>
                <w:szCs w:val="18"/>
              </w:rPr>
            </w:pPr>
            <w:r>
              <w:rPr>
                <w:rFonts w:hint="eastAsia"/>
                <w:b w:val="0"/>
                <w:color w:val="000000"/>
                <w:szCs w:val="18"/>
              </w:rPr>
              <w:t>现状</w:t>
            </w:r>
          </w:p>
        </w:tc>
      </w:tr>
      <w:tr w14:paraId="787CC415">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4C16CE71">
            <w:pPr>
              <w:pStyle w:val="115"/>
              <w:jc w:val="center"/>
              <w:rPr>
                <w:b w:val="0"/>
                <w:color w:val="000000"/>
                <w:szCs w:val="18"/>
              </w:rPr>
            </w:pPr>
            <w:r>
              <w:rPr>
                <w:rFonts w:hint="eastAsia"/>
                <w:b w:val="0"/>
                <w:color w:val="000000"/>
                <w:szCs w:val="18"/>
              </w:rPr>
              <w:t>2</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4A87792">
            <w:pPr>
              <w:pStyle w:val="115"/>
              <w:jc w:val="center"/>
              <w:rPr>
                <w:b w:val="0"/>
                <w:color w:val="000000"/>
                <w:szCs w:val="18"/>
              </w:rPr>
            </w:pPr>
            <w:r>
              <w:rPr>
                <w:rFonts w:hint="eastAsia"/>
                <w:b w:val="0"/>
                <w:color w:val="000000"/>
                <w:szCs w:val="18"/>
              </w:rPr>
              <w:t>防护绿地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AA448DC">
            <w:pPr>
              <w:pStyle w:val="115"/>
              <w:rPr>
                <w:b w:val="0"/>
                <w:color w:val="000000"/>
                <w:szCs w:val="18"/>
              </w:rPr>
            </w:pPr>
            <w:r>
              <w:rPr>
                <w:rFonts w:hint="eastAsia"/>
                <w:b w:val="0"/>
                <w:color w:val="000000"/>
                <w:szCs w:val="18"/>
              </w:rPr>
              <w:t>规划防护绿地01</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3F0D6CB">
            <w:pPr>
              <w:pStyle w:val="115"/>
              <w:jc w:val="center"/>
              <w:rPr>
                <w:b w:val="0"/>
                <w:color w:val="000000"/>
                <w:szCs w:val="18"/>
              </w:rPr>
            </w:pPr>
            <w:r>
              <w:rPr>
                <w:rFonts w:hint="eastAsia"/>
                <w:b w:val="0"/>
                <w:color w:val="000000"/>
                <w:szCs w:val="18"/>
              </w:rPr>
              <w:t>150206001202001-37</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A9CA948">
            <w:pPr>
              <w:pStyle w:val="115"/>
              <w:jc w:val="center"/>
              <w:rPr>
                <w:b w:val="0"/>
                <w:color w:val="000000"/>
                <w:szCs w:val="18"/>
              </w:rPr>
            </w:pPr>
            <w:r>
              <w:rPr>
                <w:rFonts w:hint="eastAsia"/>
                <w:b w:val="0"/>
                <w:color w:val="000000"/>
                <w:szCs w:val="18"/>
              </w:rPr>
              <w:t>8202.71</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591AFA5">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3699AC3D">
            <w:pPr>
              <w:pStyle w:val="115"/>
              <w:jc w:val="center"/>
              <w:rPr>
                <w:b w:val="0"/>
                <w:color w:val="000000"/>
                <w:szCs w:val="18"/>
              </w:rPr>
            </w:pPr>
            <w:r>
              <w:rPr>
                <w:rFonts w:hint="eastAsia"/>
                <w:b w:val="0"/>
                <w:color w:val="000000"/>
                <w:szCs w:val="18"/>
              </w:rPr>
              <w:t>规划</w:t>
            </w:r>
          </w:p>
        </w:tc>
      </w:tr>
      <w:tr w14:paraId="2E30A6C4">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1DF3C50B">
            <w:pPr>
              <w:pStyle w:val="115"/>
              <w:jc w:val="center"/>
              <w:rPr>
                <w:b w:val="0"/>
                <w:color w:val="000000"/>
                <w:szCs w:val="18"/>
              </w:rPr>
            </w:pPr>
            <w:r>
              <w:rPr>
                <w:rFonts w:hint="eastAsia"/>
                <w:b w:val="0"/>
                <w:color w:val="000000"/>
                <w:szCs w:val="18"/>
              </w:rPr>
              <w:t>3</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2343714">
            <w:pPr>
              <w:pStyle w:val="115"/>
              <w:jc w:val="center"/>
              <w:rPr>
                <w:b w:val="0"/>
                <w:color w:val="000000"/>
                <w:szCs w:val="18"/>
              </w:rPr>
            </w:pPr>
            <w:r>
              <w:rPr>
                <w:rFonts w:hint="eastAsia"/>
                <w:b w:val="0"/>
                <w:color w:val="000000"/>
                <w:szCs w:val="18"/>
              </w:rPr>
              <w:t>广场用地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FA36383">
            <w:pPr>
              <w:pStyle w:val="115"/>
              <w:rPr>
                <w:b w:val="0"/>
                <w:color w:val="000000"/>
                <w:szCs w:val="18"/>
              </w:rPr>
            </w:pPr>
            <w:r>
              <w:rPr>
                <w:rFonts w:hint="eastAsia"/>
                <w:b w:val="0"/>
                <w:color w:val="000000"/>
                <w:szCs w:val="18"/>
              </w:rPr>
              <w:t>矿山路广场</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5A8C4CB">
            <w:pPr>
              <w:pStyle w:val="115"/>
              <w:jc w:val="center"/>
              <w:rPr>
                <w:b w:val="0"/>
                <w:color w:val="000000"/>
                <w:szCs w:val="18"/>
              </w:rPr>
            </w:pPr>
            <w:r>
              <w:rPr>
                <w:rFonts w:hint="eastAsia"/>
                <w:b w:val="0"/>
                <w:color w:val="000000"/>
                <w:szCs w:val="18"/>
              </w:rPr>
              <w:t>150206001202001-40</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B34241C">
            <w:pPr>
              <w:pStyle w:val="115"/>
              <w:jc w:val="center"/>
              <w:rPr>
                <w:b w:val="0"/>
                <w:color w:val="000000"/>
                <w:szCs w:val="18"/>
              </w:rPr>
            </w:pPr>
            <w:r>
              <w:rPr>
                <w:rFonts w:hint="eastAsia"/>
                <w:b w:val="0"/>
                <w:color w:val="000000"/>
                <w:szCs w:val="18"/>
              </w:rPr>
              <w:t>881.31</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B3F7082">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356407B5">
            <w:pPr>
              <w:pStyle w:val="115"/>
              <w:jc w:val="center"/>
              <w:rPr>
                <w:b w:val="0"/>
                <w:color w:val="000000"/>
                <w:szCs w:val="18"/>
              </w:rPr>
            </w:pPr>
            <w:r>
              <w:rPr>
                <w:rFonts w:hint="eastAsia"/>
                <w:b w:val="0"/>
                <w:color w:val="000000"/>
                <w:szCs w:val="18"/>
              </w:rPr>
              <w:t>现状</w:t>
            </w:r>
          </w:p>
        </w:tc>
      </w:tr>
      <w:tr w14:paraId="73F6ED7B">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7C346FCC">
            <w:pPr>
              <w:pStyle w:val="115"/>
              <w:jc w:val="center"/>
              <w:rPr>
                <w:b w:val="0"/>
                <w:color w:val="000000"/>
                <w:szCs w:val="18"/>
              </w:rPr>
            </w:pPr>
            <w:r>
              <w:rPr>
                <w:rFonts w:hint="eastAsia"/>
                <w:b w:val="0"/>
                <w:color w:val="000000"/>
                <w:szCs w:val="18"/>
              </w:rPr>
              <w:t>4</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96D6D61">
            <w:pPr>
              <w:pStyle w:val="115"/>
              <w:jc w:val="center"/>
              <w:rPr>
                <w:b w:val="0"/>
                <w:color w:val="000000"/>
                <w:szCs w:val="18"/>
              </w:rPr>
            </w:pPr>
            <w:r>
              <w:rPr>
                <w:rFonts w:hint="eastAsia"/>
                <w:b w:val="0"/>
                <w:color w:val="000000"/>
                <w:szCs w:val="18"/>
              </w:rPr>
              <w:t>公园绿地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2ACF032">
            <w:pPr>
              <w:pStyle w:val="115"/>
              <w:rPr>
                <w:b w:val="0"/>
                <w:color w:val="000000"/>
                <w:szCs w:val="18"/>
              </w:rPr>
            </w:pPr>
            <w:r>
              <w:rPr>
                <w:rFonts w:hint="eastAsia"/>
                <w:b w:val="0"/>
                <w:color w:val="000000"/>
                <w:szCs w:val="18"/>
              </w:rPr>
              <w:t>塔拉公园01</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6D1BB53">
            <w:pPr>
              <w:pStyle w:val="115"/>
              <w:jc w:val="center"/>
              <w:rPr>
                <w:b w:val="0"/>
                <w:color w:val="000000"/>
                <w:szCs w:val="18"/>
              </w:rPr>
            </w:pPr>
            <w:r>
              <w:rPr>
                <w:rFonts w:hint="eastAsia"/>
                <w:b w:val="0"/>
                <w:color w:val="000000"/>
                <w:szCs w:val="18"/>
              </w:rPr>
              <w:t>150206001202002-17</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B52444F">
            <w:pPr>
              <w:pStyle w:val="115"/>
              <w:jc w:val="center"/>
              <w:rPr>
                <w:b w:val="0"/>
                <w:color w:val="000000"/>
                <w:szCs w:val="18"/>
              </w:rPr>
            </w:pPr>
            <w:r>
              <w:rPr>
                <w:rFonts w:hint="eastAsia"/>
                <w:b w:val="0"/>
                <w:color w:val="000000"/>
                <w:szCs w:val="18"/>
              </w:rPr>
              <w:t>51279.23</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D38A255">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35CC6C09">
            <w:pPr>
              <w:pStyle w:val="115"/>
              <w:jc w:val="center"/>
              <w:rPr>
                <w:b w:val="0"/>
                <w:color w:val="000000"/>
                <w:szCs w:val="18"/>
              </w:rPr>
            </w:pPr>
            <w:r>
              <w:rPr>
                <w:rFonts w:hint="eastAsia"/>
                <w:b w:val="0"/>
                <w:color w:val="000000"/>
                <w:szCs w:val="18"/>
              </w:rPr>
              <w:t>现状</w:t>
            </w:r>
          </w:p>
        </w:tc>
      </w:tr>
      <w:tr w14:paraId="72A2B485">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08039CAC">
            <w:pPr>
              <w:pStyle w:val="115"/>
              <w:jc w:val="center"/>
              <w:rPr>
                <w:b w:val="0"/>
                <w:color w:val="000000"/>
                <w:szCs w:val="18"/>
              </w:rPr>
            </w:pPr>
            <w:r>
              <w:rPr>
                <w:rFonts w:hint="eastAsia"/>
                <w:b w:val="0"/>
                <w:color w:val="000000"/>
                <w:szCs w:val="18"/>
              </w:rPr>
              <w:t>5</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65F98AB">
            <w:pPr>
              <w:pStyle w:val="115"/>
              <w:jc w:val="center"/>
              <w:rPr>
                <w:b w:val="0"/>
                <w:color w:val="000000"/>
                <w:szCs w:val="18"/>
              </w:rPr>
            </w:pPr>
            <w:r>
              <w:rPr>
                <w:rFonts w:hint="eastAsia"/>
                <w:b w:val="0"/>
                <w:color w:val="000000"/>
                <w:szCs w:val="18"/>
              </w:rPr>
              <w:t>公园绿地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F9778CB">
            <w:pPr>
              <w:pStyle w:val="115"/>
              <w:rPr>
                <w:b w:val="0"/>
                <w:color w:val="000000"/>
                <w:szCs w:val="18"/>
              </w:rPr>
            </w:pPr>
            <w:r>
              <w:rPr>
                <w:rFonts w:hint="eastAsia"/>
                <w:b w:val="0"/>
                <w:color w:val="000000"/>
                <w:szCs w:val="18"/>
              </w:rPr>
              <w:t>塔拉公园02</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ABF1D88">
            <w:pPr>
              <w:pStyle w:val="115"/>
              <w:jc w:val="center"/>
              <w:rPr>
                <w:b w:val="0"/>
                <w:color w:val="000000"/>
                <w:szCs w:val="18"/>
              </w:rPr>
            </w:pPr>
            <w:r>
              <w:rPr>
                <w:rFonts w:hint="eastAsia"/>
                <w:b w:val="0"/>
                <w:color w:val="000000"/>
                <w:szCs w:val="18"/>
              </w:rPr>
              <w:t>150206001202002-22</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CDC0986">
            <w:pPr>
              <w:pStyle w:val="115"/>
              <w:jc w:val="center"/>
              <w:rPr>
                <w:b w:val="0"/>
                <w:color w:val="000000"/>
                <w:szCs w:val="18"/>
              </w:rPr>
            </w:pPr>
            <w:r>
              <w:rPr>
                <w:rFonts w:hint="eastAsia"/>
                <w:b w:val="0"/>
                <w:color w:val="000000"/>
                <w:szCs w:val="18"/>
              </w:rPr>
              <w:t>6282.27</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B33587C">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34996B39">
            <w:pPr>
              <w:pStyle w:val="115"/>
              <w:jc w:val="center"/>
              <w:rPr>
                <w:b w:val="0"/>
                <w:color w:val="000000"/>
                <w:szCs w:val="18"/>
              </w:rPr>
            </w:pPr>
            <w:r>
              <w:rPr>
                <w:rFonts w:hint="eastAsia"/>
                <w:b w:val="0"/>
                <w:color w:val="000000"/>
                <w:szCs w:val="18"/>
              </w:rPr>
              <w:t>现状</w:t>
            </w:r>
          </w:p>
        </w:tc>
      </w:tr>
      <w:tr w14:paraId="3AC20D38">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646F1A2D">
            <w:pPr>
              <w:pStyle w:val="115"/>
              <w:jc w:val="center"/>
              <w:rPr>
                <w:b w:val="0"/>
                <w:color w:val="000000"/>
                <w:szCs w:val="18"/>
              </w:rPr>
            </w:pPr>
            <w:r>
              <w:rPr>
                <w:rFonts w:hint="eastAsia"/>
                <w:b w:val="0"/>
                <w:color w:val="000000"/>
                <w:szCs w:val="18"/>
              </w:rPr>
              <w:t>6</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D159D1E">
            <w:pPr>
              <w:pStyle w:val="115"/>
              <w:jc w:val="center"/>
              <w:rPr>
                <w:b w:val="0"/>
                <w:color w:val="000000"/>
                <w:szCs w:val="18"/>
              </w:rPr>
            </w:pPr>
            <w:r>
              <w:rPr>
                <w:rFonts w:hint="eastAsia"/>
                <w:b w:val="0"/>
                <w:color w:val="000000"/>
                <w:szCs w:val="18"/>
              </w:rPr>
              <w:t>公园绿地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264D221">
            <w:pPr>
              <w:pStyle w:val="115"/>
              <w:rPr>
                <w:b w:val="0"/>
                <w:color w:val="000000"/>
                <w:szCs w:val="18"/>
              </w:rPr>
            </w:pPr>
            <w:r>
              <w:rPr>
                <w:rFonts w:hint="eastAsia"/>
                <w:b w:val="0"/>
                <w:color w:val="000000"/>
                <w:szCs w:val="18"/>
              </w:rPr>
              <w:t>塔拉公园03</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3E03C6D">
            <w:pPr>
              <w:pStyle w:val="115"/>
              <w:jc w:val="center"/>
              <w:rPr>
                <w:b w:val="0"/>
                <w:color w:val="000000"/>
                <w:szCs w:val="18"/>
              </w:rPr>
            </w:pPr>
            <w:r>
              <w:rPr>
                <w:rFonts w:hint="eastAsia"/>
                <w:b w:val="0"/>
                <w:color w:val="000000"/>
                <w:szCs w:val="18"/>
              </w:rPr>
              <w:t>150206001202002-26</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FDD69A1">
            <w:pPr>
              <w:pStyle w:val="115"/>
              <w:jc w:val="center"/>
              <w:rPr>
                <w:b w:val="0"/>
                <w:color w:val="000000"/>
                <w:szCs w:val="18"/>
              </w:rPr>
            </w:pPr>
            <w:r>
              <w:rPr>
                <w:rFonts w:hint="eastAsia"/>
                <w:b w:val="0"/>
                <w:color w:val="000000"/>
                <w:szCs w:val="18"/>
              </w:rPr>
              <w:t>10994.65</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E42037C">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5AAAD1B3">
            <w:pPr>
              <w:pStyle w:val="115"/>
              <w:jc w:val="center"/>
              <w:rPr>
                <w:b w:val="0"/>
                <w:color w:val="000000"/>
                <w:szCs w:val="18"/>
              </w:rPr>
            </w:pPr>
            <w:r>
              <w:rPr>
                <w:rFonts w:hint="eastAsia"/>
                <w:b w:val="0"/>
                <w:color w:val="000000"/>
                <w:szCs w:val="18"/>
              </w:rPr>
              <w:t>现状</w:t>
            </w:r>
          </w:p>
        </w:tc>
      </w:tr>
      <w:tr w14:paraId="5899E99A">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6BD5B2AB">
            <w:pPr>
              <w:pStyle w:val="115"/>
              <w:jc w:val="center"/>
              <w:rPr>
                <w:b w:val="0"/>
                <w:color w:val="000000"/>
                <w:szCs w:val="18"/>
              </w:rPr>
            </w:pPr>
            <w:r>
              <w:rPr>
                <w:rFonts w:hint="eastAsia"/>
                <w:b w:val="0"/>
                <w:color w:val="000000"/>
                <w:szCs w:val="18"/>
              </w:rPr>
              <w:t>7</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7A7FC8F">
            <w:pPr>
              <w:pStyle w:val="115"/>
              <w:jc w:val="center"/>
              <w:rPr>
                <w:b w:val="0"/>
                <w:color w:val="000000"/>
                <w:szCs w:val="18"/>
              </w:rPr>
            </w:pPr>
            <w:r>
              <w:rPr>
                <w:rFonts w:hint="eastAsia"/>
                <w:b w:val="0"/>
                <w:color w:val="000000"/>
                <w:szCs w:val="18"/>
              </w:rPr>
              <w:t>公园绿地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B5E1D86">
            <w:pPr>
              <w:pStyle w:val="115"/>
              <w:rPr>
                <w:b w:val="0"/>
                <w:color w:val="000000"/>
                <w:szCs w:val="18"/>
              </w:rPr>
            </w:pPr>
            <w:r>
              <w:rPr>
                <w:rFonts w:hint="eastAsia"/>
                <w:b w:val="0"/>
                <w:color w:val="000000"/>
                <w:szCs w:val="18"/>
              </w:rPr>
              <w:t>塔拉公园04</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23C435D">
            <w:pPr>
              <w:pStyle w:val="115"/>
              <w:jc w:val="center"/>
              <w:rPr>
                <w:b w:val="0"/>
                <w:color w:val="000000"/>
                <w:szCs w:val="18"/>
              </w:rPr>
            </w:pPr>
            <w:r>
              <w:rPr>
                <w:rFonts w:hint="eastAsia"/>
                <w:b w:val="0"/>
                <w:color w:val="000000"/>
                <w:szCs w:val="18"/>
              </w:rPr>
              <w:t>150206001202002-29</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EFF1726">
            <w:pPr>
              <w:pStyle w:val="115"/>
              <w:jc w:val="center"/>
              <w:rPr>
                <w:b w:val="0"/>
                <w:color w:val="000000"/>
                <w:szCs w:val="18"/>
              </w:rPr>
            </w:pPr>
            <w:r>
              <w:rPr>
                <w:rFonts w:hint="eastAsia"/>
                <w:b w:val="0"/>
                <w:color w:val="000000"/>
                <w:szCs w:val="18"/>
              </w:rPr>
              <w:t>29742.63</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1CC6C0D">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4C5AE924">
            <w:pPr>
              <w:pStyle w:val="115"/>
              <w:jc w:val="center"/>
              <w:rPr>
                <w:b w:val="0"/>
                <w:color w:val="000000"/>
                <w:szCs w:val="18"/>
              </w:rPr>
            </w:pPr>
            <w:r>
              <w:rPr>
                <w:rFonts w:hint="eastAsia"/>
                <w:b w:val="0"/>
                <w:color w:val="000000"/>
                <w:szCs w:val="18"/>
              </w:rPr>
              <w:t>现状</w:t>
            </w:r>
          </w:p>
        </w:tc>
      </w:tr>
      <w:tr w14:paraId="2DDC55B6">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0C40EF36">
            <w:pPr>
              <w:pStyle w:val="115"/>
              <w:jc w:val="center"/>
              <w:rPr>
                <w:b w:val="0"/>
                <w:color w:val="000000"/>
                <w:szCs w:val="18"/>
              </w:rPr>
            </w:pPr>
            <w:r>
              <w:rPr>
                <w:rFonts w:hint="eastAsia"/>
                <w:b w:val="0"/>
                <w:color w:val="000000"/>
                <w:szCs w:val="18"/>
              </w:rPr>
              <w:t>8</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B8575BF">
            <w:pPr>
              <w:pStyle w:val="115"/>
              <w:jc w:val="center"/>
              <w:rPr>
                <w:b w:val="0"/>
                <w:color w:val="000000"/>
                <w:szCs w:val="18"/>
              </w:rPr>
            </w:pPr>
            <w:r>
              <w:rPr>
                <w:rFonts w:hint="eastAsia"/>
                <w:b w:val="0"/>
                <w:color w:val="000000"/>
                <w:szCs w:val="18"/>
              </w:rPr>
              <w:t>广场用地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83BF7F6">
            <w:pPr>
              <w:pStyle w:val="115"/>
              <w:rPr>
                <w:b w:val="0"/>
                <w:color w:val="000000"/>
                <w:szCs w:val="18"/>
              </w:rPr>
            </w:pPr>
            <w:r>
              <w:rPr>
                <w:rFonts w:hint="eastAsia"/>
                <w:b w:val="0"/>
                <w:color w:val="000000"/>
                <w:szCs w:val="18"/>
              </w:rPr>
              <w:t>百灵广场</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98B0FCD">
            <w:pPr>
              <w:pStyle w:val="115"/>
              <w:jc w:val="center"/>
              <w:rPr>
                <w:b w:val="0"/>
                <w:color w:val="000000"/>
                <w:szCs w:val="18"/>
              </w:rPr>
            </w:pPr>
            <w:r>
              <w:rPr>
                <w:rFonts w:hint="eastAsia"/>
                <w:b w:val="0"/>
                <w:color w:val="000000"/>
                <w:szCs w:val="18"/>
              </w:rPr>
              <w:t>150206001202002-35</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E6151AD">
            <w:pPr>
              <w:pStyle w:val="115"/>
              <w:jc w:val="center"/>
              <w:rPr>
                <w:b w:val="0"/>
                <w:color w:val="000000"/>
                <w:szCs w:val="18"/>
              </w:rPr>
            </w:pPr>
            <w:r>
              <w:rPr>
                <w:rFonts w:hint="eastAsia"/>
                <w:b w:val="0"/>
                <w:color w:val="000000"/>
                <w:szCs w:val="18"/>
              </w:rPr>
              <w:t>2698.26</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183DD7B">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04ADD79B">
            <w:pPr>
              <w:pStyle w:val="115"/>
              <w:jc w:val="center"/>
              <w:rPr>
                <w:b w:val="0"/>
                <w:color w:val="000000"/>
                <w:szCs w:val="18"/>
              </w:rPr>
            </w:pPr>
            <w:r>
              <w:rPr>
                <w:rFonts w:hint="eastAsia"/>
                <w:b w:val="0"/>
                <w:color w:val="000000"/>
                <w:szCs w:val="18"/>
              </w:rPr>
              <w:t>现状</w:t>
            </w:r>
          </w:p>
        </w:tc>
      </w:tr>
      <w:tr w14:paraId="04AED36E">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1D993C5F">
            <w:pPr>
              <w:pStyle w:val="115"/>
              <w:jc w:val="center"/>
              <w:rPr>
                <w:b w:val="0"/>
                <w:color w:val="000000"/>
                <w:szCs w:val="18"/>
              </w:rPr>
            </w:pPr>
            <w:r>
              <w:rPr>
                <w:rFonts w:hint="eastAsia"/>
                <w:b w:val="0"/>
                <w:color w:val="000000"/>
                <w:szCs w:val="18"/>
              </w:rPr>
              <w:t>9</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62571D5">
            <w:pPr>
              <w:pStyle w:val="115"/>
              <w:jc w:val="center"/>
              <w:rPr>
                <w:b w:val="0"/>
                <w:color w:val="000000"/>
                <w:szCs w:val="18"/>
              </w:rPr>
            </w:pPr>
            <w:r>
              <w:rPr>
                <w:rFonts w:hint="eastAsia"/>
                <w:b w:val="0"/>
                <w:color w:val="000000"/>
                <w:szCs w:val="18"/>
              </w:rPr>
              <w:t>广场用地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3160D24">
            <w:pPr>
              <w:pStyle w:val="115"/>
              <w:rPr>
                <w:b w:val="0"/>
                <w:color w:val="000000"/>
                <w:szCs w:val="18"/>
              </w:rPr>
            </w:pPr>
            <w:r>
              <w:rPr>
                <w:rFonts w:hint="eastAsia"/>
                <w:b w:val="0"/>
                <w:color w:val="000000"/>
                <w:szCs w:val="18"/>
              </w:rPr>
              <w:t>铁矿广场</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8052BDE">
            <w:pPr>
              <w:pStyle w:val="115"/>
              <w:jc w:val="center"/>
              <w:rPr>
                <w:b w:val="0"/>
                <w:color w:val="000000"/>
                <w:szCs w:val="18"/>
              </w:rPr>
            </w:pPr>
            <w:r>
              <w:rPr>
                <w:rFonts w:hint="eastAsia"/>
                <w:b w:val="0"/>
                <w:color w:val="000000"/>
                <w:szCs w:val="18"/>
              </w:rPr>
              <w:t>150206001202002-37</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DB03B3B">
            <w:pPr>
              <w:pStyle w:val="115"/>
              <w:jc w:val="center"/>
              <w:rPr>
                <w:b w:val="0"/>
                <w:color w:val="000000"/>
                <w:szCs w:val="18"/>
              </w:rPr>
            </w:pPr>
            <w:r>
              <w:rPr>
                <w:rFonts w:hint="eastAsia"/>
                <w:b w:val="0"/>
                <w:color w:val="000000"/>
                <w:szCs w:val="18"/>
              </w:rPr>
              <w:t>4148.58</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521C529">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6A724BD5">
            <w:pPr>
              <w:pStyle w:val="115"/>
              <w:jc w:val="center"/>
              <w:rPr>
                <w:b w:val="0"/>
                <w:color w:val="000000"/>
                <w:szCs w:val="18"/>
              </w:rPr>
            </w:pPr>
            <w:r>
              <w:rPr>
                <w:rFonts w:hint="eastAsia"/>
                <w:b w:val="0"/>
                <w:color w:val="000000"/>
                <w:szCs w:val="18"/>
              </w:rPr>
              <w:t>现状</w:t>
            </w:r>
          </w:p>
        </w:tc>
      </w:tr>
      <w:tr w14:paraId="23038B47">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30105C9F">
            <w:pPr>
              <w:pStyle w:val="115"/>
              <w:jc w:val="center"/>
              <w:rPr>
                <w:b w:val="0"/>
                <w:color w:val="000000"/>
                <w:szCs w:val="18"/>
              </w:rPr>
            </w:pPr>
            <w:r>
              <w:rPr>
                <w:rFonts w:hint="eastAsia"/>
                <w:b w:val="0"/>
                <w:color w:val="000000"/>
                <w:szCs w:val="18"/>
              </w:rPr>
              <w:t>10</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C63902A">
            <w:pPr>
              <w:pStyle w:val="115"/>
              <w:jc w:val="center"/>
              <w:rPr>
                <w:b w:val="0"/>
                <w:color w:val="000000"/>
                <w:szCs w:val="18"/>
              </w:rPr>
            </w:pPr>
            <w:r>
              <w:rPr>
                <w:rFonts w:hint="eastAsia"/>
                <w:b w:val="0"/>
                <w:color w:val="000000"/>
                <w:szCs w:val="18"/>
              </w:rPr>
              <w:t>防护绿地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D24DC36">
            <w:pPr>
              <w:pStyle w:val="115"/>
              <w:rPr>
                <w:b w:val="0"/>
                <w:color w:val="000000"/>
                <w:szCs w:val="18"/>
              </w:rPr>
            </w:pPr>
            <w:r>
              <w:rPr>
                <w:rFonts w:hint="eastAsia"/>
                <w:b w:val="0"/>
                <w:color w:val="000000"/>
                <w:szCs w:val="18"/>
              </w:rPr>
              <w:t>规划防护绿地02</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D10E8F6">
            <w:pPr>
              <w:pStyle w:val="115"/>
              <w:jc w:val="center"/>
              <w:rPr>
                <w:b w:val="0"/>
                <w:color w:val="000000"/>
                <w:szCs w:val="18"/>
              </w:rPr>
            </w:pPr>
            <w:r>
              <w:rPr>
                <w:rFonts w:hint="eastAsia"/>
                <w:b w:val="0"/>
                <w:color w:val="000000"/>
                <w:szCs w:val="18"/>
              </w:rPr>
              <w:t>150206001202002-51</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046D75A">
            <w:pPr>
              <w:pStyle w:val="115"/>
              <w:jc w:val="center"/>
              <w:rPr>
                <w:b w:val="0"/>
                <w:color w:val="000000"/>
                <w:szCs w:val="18"/>
              </w:rPr>
            </w:pPr>
            <w:r>
              <w:rPr>
                <w:rFonts w:hint="eastAsia"/>
                <w:b w:val="0"/>
                <w:color w:val="000000"/>
                <w:szCs w:val="18"/>
              </w:rPr>
              <w:t>7406.29</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79C9FB7">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5FF057CA">
            <w:pPr>
              <w:pStyle w:val="115"/>
              <w:jc w:val="center"/>
              <w:rPr>
                <w:b w:val="0"/>
                <w:color w:val="000000"/>
                <w:szCs w:val="18"/>
              </w:rPr>
            </w:pPr>
            <w:r>
              <w:rPr>
                <w:rFonts w:hint="eastAsia"/>
                <w:b w:val="0"/>
                <w:color w:val="000000"/>
                <w:szCs w:val="18"/>
              </w:rPr>
              <w:t>规划</w:t>
            </w:r>
          </w:p>
        </w:tc>
      </w:tr>
      <w:tr w14:paraId="45ED4B6C">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11C6C2E9">
            <w:pPr>
              <w:pStyle w:val="115"/>
              <w:jc w:val="center"/>
              <w:rPr>
                <w:b w:val="0"/>
                <w:color w:val="000000"/>
                <w:szCs w:val="18"/>
              </w:rPr>
            </w:pPr>
            <w:r>
              <w:rPr>
                <w:rFonts w:hint="eastAsia"/>
                <w:b w:val="0"/>
                <w:color w:val="000000"/>
                <w:szCs w:val="18"/>
              </w:rPr>
              <w:t>11</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07E4D50">
            <w:pPr>
              <w:pStyle w:val="115"/>
              <w:jc w:val="center"/>
              <w:rPr>
                <w:b w:val="0"/>
                <w:color w:val="000000"/>
                <w:szCs w:val="18"/>
              </w:rPr>
            </w:pPr>
            <w:r>
              <w:rPr>
                <w:rFonts w:hint="eastAsia"/>
                <w:b w:val="0"/>
                <w:color w:val="000000"/>
                <w:szCs w:val="18"/>
              </w:rPr>
              <w:t>公园绿地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77962E9">
            <w:pPr>
              <w:pStyle w:val="115"/>
              <w:rPr>
                <w:b w:val="0"/>
                <w:color w:val="000000"/>
                <w:szCs w:val="18"/>
              </w:rPr>
            </w:pPr>
            <w:r>
              <w:rPr>
                <w:rFonts w:hint="eastAsia"/>
                <w:b w:val="0"/>
                <w:color w:val="000000"/>
                <w:szCs w:val="18"/>
              </w:rPr>
              <w:t>规划社区公园01</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BE63A4A">
            <w:pPr>
              <w:pStyle w:val="115"/>
              <w:jc w:val="center"/>
              <w:rPr>
                <w:b w:val="0"/>
                <w:color w:val="000000"/>
                <w:szCs w:val="18"/>
              </w:rPr>
            </w:pPr>
            <w:r>
              <w:rPr>
                <w:rFonts w:hint="eastAsia"/>
                <w:b w:val="0"/>
                <w:color w:val="000000"/>
                <w:szCs w:val="18"/>
              </w:rPr>
              <w:t>150206001202002-55</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8E4AAF2">
            <w:pPr>
              <w:pStyle w:val="115"/>
              <w:jc w:val="center"/>
              <w:rPr>
                <w:b w:val="0"/>
                <w:color w:val="000000"/>
                <w:szCs w:val="18"/>
              </w:rPr>
            </w:pPr>
            <w:r>
              <w:rPr>
                <w:rFonts w:hint="eastAsia"/>
                <w:b w:val="0"/>
                <w:color w:val="000000"/>
                <w:szCs w:val="18"/>
              </w:rPr>
              <w:t>3842.55</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B190991">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694D35DB">
            <w:pPr>
              <w:pStyle w:val="115"/>
              <w:jc w:val="center"/>
              <w:rPr>
                <w:b w:val="0"/>
                <w:color w:val="000000"/>
                <w:szCs w:val="18"/>
              </w:rPr>
            </w:pPr>
            <w:r>
              <w:rPr>
                <w:rFonts w:hint="eastAsia"/>
                <w:b w:val="0"/>
                <w:color w:val="000000"/>
                <w:szCs w:val="18"/>
              </w:rPr>
              <w:t>规划</w:t>
            </w:r>
          </w:p>
        </w:tc>
      </w:tr>
      <w:tr w14:paraId="3FDCF01F">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2919CB57">
            <w:pPr>
              <w:pStyle w:val="115"/>
              <w:jc w:val="center"/>
              <w:rPr>
                <w:b w:val="0"/>
                <w:color w:val="000000"/>
                <w:szCs w:val="18"/>
              </w:rPr>
            </w:pPr>
            <w:r>
              <w:rPr>
                <w:rFonts w:hint="eastAsia"/>
                <w:b w:val="0"/>
                <w:color w:val="000000"/>
                <w:szCs w:val="18"/>
              </w:rPr>
              <w:t>12</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6AC4A73">
            <w:pPr>
              <w:pStyle w:val="115"/>
              <w:jc w:val="center"/>
              <w:rPr>
                <w:b w:val="0"/>
                <w:color w:val="000000"/>
                <w:szCs w:val="18"/>
              </w:rPr>
            </w:pPr>
            <w:r>
              <w:rPr>
                <w:rFonts w:hint="eastAsia"/>
                <w:b w:val="0"/>
                <w:color w:val="000000"/>
                <w:szCs w:val="18"/>
              </w:rPr>
              <w:t>防护绿地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E28D6E0">
            <w:pPr>
              <w:pStyle w:val="115"/>
              <w:rPr>
                <w:b w:val="0"/>
                <w:color w:val="000000"/>
                <w:szCs w:val="18"/>
              </w:rPr>
            </w:pPr>
            <w:r>
              <w:rPr>
                <w:rFonts w:hint="eastAsia"/>
                <w:b w:val="0"/>
                <w:color w:val="000000"/>
                <w:szCs w:val="18"/>
              </w:rPr>
              <w:t>规划防护绿地03</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329B62A">
            <w:pPr>
              <w:pStyle w:val="115"/>
              <w:jc w:val="center"/>
              <w:rPr>
                <w:b w:val="0"/>
                <w:color w:val="000000"/>
                <w:szCs w:val="18"/>
              </w:rPr>
            </w:pPr>
            <w:r>
              <w:rPr>
                <w:rFonts w:hint="eastAsia"/>
                <w:b w:val="0"/>
                <w:color w:val="000000"/>
                <w:szCs w:val="18"/>
              </w:rPr>
              <w:t>150206001202002-60</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1D5F4CA">
            <w:pPr>
              <w:pStyle w:val="115"/>
              <w:jc w:val="center"/>
              <w:rPr>
                <w:b w:val="0"/>
                <w:color w:val="000000"/>
                <w:szCs w:val="18"/>
              </w:rPr>
            </w:pPr>
            <w:r>
              <w:rPr>
                <w:rFonts w:hint="eastAsia"/>
                <w:b w:val="0"/>
                <w:color w:val="000000"/>
                <w:szCs w:val="18"/>
              </w:rPr>
              <w:t>1455.04</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C3FC250">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59AEB3EE">
            <w:pPr>
              <w:pStyle w:val="115"/>
              <w:jc w:val="center"/>
              <w:rPr>
                <w:b w:val="0"/>
                <w:color w:val="000000"/>
                <w:szCs w:val="18"/>
              </w:rPr>
            </w:pPr>
            <w:r>
              <w:rPr>
                <w:rFonts w:hint="eastAsia"/>
                <w:b w:val="0"/>
                <w:color w:val="000000"/>
                <w:szCs w:val="18"/>
              </w:rPr>
              <w:t>规划</w:t>
            </w:r>
          </w:p>
        </w:tc>
      </w:tr>
      <w:tr w14:paraId="21860CFA">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0124536B">
            <w:pPr>
              <w:pStyle w:val="115"/>
              <w:jc w:val="center"/>
              <w:rPr>
                <w:b w:val="0"/>
                <w:color w:val="000000"/>
                <w:szCs w:val="18"/>
              </w:rPr>
            </w:pPr>
            <w:r>
              <w:rPr>
                <w:rFonts w:hint="eastAsia"/>
                <w:b w:val="0"/>
                <w:color w:val="000000"/>
                <w:szCs w:val="18"/>
              </w:rPr>
              <w:t>13</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5BF8624">
            <w:pPr>
              <w:pStyle w:val="115"/>
              <w:jc w:val="center"/>
              <w:rPr>
                <w:b w:val="0"/>
                <w:color w:val="000000"/>
                <w:szCs w:val="18"/>
              </w:rPr>
            </w:pPr>
            <w:r>
              <w:rPr>
                <w:rFonts w:hint="eastAsia"/>
                <w:b w:val="0"/>
                <w:color w:val="000000"/>
                <w:szCs w:val="18"/>
              </w:rPr>
              <w:t>防护绿地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5A56BE0">
            <w:pPr>
              <w:pStyle w:val="115"/>
              <w:rPr>
                <w:b w:val="0"/>
                <w:color w:val="000000"/>
                <w:szCs w:val="18"/>
              </w:rPr>
            </w:pPr>
            <w:r>
              <w:rPr>
                <w:rFonts w:hint="eastAsia"/>
                <w:b w:val="0"/>
                <w:color w:val="000000"/>
                <w:szCs w:val="18"/>
              </w:rPr>
              <w:t>规划防护绿地04</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612A877">
            <w:pPr>
              <w:pStyle w:val="115"/>
              <w:jc w:val="center"/>
              <w:rPr>
                <w:b w:val="0"/>
                <w:color w:val="000000"/>
                <w:szCs w:val="18"/>
              </w:rPr>
            </w:pPr>
            <w:r>
              <w:rPr>
                <w:rFonts w:hint="eastAsia"/>
                <w:b w:val="0"/>
                <w:color w:val="000000"/>
                <w:szCs w:val="18"/>
              </w:rPr>
              <w:t>150206001202002-64</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B437C9B">
            <w:pPr>
              <w:pStyle w:val="115"/>
              <w:jc w:val="center"/>
              <w:rPr>
                <w:b w:val="0"/>
                <w:color w:val="000000"/>
                <w:szCs w:val="18"/>
              </w:rPr>
            </w:pPr>
            <w:r>
              <w:rPr>
                <w:rFonts w:hint="eastAsia"/>
                <w:b w:val="0"/>
                <w:color w:val="000000"/>
                <w:szCs w:val="18"/>
              </w:rPr>
              <w:t>8789.64</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2C426B8">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3F905765">
            <w:pPr>
              <w:pStyle w:val="115"/>
              <w:jc w:val="center"/>
              <w:rPr>
                <w:b w:val="0"/>
                <w:color w:val="000000"/>
                <w:szCs w:val="18"/>
              </w:rPr>
            </w:pPr>
            <w:r>
              <w:rPr>
                <w:rFonts w:hint="eastAsia"/>
                <w:b w:val="0"/>
                <w:color w:val="000000"/>
                <w:szCs w:val="18"/>
              </w:rPr>
              <w:t>规划</w:t>
            </w:r>
          </w:p>
        </w:tc>
      </w:tr>
      <w:tr w14:paraId="11CF5F64">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2FCAD094">
            <w:pPr>
              <w:pStyle w:val="115"/>
              <w:jc w:val="center"/>
              <w:rPr>
                <w:b w:val="0"/>
                <w:color w:val="000000"/>
                <w:szCs w:val="18"/>
              </w:rPr>
            </w:pPr>
            <w:r>
              <w:rPr>
                <w:rFonts w:hint="eastAsia"/>
                <w:b w:val="0"/>
                <w:color w:val="000000"/>
                <w:szCs w:val="18"/>
              </w:rPr>
              <w:t>14</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7235F2A">
            <w:pPr>
              <w:pStyle w:val="115"/>
              <w:jc w:val="center"/>
              <w:rPr>
                <w:b w:val="0"/>
                <w:color w:val="000000"/>
                <w:szCs w:val="18"/>
              </w:rPr>
            </w:pPr>
            <w:r>
              <w:rPr>
                <w:rFonts w:hint="eastAsia"/>
                <w:b w:val="0"/>
                <w:color w:val="000000"/>
                <w:szCs w:val="18"/>
              </w:rPr>
              <w:t>公园绿地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DF6A1EE">
            <w:pPr>
              <w:pStyle w:val="115"/>
              <w:rPr>
                <w:b w:val="0"/>
                <w:color w:val="000000"/>
                <w:szCs w:val="18"/>
              </w:rPr>
            </w:pPr>
            <w:r>
              <w:rPr>
                <w:rFonts w:hint="eastAsia"/>
                <w:b w:val="0"/>
                <w:color w:val="000000"/>
                <w:szCs w:val="18"/>
              </w:rPr>
              <w:t>叶藤公园</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52A2795">
            <w:pPr>
              <w:pStyle w:val="115"/>
              <w:jc w:val="center"/>
              <w:rPr>
                <w:b w:val="0"/>
                <w:color w:val="000000"/>
                <w:szCs w:val="18"/>
              </w:rPr>
            </w:pPr>
            <w:r>
              <w:rPr>
                <w:rFonts w:hint="eastAsia"/>
                <w:b w:val="0"/>
                <w:color w:val="000000"/>
                <w:szCs w:val="18"/>
              </w:rPr>
              <w:t>150206001202002-68</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708EE82">
            <w:pPr>
              <w:pStyle w:val="115"/>
              <w:jc w:val="center"/>
              <w:rPr>
                <w:b w:val="0"/>
                <w:color w:val="000000"/>
                <w:szCs w:val="18"/>
              </w:rPr>
            </w:pPr>
            <w:r>
              <w:rPr>
                <w:rFonts w:hint="eastAsia"/>
                <w:b w:val="0"/>
                <w:color w:val="000000"/>
                <w:szCs w:val="18"/>
              </w:rPr>
              <w:t>47998.35</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F915AD2">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5A5CDF26">
            <w:pPr>
              <w:pStyle w:val="115"/>
              <w:jc w:val="center"/>
              <w:rPr>
                <w:b w:val="0"/>
                <w:color w:val="000000"/>
                <w:szCs w:val="18"/>
              </w:rPr>
            </w:pPr>
            <w:r>
              <w:rPr>
                <w:rFonts w:hint="eastAsia"/>
                <w:b w:val="0"/>
                <w:color w:val="000000"/>
                <w:szCs w:val="18"/>
              </w:rPr>
              <w:t>现状</w:t>
            </w:r>
          </w:p>
        </w:tc>
      </w:tr>
      <w:tr w14:paraId="65E9E224">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14BB66C6">
            <w:pPr>
              <w:pStyle w:val="115"/>
              <w:jc w:val="center"/>
              <w:rPr>
                <w:b w:val="0"/>
                <w:color w:val="000000"/>
                <w:szCs w:val="18"/>
              </w:rPr>
            </w:pPr>
            <w:r>
              <w:rPr>
                <w:rFonts w:hint="eastAsia"/>
                <w:b w:val="0"/>
                <w:color w:val="000000"/>
                <w:szCs w:val="18"/>
              </w:rPr>
              <w:t>15</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52AE4C1">
            <w:pPr>
              <w:pStyle w:val="115"/>
              <w:jc w:val="center"/>
              <w:rPr>
                <w:b w:val="0"/>
                <w:color w:val="000000"/>
                <w:szCs w:val="18"/>
              </w:rPr>
            </w:pPr>
            <w:r>
              <w:rPr>
                <w:rFonts w:hint="eastAsia"/>
                <w:b w:val="0"/>
                <w:color w:val="000000"/>
                <w:szCs w:val="18"/>
              </w:rPr>
              <w:t>公园绿地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046C6B4">
            <w:pPr>
              <w:pStyle w:val="115"/>
              <w:rPr>
                <w:b w:val="0"/>
                <w:color w:val="000000"/>
                <w:szCs w:val="18"/>
              </w:rPr>
            </w:pPr>
            <w:r>
              <w:rPr>
                <w:rFonts w:hint="eastAsia"/>
                <w:b w:val="0"/>
                <w:color w:val="000000"/>
                <w:szCs w:val="18"/>
              </w:rPr>
              <w:t>通阳道沿线公园</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D89E80E">
            <w:pPr>
              <w:pStyle w:val="115"/>
              <w:jc w:val="center"/>
              <w:rPr>
                <w:b w:val="0"/>
                <w:color w:val="000000"/>
                <w:szCs w:val="18"/>
              </w:rPr>
            </w:pPr>
            <w:r>
              <w:rPr>
                <w:rFonts w:hint="eastAsia"/>
                <w:b w:val="0"/>
                <w:color w:val="000000"/>
                <w:szCs w:val="18"/>
              </w:rPr>
              <w:t>150206001202003-08</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2AA2786">
            <w:pPr>
              <w:pStyle w:val="115"/>
              <w:jc w:val="center"/>
              <w:rPr>
                <w:b w:val="0"/>
                <w:color w:val="000000"/>
                <w:szCs w:val="18"/>
              </w:rPr>
            </w:pPr>
            <w:r>
              <w:rPr>
                <w:rFonts w:hint="eastAsia"/>
                <w:b w:val="0"/>
                <w:color w:val="000000"/>
                <w:szCs w:val="18"/>
              </w:rPr>
              <w:t>3070.04</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0692869">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1A710ADA">
            <w:pPr>
              <w:pStyle w:val="115"/>
              <w:jc w:val="center"/>
              <w:rPr>
                <w:b w:val="0"/>
                <w:color w:val="000000"/>
                <w:szCs w:val="18"/>
              </w:rPr>
            </w:pPr>
            <w:r>
              <w:rPr>
                <w:rFonts w:hint="eastAsia"/>
                <w:b w:val="0"/>
                <w:color w:val="000000"/>
                <w:szCs w:val="18"/>
              </w:rPr>
              <w:t>现状</w:t>
            </w:r>
          </w:p>
        </w:tc>
      </w:tr>
      <w:tr w14:paraId="11FEAFB7">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5AE689D1">
            <w:pPr>
              <w:pStyle w:val="115"/>
              <w:jc w:val="center"/>
              <w:rPr>
                <w:b w:val="0"/>
                <w:color w:val="000000"/>
                <w:szCs w:val="18"/>
              </w:rPr>
            </w:pPr>
            <w:r>
              <w:rPr>
                <w:rFonts w:hint="eastAsia"/>
                <w:b w:val="0"/>
                <w:color w:val="000000"/>
                <w:szCs w:val="18"/>
              </w:rPr>
              <w:t>16</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E71FCDD">
            <w:pPr>
              <w:pStyle w:val="115"/>
              <w:jc w:val="center"/>
              <w:rPr>
                <w:b w:val="0"/>
                <w:color w:val="000000"/>
                <w:szCs w:val="18"/>
              </w:rPr>
            </w:pPr>
            <w:r>
              <w:rPr>
                <w:rFonts w:hint="eastAsia"/>
                <w:b w:val="0"/>
                <w:color w:val="000000"/>
                <w:szCs w:val="18"/>
              </w:rPr>
              <w:t>防护绿地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4DB2B64">
            <w:pPr>
              <w:pStyle w:val="115"/>
              <w:rPr>
                <w:b w:val="0"/>
                <w:color w:val="000000"/>
                <w:szCs w:val="18"/>
              </w:rPr>
            </w:pPr>
            <w:r>
              <w:rPr>
                <w:rFonts w:hint="eastAsia"/>
                <w:b w:val="0"/>
                <w:color w:val="000000"/>
                <w:szCs w:val="18"/>
              </w:rPr>
              <w:t>白云鄂博大街防护绿地01</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5CA866C">
            <w:pPr>
              <w:pStyle w:val="115"/>
              <w:jc w:val="center"/>
              <w:rPr>
                <w:b w:val="0"/>
                <w:color w:val="000000"/>
                <w:szCs w:val="18"/>
              </w:rPr>
            </w:pPr>
            <w:r>
              <w:rPr>
                <w:rFonts w:hint="eastAsia"/>
                <w:b w:val="0"/>
                <w:color w:val="000000"/>
                <w:szCs w:val="18"/>
              </w:rPr>
              <w:t>150206001202003-21</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DCA9C2E">
            <w:pPr>
              <w:pStyle w:val="115"/>
              <w:jc w:val="center"/>
              <w:rPr>
                <w:b w:val="0"/>
                <w:color w:val="000000"/>
                <w:szCs w:val="18"/>
              </w:rPr>
            </w:pPr>
            <w:r>
              <w:rPr>
                <w:rFonts w:hint="eastAsia"/>
                <w:b w:val="0"/>
                <w:color w:val="000000"/>
                <w:szCs w:val="18"/>
              </w:rPr>
              <w:t>6425.33</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7534267">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7E140443">
            <w:pPr>
              <w:pStyle w:val="115"/>
              <w:jc w:val="center"/>
              <w:rPr>
                <w:b w:val="0"/>
                <w:color w:val="000000"/>
                <w:szCs w:val="18"/>
              </w:rPr>
            </w:pPr>
            <w:r>
              <w:rPr>
                <w:rFonts w:hint="eastAsia"/>
                <w:b w:val="0"/>
                <w:color w:val="000000"/>
                <w:szCs w:val="18"/>
              </w:rPr>
              <w:t>现状</w:t>
            </w:r>
          </w:p>
        </w:tc>
      </w:tr>
      <w:tr w14:paraId="425C876B">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76B72693">
            <w:pPr>
              <w:pStyle w:val="115"/>
              <w:jc w:val="center"/>
              <w:rPr>
                <w:b w:val="0"/>
                <w:color w:val="000000"/>
                <w:szCs w:val="18"/>
              </w:rPr>
            </w:pPr>
            <w:r>
              <w:rPr>
                <w:rFonts w:hint="eastAsia"/>
                <w:b w:val="0"/>
                <w:color w:val="000000"/>
                <w:szCs w:val="18"/>
              </w:rPr>
              <w:t>17</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3855A92">
            <w:pPr>
              <w:pStyle w:val="115"/>
              <w:jc w:val="center"/>
              <w:rPr>
                <w:b w:val="0"/>
                <w:color w:val="000000"/>
                <w:szCs w:val="18"/>
              </w:rPr>
            </w:pPr>
            <w:r>
              <w:rPr>
                <w:rFonts w:hint="eastAsia"/>
                <w:b w:val="0"/>
                <w:color w:val="000000"/>
                <w:szCs w:val="18"/>
              </w:rPr>
              <w:t>广场用地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4968612">
            <w:pPr>
              <w:pStyle w:val="115"/>
              <w:rPr>
                <w:b w:val="0"/>
                <w:color w:val="000000"/>
                <w:szCs w:val="18"/>
              </w:rPr>
            </w:pPr>
            <w:r>
              <w:rPr>
                <w:rFonts w:hint="eastAsia"/>
                <w:b w:val="0"/>
                <w:color w:val="000000"/>
                <w:szCs w:val="18"/>
              </w:rPr>
              <w:t>稀土广场</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A925F80">
            <w:pPr>
              <w:pStyle w:val="115"/>
              <w:jc w:val="center"/>
              <w:rPr>
                <w:b w:val="0"/>
                <w:color w:val="000000"/>
                <w:szCs w:val="18"/>
              </w:rPr>
            </w:pPr>
            <w:r>
              <w:rPr>
                <w:rFonts w:hint="eastAsia"/>
                <w:b w:val="0"/>
                <w:color w:val="000000"/>
                <w:szCs w:val="18"/>
              </w:rPr>
              <w:t>150206001202003-24</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53B1661">
            <w:pPr>
              <w:pStyle w:val="115"/>
              <w:jc w:val="center"/>
              <w:rPr>
                <w:b w:val="0"/>
                <w:color w:val="000000"/>
                <w:szCs w:val="18"/>
              </w:rPr>
            </w:pPr>
            <w:r>
              <w:rPr>
                <w:rFonts w:hint="eastAsia"/>
                <w:b w:val="0"/>
                <w:color w:val="000000"/>
                <w:szCs w:val="18"/>
              </w:rPr>
              <w:t>35922.98</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6CAEAEF">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1795CF5E">
            <w:pPr>
              <w:pStyle w:val="115"/>
              <w:jc w:val="center"/>
              <w:rPr>
                <w:b w:val="0"/>
                <w:color w:val="000000"/>
                <w:szCs w:val="18"/>
              </w:rPr>
            </w:pPr>
            <w:r>
              <w:rPr>
                <w:rFonts w:hint="eastAsia"/>
                <w:b w:val="0"/>
                <w:color w:val="000000"/>
                <w:szCs w:val="18"/>
              </w:rPr>
              <w:t>现状</w:t>
            </w:r>
          </w:p>
        </w:tc>
      </w:tr>
      <w:tr w14:paraId="6D1B8F8E">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28E5EE00">
            <w:pPr>
              <w:pStyle w:val="115"/>
              <w:jc w:val="center"/>
              <w:rPr>
                <w:b w:val="0"/>
                <w:color w:val="000000"/>
                <w:szCs w:val="18"/>
              </w:rPr>
            </w:pPr>
            <w:r>
              <w:rPr>
                <w:rFonts w:hint="eastAsia"/>
                <w:b w:val="0"/>
                <w:color w:val="000000"/>
                <w:szCs w:val="18"/>
              </w:rPr>
              <w:t>18</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0BC10BB">
            <w:pPr>
              <w:pStyle w:val="115"/>
              <w:jc w:val="center"/>
              <w:rPr>
                <w:b w:val="0"/>
                <w:color w:val="000000"/>
                <w:szCs w:val="18"/>
              </w:rPr>
            </w:pPr>
            <w:r>
              <w:rPr>
                <w:rFonts w:hint="eastAsia"/>
                <w:b w:val="0"/>
                <w:color w:val="000000"/>
                <w:szCs w:val="18"/>
              </w:rPr>
              <w:t>防护绿地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80E6576">
            <w:pPr>
              <w:pStyle w:val="115"/>
              <w:rPr>
                <w:b w:val="0"/>
                <w:color w:val="000000"/>
                <w:szCs w:val="18"/>
              </w:rPr>
            </w:pPr>
            <w:r>
              <w:rPr>
                <w:rFonts w:hint="eastAsia"/>
                <w:b w:val="0"/>
                <w:color w:val="000000"/>
                <w:szCs w:val="18"/>
              </w:rPr>
              <w:t>供热环卫防护绿地</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09A88E0">
            <w:pPr>
              <w:pStyle w:val="115"/>
              <w:jc w:val="center"/>
              <w:rPr>
                <w:b w:val="0"/>
                <w:color w:val="000000"/>
                <w:szCs w:val="18"/>
              </w:rPr>
            </w:pPr>
            <w:r>
              <w:rPr>
                <w:rFonts w:hint="eastAsia"/>
                <w:b w:val="0"/>
                <w:color w:val="000000"/>
                <w:szCs w:val="18"/>
              </w:rPr>
              <w:t>150206001202003-28</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15922B4">
            <w:pPr>
              <w:pStyle w:val="115"/>
              <w:jc w:val="center"/>
              <w:rPr>
                <w:b w:val="0"/>
                <w:color w:val="000000"/>
                <w:szCs w:val="18"/>
              </w:rPr>
            </w:pPr>
            <w:r>
              <w:rPr>
                <w:rFonts w:hint="eastAsia"/>
                <w:b w:val="0"/>
                <w:color w:val="000000"/>
                <w:szCs w:val="18"/>
              </w:rPr>
              <w:t>3320.26</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DA47F7E">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2AE520F8">
            <w:pPr>
              <w:pStyle w:val="115"/>
              <w:jc w:val="center"/>
              <w:rPr>
                <w:b w:val="0"/>
                <w:color w:val="000000"/>
                <w:szCs w:val="18"/>
              </w:rPr>
            </w:pPr>
            <w:r>
              <w:rPr>
                <w:rFonts w:hint="eastAsia"/>
                <w:b w:val="0"/>
                <w:color w:val="000000"/>
                <w:szCs w:val="18"/>
              </w:rPr>
              <w:t>现状</w:t>
            </w:r>
          </w:p>
        </w:tc>
      </w:tr>
      <w:tr w14:paraId="642EB421">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690C4EDF">
            <w:pPr>
              <w:pStyle w:val="115"/>
              <w:jc w:val="center"/>
              <w:rPr>
                <w:b w:val="0"/>
                <w:color w:val="000000"/>
                <w:szCs w:val="18"/>
              </w:rPr>
            </w:pPr>
            <w:r>
              <w:rPr>
                <w:rFonts w:hint="eastAsia"/>
                <w:b w:val="0"/>
                <w:color w:val="000000"/>
                <w:szCs w:val="18"/>
              </w:rPr>
              <w:t>19</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A2C80DC">
            <w:pPr>
              <w:pStyle w:val="115"/>
              <w:jc w:val="center"/>
              <w:rPr>
                <w:b w:val="0"/>
                <w:color w:val="000000"/>
                <w:szCs w:val="18"/>
              </w:rPr>
            </w:pPr>
            <w:r>
              <w:rPr>
                <w:rFonts w:hint="eastAsia"/>
                <w:b w:val="0"/>
                <w:color w:val="000000"/>
                <w:szCs w:val="18"/>
              </w:rPr>
              <w:t>公园绿地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0C1E515">
            <w:pPr>
              <w:pStyle w:val="115"/>
              <w:rPr>
                <w:b w:val="0"/>
                <w:color w:val="000000"/>
                <w:szCs w:val="18"/>
              </w:rPr>
            </w:pPr>
            <w:r>
              <w:rPr>
                <w:rFonts w:hint="eastAsia"/>
                <w:b w:val="0"/>
                <w:color w:val="000000"/>
                <w:szCs w:val="18"/>
              </w:rPr>
              <w:t>湿地公园</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FF9AF45">
            <w:pPr>
              <w:pStyle w:val="115"/>
              <w:jc w:val="center"/>
              <w:rPr>
                <w:b w:val="0"/>
                <w:color w:val="000000"/>
                <w:szCs w:val="18"/>
              </w:rPr>
            </w:pPr>
            <w:r>
              <w:rPr>
                <w:rFonts w:hint="eastAsia"/>
                <w:b w:val="0"/>
                <w:color w:val="000000"/>
                <w:szCs w:val="18"/>
              </w:rPr>
              <w:t>150206001202003-31</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DFAEEC0">
            <w:pPr>
              <w:pStyle w:val="115"/>
              <w:jc w:val="center"/>
              <w:rPr>
                <w:b w:val="0"/>
                <w:color w:val="000000"/>
                <w:szCs w:val="18"/>
              </w:rPr>
            </w:pPr>
            <w:r>
              <w:rPr>
                <w:rFonts w:hint="eastAsia"/>
                <w:b w:val="0"/>
                <w:color w:val="000000"/>
                <w:szCs w:val="18"/>
              </w:rPr>
              <w:t>366077.88</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9B4F04F">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7FA94F3C">
            <w:pPr>
              <w:pStyle w:val="115"/>
              <w:jc w:val="center"/>
              <w:rPr>
                <w:b w:val="0"/>
                <w:color w:val="000000"/>
                <w:szCs w:val="18"/>
              </w:rPr>
            </w:pPr>
            <w:r>
              <w:rPr>
                <w:rFonts w:hint="eastAsia"/>
                <w:b w:val="0"/>
                <w:color w:val="000000"/>
                <w:szCs w:val="18"/>
              </w:rPr>
              <w:t>现状</w:t>
            </w:r>
          </w:p>
        </w:tc>
      </w:tr>
      <w:tr w14:paraId="181451E9">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79884FA4">
            <w:pPr>
              <w:pStyle w:val="115"/>
              <w:jc w:val="center"/>
              <w:rPr>
                <w:b w:val="0"/>
                <w:color w:val="000000"/>
                <w:szCs w:val="18"/>
              </w:rPr>
            </w:pPr>
            <w:r>
              <w:rPr>
                <w:rFonts w:hint="eastAsia"/>
                <w:b w:val="0"/>
                <w:color w:val="000000"/>
                <w:szCs w:val="18"/>
              </w:rPr>
              <w:t>20</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27973DA">
            <w:pPr>
              <w:pStyle w:val="115"/>
              <w:jc w:val="center"/>
              <w:rPr>
                <w:b w:val="0"/>
                <w:color w:val="000000"/>
                <w:szCs w:val="18"/>
              </w:rPr>
            </w:pPr>
            <w:r>
              <w:rPr>
                <w:rFonts w:hint="eastAsia"/>
                <w:b w:val="0"/>
                <w:color w:val="000000"/>
                <w:szCs w:val="18"/>
              </w:rPr>
              <w:t>公园绿地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1FB420E">
            <w:pPr>
              <w:pStyle w:val="115"/>
              <w:rPr>
                <w:b w:val="0"/>
                <w:color w:val="000000"/>
                <w:szCs w:val="18"/>
              </w:rPr>
            </w:pPr>
            <w:r>
              <w:rPr>
                <w:rFonts w:hint="eastAsia"/>
                <w:b w:val="0"/>
                <w:color w:val="000000"/>
                <w:szCs w:val="18"/>
              </w:rPr>
              <w:t>白云矿区世纪城南侧沿街公园</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771C6CE">
            <w:pPr>
              <w:pStyle w:val="115"/>
              <w:jc w:val="center"/>
              <w:rPr>
                <w:b w:val="0"/>
                <w:color w:val="000000"/>
                <w:szCs w:val="18"/>
              </w:rPr>
            </w:pPr>
            <w:r>
              <w:rPr>
                <w:rFonts w:hint="eastAsia"/>
                <w:b w:val="0"/>
                <w:color w:val="000000"/>
                <w:szCs w:val="18"/>
              </w:rPr>
              <w:t>150206001202003-34</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7B33CA5">
            <w:pPr>
              <w:pStyle w:val="115"/>
              <w:jc w:val="center"/>
              <w:rPr>
                <w:b w:val="0"/>
                <w:color w:val="000000"/>
                <w:szCs w:val="18"/>
              </w:rPr>
            </w:pPr>
            <w:r>
              <w:rPr>
                <w:rFonts w:hint="eastAsia"/>
                <w:b w:val="0"/>
                <w:color w:val="000000"/>
                <w:szCs w:val="18"/>
              </w:rPr>
              <w:t>12884.06</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74CD311">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6A7A85E8">
            <w:pPr>
              <w:pStyle w:val="115"/>
              <w:jc w:val="center"/>
              <w:rPr>
                <w:b w:val="0"/>
                <w:color w:val="000000"/>
                <w:szCs w:val="18"/>
              </w:rPr>
            </w:pPr>
            <w:r>
              <w:rPr>
                <w:rFonts w:hint="eastAsia"/>
                <w:b w:val="0"/>
                <w:color w:val="000000"/>
                <w:szCs w:val="18"/>
              </w:rPr>
              <w:t>现状</w:t>
            </w:r>
          </w:p>
        </w:tc>
      </w:tr>
      <w:tr w14:paraId="66E2C893">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587069AF">
            <w:pPr>
              <w:pStyle w:val="115"/>
              <w:jc w:val="center"/>
              <w:rPr>
                <w:b w:val="0"/>
                <w:color w:val="000000"/>
                <w:szCs w:val="18"/>
              </w:rPr>
            </w:pPr>
            <w:r>
              <w:rPr>
                <w:rFonts w:hint="eastAsia"/>
                <w:b w:val="0"/>
                <w:color w:val="000000"/>
                <w:szCs w:val="18"/>
              </w:rPr>
              <w:t>21</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BFBC2CC">
            <w:pPr>
              <w:pStyle w:val="115"/>
              <w:jc w:val="center"/>
              <w:rPr>
                <w:b w:val="0"/>
                <w:color w:val="000000"/>
                <w:szCs w:val="18"/>
              </w:rPr>
            </w:pPr>
            <w:r>
              <w:rPr>
                <w:rFonts w:hint="eastAsia"/>
                <w:b w:val="0"/>
                <w:color w:val="000000"/>
                <w:szCs w:val="18"/>
              </w:rPr>
              <w:t>广场用地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55B6131">
            <w:pPr>
              <w:pStyle w:val="115"/>
              <w:rPr>
                <w:b w:val="0"/>
                <w:color w:val="000000"/>
                <w:szCs w:val="18"/>
              </w:rPr>
            </w:pPr>
            <w:r>
              <w:rPr>
                <w:rFonts w:hint="eastAsia"/>
                <w:b w:val="0"/>
                <w:color w:val="000000"/>
                <w:szCs w:val="18"/>
              </w:rPr>
              <w:t>环岛东南广场</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445B2BE">
            <w:pPr>
              <w:pStyle w:val="115"/>
              <w:jc w:val="center"/>
              <w:rPr>
                <w:b w:val="0"/>
                <w:color w:val="000000"/>
                <w:szCs w:val="18"/>
              </w:rPr>
            </w:pPr>
            <w:r>
              <w:rPr>
                <w:rFonts w:hint="eastAsia"/>
                <w:b w:val="0"/>
                <w:color w:val="000000"/>
                <w:szCs w:val="18"/>
              </w:rPr>
              <w:t>150206001202003-35</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CDDFBA2">
            <w:pPr>
              <w:pStyle w:val="115"/>
              <w:jc w:val="center"/>
              <w:rPr>
                <w:b w:val="0"/>
                <w:color w:val="000000"/>
                <w:szCs w:val="18"/>
              </w:rPr>
            </w:pPr>
            <w:r>
              <w:rPr>
                <w:rFonts w:hint="eastAsia"/>
                <w:b w:val="0"/>
                <w:color w:val="000000"/>
                <w:szCs w:val="18"/>
              </w:rPr>
              <w:t>6961.2</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5AD85E4">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44872D14">
            <w:pPr>
              <w:pStyle w:val="115"/>
              <w:jc w:val="center"/>
              <w:rPr>
                <w:b w:val="0"/>
                <w:color w:val="000000"/>
                <w:szCs w:val="18"/>
              </w:rPr>
            </w:pPr>
            <w:r>
              <w:rPr>
                <w:rFonts w:hint="eastAsia"/>
                <w:b w:val="0"/>
                <w:color w:val="000000"/>
                <w:szCs w:val="18"/>
              </w:rPr>
              <w:t>现状</w:t>
            </w:r>
          </w:p>
        </w:tc>
      </w:tr>
      <w:tr w14:paraId="3C75A844">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710F2C81">
            <w:pPr>
              <w:pStyle w:val="115"/>
              <w:jc w:val="center"/>
              <w:rPr>
                <w:b w:val="0"/>
                <w:color w:val="000000"/>
                <w:szCs w:val="18"/>
              </w:rPr>
            </w:pPr>
            <w:r>
              <w:rPr>
                <w:rFonts w:hint="eastAsia"/>
                <w:b w:val="0"/>
                <w:color w:val="000000"/>
                <w:szCs w:val="18"/>
              </w:rPr>
              <w:t>22</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86FB0A0">
            <w:pPr>
              <w:pStyle w:val="115"/>
              <w:jc w:val="center"/>
              <w:rPr>
                <w:b w:val="0"/>
                <w:color w:val="000000"/>
                <w:szCs w:val="18"/>
              </w:rPr>
            </w:pPr>
            <w:r>
              <w:rPr>
                <w:rFonts w:hint="eastAsia"/>
                <w:b w:val="0"/>
                <w:color w:val="000000"/>
                <w:szCs w:val="18"/>
              </w:rPr>
              <w:t>公园绿地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8BE015C">
            <w:pPr>
              <w:pStyle w:val="115"/>
              <w:rPr>
                <w:b w:val="0"/>
                <w:color w:val="000000"/>
                <w:szCs w:val="18"/>
              </w:rPr>
            </w:pPr>
            <w:r>
              <w:rPr>
                <w:rFonts w:hint="eastAsia"/>
                <w:b w:val="0"/>
                <w:color w:val="000000"/>
                <w:szCs w:val="18"/>
              </w:rPr>
              <w:t>白云鄂博大街沿线公园01</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4C9B5B9">
            <w:pPr>
              <w:pStyle w:val="115"/>
              <w:jc w:val="center"/>
              <w:rPr>
                <w:b w:val="0"/>
                <w:color w:val="000000"/>
                <w:szCs w:val="18"/>
              </w:rPr>
            </w:pPr>
            <w:r>
              <w:rPr>
                <w:rFonts w:hint="eastAsia"/>
                <w:b w:val="0"/>
                <w:color w:val="000000"/>
                <w:szCs w:val="18"/>
              </w:rPr>
              <w:t>150206001202003-36</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44912E5">
            <w:pPr>
              <w:pStyle w:val="115"/>
              <w:jc w:val="center"/>
              <w:rPr>
                <w:b w:val="0"/>
                <w:color w:val="000000"/>
                <w:szCs w:val="18"/>
              </w:rPr>
            </w:pPr>
            <w:r>
              <w:rPr>
                <w:rFonts w:hint="eastAsia"/>
                <w:b w:val="0"/>
                <w:color w:val="000000"/>
                <w:szCs w:val="18"/>
              </w:rPr>
              <w:t>10220.92</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38DCA2A">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4987F498">
            <w:pPr>
              <w:pStyle w:val="115"/>
              <w:jc w:val="center"/>
              <w:rPr>
                <w:b w:val="0"/>
                <w:color w:val="000000"/>
                <w:szCs w:val="18"/>
              </w:rPr>
            </w:pPr>
            <w:r>
              <w:rPr>
                <w:rFonts w:hint="eastAsia"/>
                <w:b w:val="0"/>
                <w:color w:val="000000"/>
                <w:szCs w:val="18"/>
              </w:rPr>
              <w:t>现状</w:t>
            </w:r>
          </w:p>
        </w:tc>
      </w:tr>
      <w:tr w14:paraId="2120CB43">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433F0BF3">
            <w:pPr>
              <w:pStyle w:val="115"/>
              <w:jc w:val="center"/>
              <w:rPr>
                <w:b w:val="0"/>
                <w:color w:val="000000"/>
                <w:szCs w:val="18"/>
              </w:rPr>
            </w:pPr>
            <w:r>
              <w:rPr>
                <w:rFonts w:hint="eastAsia"/>
                <w:b w:val="0"/>
                <w:color w:val="000000"/>
                <w:szCs w:val="18"/>
              </w:rPr>
              <w:t>23</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2A37955">
            <w:pPr>
              <w:pStyle w:val="115"/>
              <w:jc w:val="center"/>
              <w:rPr>
                <w:b w:val="0"/>
                <w:color w:val="000000"/>
                <w:szCs w:val="18"/>
              </w:rPr>
            </w:pPr>
            <w:r>
              <w:rPr>
                <w:rFonts w:hint="eastAsia"/>
                <w:b w:val="0"/>
                <w:color w:val="000000"/>
                <w:szCs w:val="18"/>
              </w:rPr>
              <w:t>防护绿地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2E135A9">
            <w:pPr>
              <w:pStyle w:val="115"/>
              <w:rPr>
                <w:b w:val="0"/>
                <w:color w:val="000000"/>
                <w:szCs w:val="18"/>
              </w:rPr>
            </w:pPr>
            <w:r>
              <w:rPr>
                <w:rFonts w:hint="eastAsia"/>
                <w:b w:val="0"/>
                <w:color w:val="000000"/>
                <w:szCs w:val="18"/>
              </w:rPr>
              <w:t>通阳道防护绿地01</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EFEF9AB">
            <w:pPr>
              <w:pStyle w:val="115"/>
              <w:jc w:val="center"/>
              <w:rPr>
                <w:b w:val="0"/>
                <w:color w:val="000000"/>
                <w:szCs w:val="18"/>
              </w:rPr>
            </w:pPr>
            <w:r>
              <w:rPr>
                <w:rFonts w:hint="eastAsia"/>
                <w:b w:val="0"/>
                <w:color w:val="000000"/>
                <w:szCs w:val="18"/>
              </w:rPr>
              <w:t>150206001202003-37</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12E6B8B">
            <w:pPr>
              <w:pStyle w:val="115"/>
              <w:jc w:val="center"/>
              <w:rPr>
                <w:b w:val="0"/>
                <w:color w:val="000000"/>
                <w:szCs w:val="18"/>
              </w:rPr>
            </w:pPr>
            <w:r>
              <w:rPr>
                <w:rFonts w:hint="eastAsia"/>
                <w:b w:val="0"/>
                <w:color w:val="000000"/>
                <w:szCs w:val="18"/>
              </w:rPr>
              <w:t>4356.56</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EF413B5">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1182C52A">
            <w:pPr>
              <w:pStyle w:val="115"/>
              <w:jc w:val="center"/>
              <w:rPr>
                <w:b w:val="0"/>
                <w:color w:val="000000"/>
                <w:szCs w:val="18"/>
              </w:rPr>
            </w:pPr>
            <w:r>
              <w:rPr>
                <w:rFonts w:hint="eastAsia"/>
                <w:b w:val="0"/>
                <w:color w:val="000000"/>
                <w:szCs w:val="18"/>
              </w:rPr>
              <w:t>现状</w:t>
            </w:r>
          </w:p>
        </w:tc>
      </w:tr>
      <w:tr w14:paraId="58CE9DCB">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3E25BD2E">
            <w:pPr>
              <w:pStyle w:val="115"/>
              <w:jc w:val="center"/>
              <w:rPr>
                <w:b w:val="0"/>
                <w:color w:val="000000"/>
                <w:szCs w:val="18"/>
              </w:rPr>
            </w:pPr>
            <w:r>
              <w:rPr>
                <w:rFonts w:hint="eastAsia"/>
                <w:b w:val="0"/>
                <w:color w:val="000000"/>
                <w:szCs w:val="18"/>
              </w:rPr>
              <w:t>24</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E0CB454">
            <w:pPr>
              <w:pStyle w:val="115"/>
              <w:jc w:val="center"/>
              <w:rPr>
                <w:b w:val="0"/>
                <w:color w:val="000000"/>
                <w:szCs w:val="18"/>
              </w:rPr>
            </w:pPr>
            <w:r>
              <w:rPr>
                <w:rFonts w:hint="eastAsia"/>
                <w:b w:val="0"/>
                <w:color w:val="000000"/>
                <w:szCs w:val="18"/>
              </w:rPr>
              <w:t>公园绿地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05E14A7">
            <w:pPr>
              <w:pStyle w:val="115"/>
              <w:rPr>
                <w:b w:val="0"/>
                <w:color w:val="000000"/>
                <w:szCs w:val="18"/>
              </w:rPr>
            </w:pPr>
            <w:r>
              <w:rPr>
                <w:rFonts w:hint="eastAsia"/>
                <w:b w:val="0"/>
                <w:color w:val="000000"/>
                <w:szCs w:val="18"/>
              </w:rPr>
              <w:t>白云矿区交通管理大队公园</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48C5817">
            <w:pPr>
              <w:pStyle w:val="115"/>
              <w:jc w:val="center"/>
              <w:rPr>
                <w:b w:val="0"/>
                <w:color w:val="000000"/>
                <w:szCs w:val="18"/>
              </w:rPr>
            </w:pPr>
            <w:r>
              <w:rPr>
                <w:rFonts w:hint="eastAsia"/>
                <w:b w:val="0"/>
                <w:color w:val="000000"/>
                <w:szCs w:val="18"/>
              </w:rPr>
              <w:t>150206001202003-39</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D18CE2C">
            <w:pPr>
              <w:pStyle w:val="115"/>
              <w:jc w:val="center"/>
              <w:rPr>
                <w:b w:val="0"/>
                <w:color w:val="000000"/>
                <w:szCs w:val="18"/>
              </w:rPr>
            </w:pPr>
            <w:r>
              <w:rPr>
                <w:rFonts w:hint="eastAsia"/>
                <w:b w:val="0"/>
                <w:color w:val="000000"/>
                <w:szCs w:val="18"/>
              </w:rPr>
              <w:t>3642.02</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EAC69EF">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03B8D2FB">
            <w:pPr>
              <w:pStyle w:val="115"/>
              <w:jc w:val="center"/>
              <w:rPr>
                <w:b w:val="0"/>
                <w:color w:val="000000"/>
                <w:szCs w:val="18"/>
              </w:rPr>
            </w:pPr>
            <w:r>
              <w:rPr>
                <w:rFonts w:hint="eastAsia"/>
                <w:b w:val="0"/>
                <w:color w:val="000000"/>
                <w:szCs w:val="18"/>
              </w:rPr>
              <w:t>现状</w:t>
            </w:r>
          </w:p>
        </w:tc>
      </w:tr>
      <w:tr w14:paraId="2F03E827">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4FBDC4D0">
            <w:pPr>
              <w:pStyle w:val="115"/>
              <w:jc w:val="center"/>
              <w:rPr>
                <w:b w:val="0"/>
                <w:color w:val="000000"/>
                <w:szCs w:val="18"/>
              </w:rPr>
            </w:pPr>
            <w:r>
              <w:rPr>
                <w:rFonts w:hint="eastAsia"/>
                <w:b w:val="0"/>
                <w:color w:val="000000"/>
                <w:szCs w:val="18"/>
              </w:rPr>
              <w:t>25</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59C6B10">
            <w:pPr>
              <w:pStyle w:val="115"/>
              <w:jc w:val="center"/>
              <w:rPr>
                <w:b w:val="0"/>
                <w:color w:val="000000"/>
                <w:szCs w:val="18"/>
              </w:rPr>
            </w:pPr>
            <w:r>
              <w:rPr>
                <w:rFonts w:hint="eastAsia"/>
                <w:b w:val="0"/>
                <w:color w:val="000000"/>
                <w:szCs w:val="18"/>
              </w:rPr>
              <w:t>防护绿地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14E990D">
            <w:pPr>
              <w:pStyle w:val="115"/>
              <w:rPr>
                <w:b w:val="0"/>
                <w:color w:val="000000"/>
                <w:szCs w:val="18"/>
              </w:rPr>
            </w:pPr>
            <w:r>
              <w:rPr>
                <w:rFonts w:hint="eastAsia"/>
                <w:b w:val="0"/>
                <w:color w:val="000000"/>
                <w:szCs w:val="18"/>
              </w:rPr>
              <w:t>通阳道防护绿地02</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66A83D8">
            <w:pPr>
              <w:pStyle w:val="115"/>
              <w:jc w:val="center"/>
              <w:rPr>
                <w:b w:val="0"/>
                <w:color w:val="000000"/>
                <w:szCs w:val="18"/>
              </w:rPr>
            </w:pPr>
            <w:r>
              <w:rPr>
                <w:rFonts w:hint="eastAsia"/>
                <w:b w:val="0"/>
                <w:color w:val="000000"/>
                <w:szCs w:val="18"/>
              </w:rPr>
              <w:t>150206001202003-42</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9305871">
            <w:pPr>
              <w:pStyle w:val="115"/>
              <w:jc w:val="center"/>
              <w:rPr>
                <w:b w:val="0"/>
                <w:color w:val="000000"/>
                <w:szCs w:val="18"/>
              </w:rPr>
            </w:pPr>
            <w:r>
              <w:rPr>
                <w:rFonts w:hint="eastAsia"/>
                <w:b w:val="0"/>
                <w:color w:val="000000"/>
                <w:szCs w:val="18"/>
              </w:rPr>
              <w:t>939.06</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CA770D9">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4353FE8C">
            <w:pPr>
              <w:pStyle w:val="115"/>
              <w:jc w:val="center"/>
              <w:rPr>
                <w:b w:val="0"/>
                <w:color w:val="000000"/>
                <w:szCs w:val="18"/>
              </w:rPr>
            </w:pPr>
            <w:r>
              <w:rPr>
                <w:rFonts w:hint="eastAsia"/>
                <w:b w:val="0"/>
                <w:color w:val="000000"/>
                <w:szCs w:val="18"/>
              </w:rPr>
              <w:t>现状</w:t>
            </w:r>
          </w:p>
        </w:tc>
      </w:tr>
      <w:tr w14:paraId="7E93EB5B">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67DA437E">
            <w:pPr>
              <w:pStyle w:val="115"/>
              <w:jc w:val="center"/>
              <w:rPr>
                <w:b w:val="0"/>
                <w:color w:val="000000"/>
                <w:szCs w:val="18"/>
              </w:rPr>
            </w:pPr>
            <w:r>
              <w:rPr>
                <w:rFonts w:hint="eastAsia"/>
                <w:b w:val="0"/>
                <w:color w:val="000000"/>
                <w:szCs w:val="18"/>
              </w:rPr>
              <w:t>26</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2E017D8">
            <w:pPr>
              <w:pStyle w:val="115"/>
              <w:jc w:val="center"/>
              <w:rPr>
                <w:b w:val="0"/>
                <w:color w:val="000000"/>
                <w:szCs w:val="18"/>
              </w:rPr>
            </w:pPr>
            <w:r>
              <w:rPr>
                <w:rFonts w:hint="eastAsia"/>
                <w:b w:val="0"/>
                <w:color w:val="000000"/>
                <w:szCs w:val="18"/>
              </w:rPr>
              <w:t>防护绿地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1BE06D0">
            <w:pPr>
              <w:pStyle w:val="115"/>
              <w:rPr>
                <w:b w:val="0"/>
                <w:color w:val="000000"/>
                <w:szCs w:val="18"/>
              </w:rPr>
            </w:pPr>
            <w:r>
              <w:rPr>
                <w:rFonts w:hint="eastAsia"/>
                <w:b w:val="0"/>
                <w:color w:val="000000"/>
                <w:szCs w:val="18"/>
              </w:rPr>
              <w:t>白云鄂博大街防护绿地02</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2B3E312">
            <w:pPr>
              <w:pStyle w:val="115"/>
              <w:jc w:val="center"/>
              <w:rPr>
                <w:b w:val="0"/>
                <w:color w:val="000000"/>
                <w:szCs w:val="18"/>
              </w:rPr>
            </w:pPr>
            <w:r>
              <w:rPr>
                <w:rFonts w:hint="eastAsia"/>
                <w:b w:val="0"/>
                <w:color w:val="000000"/>
                <w:szCs w:val="18"/>
              </w:rPr>
              <w:t>150206001202003-43</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D99E7A7">
            <w:pPr>
              <w:pStyle w:val="115"/>
              <w:jc w:val="center"/>
              <w:rPr>
                <w:b w:val="0"/>
                <w:color w:val="000000"/>
                <w:szCs w:val="18"/>
              </w:rPr>
            </w:pPr>
            <w:r>
              <w:rPr>
                <w:rFonts w:hint="eastAsia"/>
                <w:b w:val="0"/>
                <w:color w:val="000000"/>
                <w:szCs w:val="18"/>
              </w:rPr>
              <w:t>2418.81</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85CFC84">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73E85C99">
            <w:pPr>
              <w:pStyle w:val="115"/>
              <w:jc w:val="center"/>
              <w:rPr>
                <w:b w:val="0"/>
                <w:color w:val="000000"/>
                <w:szCs w:val="18"/>
              </w:rPr>
            </w:pPr>
            <w:r>
              <w:rPr>
                <w:rFonts w:hint="eastAsia"/>
                <w:b w:val="0"/>
                <w:color w:val="000000"/>
                <w:szCs w:val="18"/>
              </w:rPr>
              <w:t>现状</w:t>
            </w:r>
          </w:p>
        </w:tc>
      </w:tr>
      <w:tr w14:paraId="24522CD4">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6AB3423B">
            <w:pPr>
              <w:pStyle w:val="115"/>
              <w:jc w:val="center"/>
              <w:rPr>
                <w:b w:val="0"/>
                <w:color w:val="000000"/>
                <w:szCs w:val="18"/>
              </w:rPr>
            </w:pPr>
            <w:r>
              <w:rPr>
                <w:rFonts w:hint="eastAsia"/>
                <w:b w:val="0"/>
                <w:color w:val="000000"/>
                <w:szCs w:val="18"/>
              </w:rPr>
              <w:t>27</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40F1FB8">
            <w:pPr>
              <w:pStyle w:val="115"/>
              <w:jc w:val="center"/>
              <w:rPr>
                <w:b w:val="0"/>
                <w:color w:val="000000"/>
                <w:szCs w:val="18"/>
              </w:rPr>
            </w:pPr>
            <w:r>
              <w:rPr>
                <w:rFonts w:hint="eastAsia"/>
                <w:b w:val="0"/>
                <w:color w:val="000000"/>
                <w:szCs w:val="18"/>
              </w:rPr>
              <w:t>防护绿地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ABE51A7">
            <w:pPr>
              <w:pStyle w:val="115"/>
              <w:rPr>
                <w:b w:val="0"/>
                <w:color w:val="000000"/>
                <w:szCs w:val="18"/>
              </w:rPr>
            </w:pPr>
            <w:r>
              <w:rPr>
                <w:rFonts w:hint="eastAsia"/>
                <w:b w:val="0"/>
                <w:color w:val="000000"/>
                <w:szCs w:val="18"/>
              </w:rPr>
              <w:t>白云鄂博大街防护绿地03</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E040B3E">
            <w:pPr>
              <w:pStyle w:val="115"/>
              <w:jc w:val="center"/>
              <w:rPr>
                <w:b w:val="0"/>
                <w:color w:val="000000"/>
                <w:szCs w:val="18"/>
              </w:rPr>
            </w:pPr>
            <w:r>
              <w:rPr>
                <w:rFonts w:hint="eastAsia"/>
                <w:b w:val="0"/>
                <w:color w:val="000000"/>
                <w:szCs w:val="18"/>
              </w:rPr>
              <w:t>150206001202003-50</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DA096F8">
            <w:pPr>
              <w:pStyle w:val="115"/>
              <w:jc w:val="center"/>
              <w:rPr>
                <w:b w:val="0"/>
                <w:color w:val="000000"/>
                <w:szCs w:val="18"/>
              </w:rPr>
            </w:pPr>
            <w:r>
              <w:rPr>
                <w:rFonts w:hint="eastAsia"/>
                <w:b w:val="0"/>
                <w:color w:val="000000"/>
                <w:szCs w:val="18"/>
              </w:rPr>
              <w:t>15339.36</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949C43B">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7802B146">
            <w:pPr>
              <w:pStyle w:val="115"/>
              <w:jc w:val="center"/>
              <w:rPr>
                <w:b w:val="0"/>
                <w:color w:val="000000"/>
                <w:szCs w:val="18"/>
              </w:rPr>
            </w:pPr>
            <w:r>
              <w:rPr>
                <w:rFonts w:hint="eastAsia"/>
                <w:b w:val="0"/>
                <w:color w:val="000000"/>
                <w:szCs w:val="18"/>
              </w:rPr>
              <w:t>现状</w:t>
            </w:r>
          </w:p>
        </w:tc>
      </w:tr>
      <w:tr w14:paraId="054557FD">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21AF25CA">
            <w:pPr>
              <w:pStyle w:val="115"/>
              <w:jc w:val="center"/>
              <w:rPr>
                <w:b w:val="0"/>
                <w:color w:val="000000"/>
                <w:szCs w:val="18"/>
              </w:rPr>
            </w:pPr>
            <w:r>
              <w:rPr>
                <w:rFonts w:hint="eastAsia"/>
                <w:b w:val="0"/>
                <w:color w:val="000000"/>
                <w:szCs w:val="18"/>
              </w:rPr>
              <w:t>28</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7B56453">
            <w:pPr>
              <w:pStyle w:val="115"/>
              <w:jc w:val="center"/>
              <w:rPr>
                <w:b w:val="0"/>
                <w:color w:val="000000"/>
                <w:szCs w:val="18"/>
              </w:rPr>
            </w:pPr>
            <w:r>
              <w:rPr>
                <w:rFonts w:hint="eastAsia"/>
                <w:b w:val="0"/>
                <w:color w:val="000000"/>
                <w:szCs w:val="18"/>
              </w:rPr>
              <w:t>公园绿地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61F4C09">
            <w:pPr>
              <w:pStyle w:val="115"/>
              <w:rPr>
                <w:b w:val="0"/>
                <w:color w:val="000000"/>
                <w:szCs w:val="18"/>
              </w:rPr>
            </w:pPr>
            <w:r>
              <w:rPr>
                <w:rFonts w:hint="eastAsia"/>
                <w:b w:val="0"/>
                <w:color w:val="000000"/>
                <w:szCs w:val="18"/>
              </w:rPr>
              <w:t>丁香园</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FD8734E">
            <w:pPr>
              <w:pStyle w:val="115"/>
              <w:jc w:val="center"/>
              <w:rPr>
                <w:b w:val="0"/>
                <w:color w:val="000000"/>
                <w:szCs w:val="18"/>
              </w:rPr>
            </w:pPr>
            <w:r>
              <w:rPr>
                <w:rFonts w:hint="eastAsia"/>
                <w:b w:val="0"/>
                <w:color w:val="000000"/>
                <w:szCs w:val="18"/>
              </w:rPr>
              <w:t>150206001202003-58</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994D65B">
            <w:pPr>
              <w:pStyle w:val="115"/>
              <w:jc w:val="center"/>
              <w:rPr>
                <w:b w:val="0"/>
                <w:color w:val="000000"/>
                <w:szCs w:val="18"/>
              </w:rPr>
            </w:pPr>
            <w:r>
              <w:rPr>
                <w:rFonts w:hint="eastAsia"/>
                <w:b w:val="0"/>
                <w:color w:val="000000"/>
                <w:szCs w:val="18"/>
              </w:rPr>
              <w:t>219474.05</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9830BF3">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40E9EBA8">
            <w:pPr>
              <w:pStyle w:val="115"/>
              <w:jc w:val="center"/>
              <w:rPr>
                <w:b w:val="0"/>
                <w:color w:val="000000"/>
                <w:szCs w:val="18"/>
              </w:rPr>
            </w:pPr>
            <w:r>
              <w:rPr>
                <w:rFonts w:hint="eastAsia"/>
                <w:b w:val="0"/>
                <w:color w:val="000000"/>
                <w:szCs w:val="18"/>
              </w:rPr>
              <w:t>现状</w:t>
            </w:r>
          </w:p>
        </w:tc>
      </w:tr>
      <w:tr w14:paraId="4E2314DC">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39D78A2C">
            <w:pPr>
              <w:pStyle w:val="115"/>
              <w:jc w:val="center"/>
              <w:rPr>
                <w:b w:val="0"/>
                <w:color w:val="000000"/>
                <w:szCs w:val="18"/>
              </w:rPr>
            </w:pPr>
            <w:r>
              <w:rPr>
                <w:rFonts w:hint="eastAsia"/>
                <w:b w:val="0"/>
                <w:color w:val="000000"/>
                <w:szCs w:val="18"/>
              </w:rPr>
              <w:t>29</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208F542">
            <w:pPr>
              <w:pStyle w:val="115"/>
              <w:jc w:val="center"/>
              <w:rPr>
                <w:b w:val="0"/>
                <w:color w:val="000000"/>
                <w:szCs w:val="18"/>
              </w:rPr>
            </w:pPr>
            <w:r>
              <w:rPr>
                <w:rFonts w:hint="eastAsia"/>
                <w:b w:val="0"/>
                <w:color w:val="000000"/>
                <w:szCs w:val="18"/>
              </w:rPr>
              <w:t>防护绿地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00A8C16">
            <w:pPr>
              <w:pStyle w:val="115"/>
              <w:rPr>
                <w:b w:val="0"/>
                <w:color w:val="000000"/>
                <w:szCs w:val="18"/>
              </w:rPr>
            </w:pPr>
            <w:r>
              <w:rPr>
                <w:rFonts w:hint="eastAsia"/>
                <w:b w:val="0"/>
                <w:color w:val="000000"/>
                <w:szCs w:val="18"/>
              </w:rPr>
              <w:t>百灵道防护绿地</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7F7C34F">
            <w:pPr>
              <w:pStyle w:val="115"/>
              <w:jc w:val="center"/>
              <w:rPr>
                <w:b w:val="0"/>
                <w:color w:val="000000"/>
                <w:szCs w:val="18"/>
              </w:rPr>
            </w:pPr>
            <w:r>
              <w:rPr>
                <w:rFonts w:hint="eastAsia"/>
                <w:b w:val="0"/>
                <w:color w:val="000000"/>
                <w:szCs w:val="18"/>
              </w:rPr>
              <w:t>150206001202003-59</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5407E6E">
            <w:pPr>
              <w:pStyle w:val="115"/>
              <w:jc w:val="center"/>
              <w:rPr>
                <w:b w:val="0"/>
                <w:color w:val="000000"/>
                <w:szCs w:val="18"/>
              </w:rPr>
            </w:pPr>
            <w:r>
              <w:rPr>
                <w:rFonts w:hint="eastAsia"/>
                <w:b w:val="0"/>
                <w:color w:val="000000"/>
                <w:szCs w:val="18"/>
              </w:rPr>
              <w:t>17102.12</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3756227">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45D331C4">
            <w:pPr>
              <w:pStyle w:val="115"/>
              <w:jc w:val="center"/>
              <w:rPr>
                <w:b w:val="0"/>
                <w:color w:val="000000"/>
                <w:szCs w:val="18"/>
              </w:rPr>
            </w:pPr>
            <w:r>
              <w:rPr>
                <w:rFonts w:hint="eastAsia"/>
                <w:b w:val="0"/>
                <w:color w:val="000000"/>
                <w:szCs w:val="18"/>
              </w:rPr>
              <w:t>现状</w:t>
            </w:r>
          </w:p>
        </w:tc>
      </w:tr>
      <w:tr w14:paraId="323FBE59">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34F075A5">
            <w:pPr>
              <w:pStyle w:val="115"/>
              <w:jc w:val="center"/>
              <w:rPr>
                <w:b w:val="0"/>
                <w:color w:val="000000"/>
                <w:szCs w:val="18"/>
              </w:rPr>
            </w:pPr>
            <w:r>
              <w:rPr>
                <w:rFonts w:hint="eastAsia"/>
                <w:b w:val="0"/>
                <w:color w:val="000000"/>
                <w:szCs w:val="18"/>
              </w:rPr>
              <w:t>30</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0177CBE">
            <w:pPr>
              <w:pStyle w:val="115"/>
              <w:jc w:val="center"/>
              <w:rPr>
                <w:b w:val="0"/>
                <w:color w:val="000000"/>
                <w:szCs w:val="18"/>
              </w:rPr>
            </w:pPr>
            <w:r>
              <w:rPr>
                <w:rFonts w:hint="eastAsia"/>
                <w:b w:val="0"/>
                <w:color w:val="000000"/>
                <w:szCs w:val="18"/>
              </w:rPr>
              <w:t>公园绿地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9E8B07F">
            <w:pPr>
              <w:pStyle w:val="115"/>
              <w:rPr>
                <w:b w:val="0"/>
                <w:color w:val="000000"/>
                <w:szCs w:val="18"/>
              </w:rPr>
            </w:pPr>
            <w:r>
              <w:rPr>
                <w:rFonts w:hint="eastAsia"/>
                <w:b w:val="0"/>
                <w:color w:val="000000"/>
                <w:szCs w:val="18"/>
              </w:rPr>
              <w:t>环岛公园01</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D1CA1BA">
            <w:pPr>
              <w:pStyle w:val="115"/>
              <w:jc w:val="center"/>
              <w:rPr>
                <w:b w:val="0"/>
                <w:color w:val="000000"/>
                <w:szCs w:val="18"/>
              </w:rPr>
            </w:pPr>
            <w:r>
              <w:rPr>
                <w:rFonts w:hint="eastAsia"/>
                <w:b w:val="0"/>
                <w:color w:val="000000"/>
                <w:szCs w:val="18"/>
              </w:rPr>
              <w:t>150206001202003-60</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9C75297">
            <w:pPr>
              <w:pStyle w:val="115"/>
              <w:jc w:val="center"/>
              <w:rPr>
                <w:b w:val="0"/>
                <w:color w:val="000000"/>
                <w:szCs w:val="18"/>
              </w:rPr>
            </w:pPr>
            <w:r>
              <w:rPr>
                <w:rFonts w:hint="eastAsia"/>
                <w:b w:val="0"/>
                <w:color w:val="000000"/>
                <w:szCs w:val="18"/>
              </w:rPr>
              <w:t>1801.73</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744A86D">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011EF7EA">
            <w:pPr>
              <w:pStyle w:val="115"/>
              <w:jc w:val="center"/>
              <w:rPr>
                <w:b w:val="0"/>
                <w:color w:val="000000"/>
                <w:szCs w:val="18"/>
              </w:rPr>
            </w:pPr>
            <w:r>
              <w:rPr>
                <w:rFonts w:hint="eastAsia"/>
                <w:b w:val="0"/>
                <w:color w:val="000000"/>
                <w:szCs w:val="18"/>
              </w:rPr>
              <w:t>现状</w:t>
            </w:r>
          </w:p>
        </w:tc>
      </w:tr>
      <w:tr w14:paraId="7E87FC88">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2F738D51">
            <w:pPr>
              <w:pStyle w:val="115"/>
              <w:jc w:val="center"/>
              <w:rPr>
                <w:b w:val="0"/>
                <w:color w:val="000000"/>
                <w:szCs w:val="18"/>
              </w:rPr>
            </w:pPr>
            <w:r>
              <w:rPr>
                <w:rFonts w:hint="eastAsia"/>
                <w:b w:val="0"/>
                <w:color w:val="000000"/>
                <w:szCs w:val="18"/>
              </w:rPr>
              <w:t>31</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F11CC11">
            <w:pPr>
              <w:pStyle w:val="115"/>
              <w:jc w:val="center"/>
              <w:rPr>
                <w:b w:val="0"/>
                <w:color w:val="000000"/>
                <w:szCs w:val="18"/>
              </w:rPr>
            </w:pPr>
            <w:r>
              <w:rPr>
                <w:rFonts w:hint="eastAsia"/>
                <w:b w:val="0"/>
                <w:color w:val="000000"/>
                <w:szCs w:val="18"/>
              </w:rPr>
              <w:t>防护绿地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98F95B8">
            <w:pPr>
              <w:pStyle w:val="115"/>
              <w:rPr>
                <w:b w:val="0"/>
                <w:color w:val="000000"/>
                <w:szCs w:val="18"/>
              </w:rPr>
            </w:pPr>
            <w:r>
              <w:rPr>
                <w:rFonts w:hint="eastAsia"/>
                <w:b w:val="0"/>
                <w:color w:val="000000"/>
                <w:szCs w:val="18"/>
              </w:rPr>
              <w:t>水工设施防护绿地</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708D7CE">
            <w:pPr>
              <w:pStyle w:val="115"/>
              <w:jc w:val="center"/>
              <w:rPr>
                <w:b w:val="0"/>
                <w:color w:val="000000"/>
                <w:szCs w:val="18"/>
              </w:rPr>
            </w:pPr>
            <w:r>
              <w:rPr>
                <w:rFonts w:hint="eastAsia"/>
                <w:b w:val="0"/>
                <w:color w:val="000000"/>
                <w:szCs w:val="18"/>
              </w:rPr>
              <w:t>150206001202004-04</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04B018B">
            <w:pPr>
              <w:pStyle w:val="115"/>
              <w:jc w:val="center"/>
              <w:rPr>
                <w:b w:val="0"/>
                <w:color w:val="000000"/>
                <w:szCs w:val="18"/>
              </w:rPr>
            </w:pPr>
            <w:r>
              <w:rPr>
                <w:rFonts w:hint="eastAsia"/>
                <w:b w:val="0"/>
                <w:color w:val="000000"/>
                <w:szCs w:val="18"/>
              </w:rPr>
              <w:t>6851.46</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6279746">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1F645310">
            <w:pPr>
              <w:pStyle w:val="115"/>
              <w:jc w:val="center"/>
              <w:rPr>
                <w:b w:val="0"/>
                <w:color w:val="000000"/>
                <w:szCs w:val="18"/>
              </w:rPr>
            </w:pPr>
            <w:r>
              <w:rPr>
                <w:rFonts w:hint="eastAsia"/>
                <w:b w:val="0"/>
                <w:color w:val="000000"/>
                <w:szCs w:val="18"/>
              </w:rPr>
              <w:t>现状</w:t>
            </w:r>
          </w:p>
        </w:tc>
      </w:tr>
      <w:tr w14:paraId="1D269461">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0631501B">
            <w:pPr>
              <w:pStyle w:val="115"/>
              <w:jc w:val="center"/>
              <w:rPr>
                <w:b w:val="0"/>
                <w:color w:val="000000"/>
                <w:szCs w:val="18"/>
              </w:rPr>
            </w:pPr>
            <w:r>
              <w:rPr>
                <w:rFonts w:hint="eastAsia"/>
                <w:b w:val="0"/>
                <w:color w:val="000000"/>
                <w:szCs w:val="18"/>
              </w:rPr>
              <w:t>32</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F5223CD">
            <w:pPr>
              <w:pStyle w:val="115"/>
              <w:jc w:val="center"/>
              <w:rPr>
                <w:b w:val="0"/>
                <w:color w:val="000000"/>
                <w:szCs w:val="18"/>
              </w:rPr>
            </w:pPr>
            <w:r>
              <w:rPr>
                <w:rFonts w:hint="eastAsia"/>
                <w:b w:val="0"/>
                <w:color w:val="000000"/>
                <w:szCs w:val="18"/>
              </w:rPr>
              <w:t>公园绿地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8E7F07D">
            <w:pPr>
              <w:pStyle w:val="115"/>
              <w:rPr>
                <w:b w:val="0"/>
                <w:color w:val="000000"/>
                <w:szCs w:val="18"/>
              </w:rPr>
            </w:pPr>
            <w:r>
              <w:rPr>
                <w:rFonts w:hint="eastAsia"/>
                <w:b w:val="0"/>
                <w:color w:val="000000"/>
                <w:szCs w:val="18"/>
              </w:rPr>
              <w:t>规划社区公园02</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9BBDD49">
            <w:pPr>
              <w:pStyle w:val="115"/>
              <w:jc w:val="center"/>
              <w:rPr>
                <w:b w:val="0"/>
                <w:color w:val="000000"/>
                <w:szCs w:val="18"/>
              </w:rPr>
            </w:pPr>
            <w:r>
              <w:rPr>
                <w:rFonts w:hint="eastAsia"/>
                <w:b w:val="0"/>
                <w:color w:val="000000"/>
                <w:szCs w:val="18"/>
              </w:rPr>
              <w:t>150206001202004-11</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753373B">
            <w:pPr>
              <w:pStyle w:val="115"/>
              <w:jc w:val="center"/>
              <w:rPr>
                <w:b w:val="0"/>
                <w:color w:val="000000"/>
                <w:szCs w:val="18"/>
              </w:rPr>
            </w:pPr>
            <w:r>
              <w:rPr>
                <w:rFonts w:hint="eastAsia"/>
                <w:b w:val="0"/>
                <w:color w:val="000000"/>
                <w:szCs w:val="18"/>
              </w:rPr>
              <w:t>3556.1</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87BA57B">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501A92A5">
            <w:pPr>
              <w:pStyle w:val="115"/>
              <w:jc w:val="center"/>
              <w:rPr>
                <w:b w:val="0"/>
                <w:color w:val="000000"/>
                <w:szCs w:val="18"/>
              </w:rPr>
            </w:pPr>
            <w:r>
              <w:rPr>
                <w:rFonts w:hint="eastAsia"/>
                <w:b w:val="0"/>
                <w:color w:val="000000"/>
                <w:szCs w:val="18"/>
              </w:rPr>
              <w:t>规划</w:t>
            </w:r>
          </w:p>
        </w:tc>
      </w:tr>
      <w:tr w14:paraId="43C347AF">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3E4A3C54">
            <w:pPr>
              <w:pStyle w:val="115"/>
              <w:jc w:val="center"/>
              <w:rPr>
                <w:b w:val="0"/>
                <w:color w:val="000000"/>
                <w:szCs w:val="18"/>
              </w:rPr>
            </w:pPr>
            <w:r>
              <w:rPr>
                <w:rFonts w:hint="eastAsia"/>
                <w:b w:val="0"/>
                <w:color w:val="000000"/>
                <w:szCs w:val="18"/>
              </w:rPr>
              <w:t>33</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E2E0B98">
            <w:pPr>
              <w:pStyle w:val="115"/>
              <w:jc w:val="center"/>
              <w:rPr>
                <w:b w:val="0"/>
                <w:color w:val="000000"/>
                <w:szCs w:val="18"/>
              </w:rPr>
            </w:pPr>
            <w:r>
              <w:rPr>
                <w:rFonts w:hint="eastAsia"/>
                <w:b w:val="0"/>
                <w:color w:val="000000"/>
                <w:szCs w:val="18"/>
              </w:rPr>
              <w:t>防护绿地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9FCAB51">
            <w:pPr>
              <w:pStyle w:val="115"/>
              <w:rPr>
                <w:b w:val="0"/>
                <w:color w:val="000000"/>
                <w:szCs w:val="18"/>
              </w:rPr>
            </w:pPr>
            <w:r>
              <w:rPr>
                <w:rFonts w:hint="eastAsia"/>
                <w:b w:val="0"/>
                <w:color w:val="000000"/>
                <w:szCs w:val="18"/>
              </w:rPr>
              <w:t>白云鄂博大街防护绿地04</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9C8CCB1">
            <w:pPr>
              <w:pStyle w:val="115"/>
              <w:jc w:val="center"/>
              <w:rPr>
                <w:b w:val="0"/>
                <w:color w:val="000000"/>
                <w:szCs w:val="18"/>
              </w:rPr>
            </w:pPr>
            <w:r>
              <w:rPr>
                <w:rFonts w:hint="eastAsia"/>
                <w:b w:val="0"/>
                <w:color w:val="000000"/>
                <w:szCs w:val="18"/>
              </w:rPr>
              <w:t>150206001202005-03</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86B7117">
            <w:pPr>
              <w:pStyle w:val="115"/>
              <w:jc w:val="center"/>
              <w:rPr>
                <w:b w:val="0"/>
                <w:color w:val="000000"/>
                <w:szCs w:val="18"/>
              </w:rPr>
            </w:pPr>
            <w:r>
              <w:rPr>
                <w:rFonts w:hint="eastAsia"/>
                <w:b w:val="0"/>
                <w:color w:val="000000"/>
                <w:szCs w:val="18"/>
              </w:rPr>
              <w:t>4057.39</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C07E17E">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4AB4201A">
            <w:pPr>
              <w:pStyle w:val="115"/>
              <w:jc w:val="center"/>
              <w:rPr>
                <w:b w:val="0"/>
                <w:color w:val="000000"/>
                <w:szCs w:val="18"/>
              </w:rPr>
            </w:pPr>
            <w:r>
              <w:rPr>
                <w:rFonts w:hint="eastAsia"/>
                <w:b w:val="0"/>
                <w:color w:val="000000"/>
                <w:szCs w:val="18"/>
              </w:rPr>
              <w:t>现状</w:t>
            </w:r>
          </w:p>
        </w:tc>
      </w:tr>
      <w:tr w14:paraId="52C8ED00">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4885BE6D">
            <w:pPr>
              <w:pStyle w:val="115"/>
              <w:jc w:val="center"/>
              <w:rPr>
                <w:b w:val="0"/>
                <w:color w:val="000000"/>
                <w:szCs w:val="18"/>
              </w:rPr>
            </w:pPr>
            <w:r>
              <w:rPr>
                <w:rFonts w:hint="eastAsia"/>
                <w:b w:val="0"/>
                <w:color w:val="000000"/>
                <w:szCs w:val="18"/>
              </w:rPr>
              <w:t>34</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8894794">
            <w:pPr>
              <w:pStyle w:val="115"/>
              <w:jc w:val="center"/>
              <w:rPr>
                <w:b w:val="0"/>
                <w:color w:val="000000"/>
                <w:szCs w:val="18"/>
              </w:rPr>
            </w:pPr>
            <w:r>
              <w:rPr>
                <w:rFonts w:hint="eastAsia"/>
                <w:b w:val="0"/>
                <w:color w:val="000000"/>
                <w:szCs w:val="18"/>
              </w:rPr>
              <w:t>防护绿地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23B0351">
            <w:pPr>
              <w:pStyle w:val="115"/>
              <w:rPr>
                <w:b w:val="0"/>
                <w:color w:val="000000"/>
                <w:szCs w:val="18"/>
              </w:rPr>
            </w:pPr>
            <w:r>
              <w:rPr>
                <w:rFonts w:hint="eastAsia"/>
                <w:b w:val="0"/>
                <w:color w:val="000000"/>
                <w:szCs w:val="18"/>
              </w:rPr>
              <w:t>白云鄂博大街防护绿地05</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E6E9AC3">
            <w:pPr>
              <w:pStyle w:val="115"/>
              <w:jc w:val="center"/>
              <w:rPr>
                <w:b w:val="0"/>
                <w:color w:val="000000"/>
                <w:szCs w:val="18"/>
              </w:rPr>
            </w:pPr>
            <w:r>
              <w:rPr>
                <w:rFonts w:hint="eastAsia"/>
                <w:b w:val="0"/>
                <w:color w:val="000000"/>
                <w:szCs w:val="18"/>
              </w:rPr>
              <w:t>150206001202005-05</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6D54D5E">
            <w:pPr>
              <w:pStyle w:val="115"/>
              <w:jc w:val="center"/>
              <w:rPr>
                <w:b w:val="0"/>
                <w:color w:val="000000"/>
                <w:szCs w:val="18"/>
              </w:rPr>
            </w:pPr>
            <w:r>
              <w:rPr>
                <w:rFonts w:hint="eastAsia"/>
                <w:b w:val="0"/>
                <w:color w:val="000000"/>
                <w:szCs w:val="18"/>
              </w:rPr>
              <w:t>12551.98</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03DCBD6">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68301919">
            <w:pPr>
              <w:pStyle w:val="115"/>
              <w:jc w:val="center"/>
              <w:rPr>
                <w:b w:val="0"/>
                <w:color w:val="000000"/>
                <w:szCs w:val="18"/>
              </w:rPr>
            </w:pPr>
            <w:r>
              <w:rPr>
                <w:rFonts w:hint="eastAsia"/>
                <w:b w:val="0"/>
                <w:color w:val="000000"/>
                <w:szCs w:val="18"/>
              </w:rPr>
              <w:t>现状</w:t>
            </w:r>
          </w:p>
        </w:tc>
      </w:tr>
      <w:tr w14:paraId="435079CE">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326DDA18">
            <w:pPr>
              <w:pStyle w:val="115"/>
              <w:jc w:val="center"/>
              <w:rPr>
                <w:b w:val="0"/>
                <w:color w:val="000000"/>
                <w:szCs w:val="18"/>
              </w:rPr>
            </w:pPr>
            <w:r>
              <w:rPr>
                <w:rFonts w:hint="eastAsia"/>
                <w:b w:val="0"/>
                <w:color w:val="000000"/>
                <w:szCs w:val="18"/>
              </w:rPr>
              <w:t>35</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824F4AE">
            <w:pPr>
              <w:pStyle w:val="115"/>
              <w:jc w:val="center"/>
              <w:rPr>
                <w:b w:val="0"/>
                <w:color w:val="000000"/>
                <w:szCs w:val="18"/>
              </w:rPr>
            </w:pPr>
            <w:r>
              <w:rPr>
                <w:rFonts w:hint="eastAsia"/>
                <w:b w:val="0"/>
                <w:color w:val="000000"/>
                <w:szCs w:val="18"/>
              </w:rPr>
              <w:t>防护绿地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F0A5F51">
            <w:pPr>
              <w:pStyle w:val="115"/>
              <w:rPr>
                <w:b w:val="0"/>
                <w:color w:val="000000"/>
                <w:szCs w:val="18"/>
              </w:rPr>
            </w:pPr>
            <w:r>
              <w:rPr>
                <w:rFonts w:hint="eastAsia"/>
                <w:b w:val="0"/>
                <w:color w:val="000000"/>
                <w:szCs w:val="18"/>
              </w:rPr>
              <w:t>供热用地防护绿地</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9C2349D">
            <w:pPr>
              <w:pStyle w:val="115"/>
              <w:jc w:val="center"/>
              <w:rPr>
                <w:b w:val="0"/>
                <w:color w:val="000000"/>
                <w:szCs w:val="18"/>
              </w:rPr>
            </w:pPr>
            <w:r>
              <w:rPr>
                <w:rFonts w:hint="eastAsia"/>
                <w:b w:val="0"/>
                <w:color w:val="000000"/>
                <w:szCs w:val="18"/>
              </w:rPr>
              <w:t>150206001202005-11</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8C52FE5">
            <w:pPr>
              <w:pStyle w:val="115"/>
              <w:jc w:val="center"/>
              <w:rPr>
                <w:b w:val="0"/>
                <w:color w:val="000000"/>
                <w:szCs w:val="18"/>
              </w:rPr>
            </w:pPr>
            <w:r>
              <w:rPr>
                <w:rFonts w:hint="eastAsia"/>
                <w:b w:val="0"/>
                <w:color w:val="000000"/>
                <w:szCs w:val="18"/>
              </w:rPr>
              <w:t>6790.5</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8FF4BE8">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13ACF6FF">
            <w:pPr>
              <w:pStyle w:val="115"/>
              <w:jc w:val="center"/>
              <w:rPr>
                <w:b w:val="0"/>
                <w:color w:val="000000"/>
                <w:szCs w:val="18"/>
              </w:rPr>
            </w:pPr>
            <w:r>
              <w:rPr>
                <w:rFonts w:hint="eastAsia"/>
                <w:b w:val="0"/>
                <w:color w:val="000000"/>
                <w:szCs w:val="18"/>
              </w:rPr>
              <w:t>现状</w:t>
            </w:r>
          </w:p>
        </w:tc>
      </w:tr>
      <w:tr w14:paraId="5BDF4FF1">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6AF727FB">
            <w:pPr>
              <w:pStyle w:val="115"/>
              <w:jc w:val="center"/>
              <w:rPr>
                <w:b w:val="0"/>
                <w:color w:val="000000"/>
                <w:szCs w:val="18"/>
              </w:rPr>
            </w:pPr>
            <w:r>
              <w:rPr>
                <w:rFonts w:hint="eastAsia"/>
                <w:b w:val="0"/>
                <w:color w:val="000000"/>
                <w:szCs w:val="18"/>
              </w:rPr>
              <w:t>36</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A150461">
            <w:pPr>
              <w:pStyle w:val="115"/>
              <w:jc w:val="center"/>
              <w:rPr>
                <w:b w:val="0"/>
                <w:color w:val="000000"/>
                <w:szCs w:val="18"/>
              </w:rPr>
            </w:pPr>
            <w:r>
              <w:rPr>
                <w:rFonts w:hint="eastAsia"/>
                <w:b w:val="0"/>
                <w:color w:val="000000"/>
                <w:szCs w:val="18"/>
              </w:rPr>
              <w:t>防护绿地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CB00604">
            <w:pPr>
              <w:pStyle w:val="115"/>
              <w:rPr>
                <w:b w:val="0"/>
                <w:color w:val="000000"/>
                <w:szCs w:val="18"/>
              </w:rPr>
            </w:pPr>
            <w:r>
              <w:rPr>
                <w:rFonts w:hint="eastAsia"/>
                <w:b w:val="0"/>
                <w:color w:val="000000"/>
                <w:szCs w:val="18"/>
              </w:rPr>
              <w:t>白云鄂博大街防护绿地06</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C6F02BE">
            <w:pPr>
              <w:pStyle w:val="115"/>
              <w:jc w:val="center"/>
              <w:rPr>
                <w:b w:val="0"/>
                <w:color w:val="000000"/>
                <w:szCs w:val="18"/>
              </w:rPr>
            </w:pPr>
            <w:r>
              <w:rPr>
                <w:rFonts w:hint="eastAsia"/>
                <w:b w:val="0"/>
                <w:color w:val="000000"/>
                <w:szCs w:val="18"/>
              </w:rPr>
              <w:t>150206001202005-17</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CBF6E77">
            <w:pPr>
              <w:pStyle w:val="115"/>
              <w:jc w:val="center"/>
              <w:rPr>
                <w:b w:val="0"/>
                <w:color w:val="000000"/>
                <w:szCs w:val="18"/>
              </w:rPr>
            </w:pPr>
            <w:r>
              <w:rPr>
                <w:rFonts w:hint="eastAsia"/>
                <w:b w:val="0"/>
                <w:color w:val="000000"/>
                <w:szCs w:val="18"/>
              </w:rPr>
              <w:t>3687.03</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10162A1">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01DC851E">
            <w:pPr>
              <w:pStyle w:val="115"/>
              <w:jc w:val="center"/>
              <w:rPr>
                <w:b w:val="0"/>
                <w:color w:val="000000"/>
                <w:szCs w:val="18"/>
              </w:rPr>
            </w:pPr>
            <w:r>
              <w:rPr>
                <w:rFonts w:hint="eastAsia"/>
                <w:b w:val="0"/>
                <w:color w:val="000000"/>
                <w:szCs w:val="18"/>
              </w:rPr>
              <w:t>现状</w:t>
            </w:r>
          </w:p>
        </w:tc>
      </w:tr>
      <w:tr w14:paraId="00C2E0F8">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61772E59">
            <w:pPr>
              <w:pStyle w:val="115"/>
              <w:jc w:val="center"/>
              <w:rPr>
                <w:b w:val="0"/>
                <w:color w:val="000000"/>
                <w:szCs w:val="18"/>
              </w:rPr>
            </w:pPr>
            <w:r>
              <w:rPr>
                <w:rFonts w:hint="eastAsia"/>
                <w:b w:val="0"/>
                <w:color w:val="000000"/>
                <w:szCs w:val="18"/>
              </w:rPr>
              <w:t>37</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C0B6BEF">
            <w:pPr>
              <w:pStyle w:val="115"/>
              <w:jc w:val="center"/>
              <w:rPr>
                <w:b w:val="0"/>
                <w:color w:val="000000"/>
                <w:szCs w:val="18"/>
              </w:rPr>
            </w:pPr>
            <w:r>
              <w:rPr>
                <w:rFonts w:hint="eastAsia"/>
                <w:b w:val="0"/>
                <w:color w:val="000000"/>
                <w:szCs w:val="18"/>
              </w:rPr>
              <w:t>公园绿地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C53FCB7">
            <w:pPr>
              <w:pStyle w:val="115"/>
              <w:rPr>
                <w:b w:val="0"/>
                <w:color w:val="000000"/>
                <w:szCs w:val="18"/>
              </w:rPr>
            </w:pPr>
            <w:r>
              <w:rPr>
                <w:rFonts w:hint="eastAsia"/>
                <w:b w:val="0"/>
                <w:color w:val="000000"/>
                <w:szCs w:val="18"/>
              </w:rPr>
              <w:t>廉政公园</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F21CAB1">
            <w:pPr>
              <w:pStyle w:val="115"/>
              <w:jc w:val="center"/>
              <w:rPr>
                <w:b w:val="0"/>
                <w:color w:val="000000"/>
                <w:szCs w:val="18"/>
              </w:rPr>
            </w:pPr>
            <w:r>
              <w:rPr>
                <w:rFonts w:hint="eastAsia"/>
                <w:b w:val="0"/>
                <w:color w:val="000000"/>
                <w:szCs w:val="18"/>
              </w:rPr>
              <w:t>150206001202005-29</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DCC4394">
            <w:pPr>
              <w:pStyle w:val="115"/>
              <w:jc w:val="center"/>
              <w:rPr>
                <w:b w:val="0"/>
                <w:color w:val="000000"/>
                <w:szCs w:val="18"/>
              </w:rPr>
            </w:pPr>
            <w:r>
              <w:rPr>
                <w:rFonts w:hint="eastAsia"/>
                <w:b w:val="0"/>
                <w:color w:val="000000"/>
                <w:szCs w:val="18"/>
              </w:rPr>
              <w:t>10744.27</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A7B8FC7">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411A2EB7">
            <w:pPr>
              <w:pStyle w:val="115"/>
              <w:jc w:val="center"/>
              <w:rPr>
                <w:b w:val="0"/>
                <w:color w:val="000000"/>
                <w:szCs w:val="18"/>
              </w:rPr>
            </w:pPr>
            <w:r>
              <w:rPr>
                <w:rFonts w:hint="eastAsia"/>
                <w:b w:val="0"/>
                <w:color w:val="000000"/>
                <w:szCs w:val="18"/>
              </w:rPr>
              <w:t>现状</w:t>
            </w:r>
          </w:p>
        </w:tc>
      </w:tr>
      <w:tr w14:paraId="62F5BCF2">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12E4F033">
            <w:pPr>
              <w:pStyle w:val="115"/>
              <w:jc w:val="center"/>
              <w:rPr>
                <w:b w:val="0"/>
                <w:color w:val="000000"/>
                <w:szCs w:val="18"/>
              </w:rPr>
            </w:pPr>
            <w:r>
              <w:rPr>
                <w:rFonts w:hint="eastAsia"/>
                <w:b w:val="0"/>
                <w:color w:val="000000"/>
                <w:szCs w:val="18"/>
              </w:rPr>
              <w:t>38</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A633BD4">
            <w:pPr>
              <w:pStyle w:val="115"/>
              <w:jc w:val="center"/>
              <w:rPr>
                <w:b w:val="0"/>
                <w:color w:val="000000"/>
                <w:szCs w:val="18"/>
              </w:rPr>
            </w:pPr>
            <w:r>
              <w:rPr>
                <w:rFonts w:hint="eastAsia"/>
                <w:b w:val="0"/>
                <w:color w:val="000000"/>
                <w:szCs w:val="18"/>
              </w:rPr>
              <w:t>公园绿地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C8FC7D4">
            <w:pPr>
              <w:pStyle w:val="115"/>
              <w:rPr>
                <w:b w:val="0"/>
                <w:color w:val="000000"/>
                <w:szCs w:val="18"/>
              </w:rPr>
            </w:pPr>
            <w:r>
              <w:rPr>
                <w:rFonts w:hint="eastAsia"/>
                <w:b w:val="0"/>
                <w:color w:val="000000"/>
                <w:szCs w:val="18"/>
              </w:rPr>
              <w:t>夏日豪庭南侧沿街公园</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103945F">
            <w:pPr>
              <w:pStyle w:val="115"/>
              <w:jc w:val="center"/>
              <w:rPr>
                <w:b w:val="0"/>
                <w:color w:val="000000"/>
                <w:szCs w:val="18"/>
              </w:rPr>
            </w:pPr>
            <w:r>
              <w:rPr>
                <w:rFonts w:hint="eastAsia"/>
                <w:b w:val="0"/>
                <w:color w:val="000000"/>
                <w:szCs w:val="18"/>
              </w:rPr>
              <w:t>150206001202005-40</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424C024">
            <w:pPr>
              <w:pStyle w:val="115"/>
              <w:jc w:val="center"/>
              <w:rPr>
                <w:b w:val="0"/>
                <w:color w:val="000000"/>
                <w:szCs w:val="18"/>
              </w:rPr>
            </w:pPr>
            <w:r>
              <w:rPr>
                <w:rFonts w:hint="eastAsia"/>
                <w:b w:val="0"/>
                <w:color w:val="000000"/>
                <w:szCs w:val="18"/>
              </w:rPr>
              <w:t>15552.74</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E70CEBB">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33EC4568">
            <w:pPr>
              <w:pStyle w:val="115"/>
              <w:jc w:val="center"/>
              <w:rPr>
                <w:b w:val="0"/>
                <w:color w:val="000000"/>
                <w:szCs w:val="18"/>
              </w:rPr>
            </w:pPr>
            <w:r>
              <w:rPr>
                <w:rFonts w:hint="eastAsia"/>
                <w:b w:val="0"/>
                <w:color w:val="000000"/>
                <w:szCs w:val="18"/>
              </w:rPr>
              <w:t>现状</w:t>
            </w:r>
          </w:p>
        </w:tc>
      </w:tr>
      <w:tr w14:paraId="59CDD94E">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7A4DA243">
            <w:pPr>
              <w:pStyle w:val="115"/>
              <w:jc w:val="center"/>
              <w:rPr>
                <w:b w:val="0"/>
                <w:color w:val="000000"/>
                <w:szCs w:val="18"/>
              </w:rPr>
            </w:pPr>
            <w:r>
              <w:rPr>
                <w:rFonts w:hint="eastAsia"/>
                <w:b w:val="0"/>
                <w:color w:val="000000"/>
                <w:szCs w:val="18"/>
              </w:rPr>
              <w:t>39</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7A50348">
            <w:pPr>
              <w:pStyle w:val="115"/>
              <w:jc w:val="center"/>
              <w:rPr>
                <w:b w:val="0"/>
                <w:color w:val="000000"/>
                <w:szCs w:val="18"/>
              </w:rPr>
            </w:pPr>
            <w:r>
              <w:rPr>
                <w:rFonts w:hint="eastAsia"/>
                <w:b w:val="0"/>
                <w:color w:val="000000"/>
                <w:szCs w:val="18"/>
              </w:rPr>
              <w:t>防护绿地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0C6FCC8">
            <w:pPr>
              <w:pStyle w:val="115"/>
              <w:rPr>
                <w:b w:val="0"/>
                <w:color w:val="000000"/>
                <w:szCs w:val="18"/>
              </w:rPr>
            </w:pPr>
            <w:r>
              <w:rPr>
                <w:rFonts w:hint="eastAsia"/>
                <w:b w:val="0"/>
                <w:color w:val="000000"/>
                <w:szCs w:val="18"/>
              </w:rPr>
              <w:t>白云鄂博大街防护绿地07</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47FFEB7">
            <w:pPr>
              <w:pStyle w:val="115"/>
              <w:jc w:val="center"/>
              <w:rPr>
                <w:b w:val="0"/>
                <w:color w:val="000000"/>
                <w:szCs w:val="18"/>
              </w:rPr>
            </w:pPr>
            <w:r>
              <w:rPr>
                <w:rFonts w:hint="eastAsia"/>
                <w:b w:val="0"/>
                <w:color w:val="000000"/>
                <w:szCs w:val="18"/>
              </w:rPr>
              <w:t>150206001202005-41</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D2C47B6">
            <w:pPr>
              <w:pStyle w:val="115"/>
              <w:jc w:val="center"/>
              <w:rPr>
                <w:b w:val="0"/>
                <w:color w:val="000000"/>
                <w:szCs w:val="18"/>
              </w:rPr>
            </w:pPr>
            <w:r>
              <w:rPr>
                <w:rFonts w:hint="eastAsia"/>
                <w:b w:val="0"/>
                <w:color w:val="000000"/>
                <w:szCs w:val="18"/>
              </w:rPr>
              <w:t>2868.59</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EA00E16">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0C28A70B">
            <w:pPr>
              <w:pStyle w:val="115"/>
              <w:jc w:val="center"/>
              <w:rPr>
                <w:b w:val="0"/>
                <w:color w:val="000000"/>
                <w:szCs w:val="18"/>
              </w:rPr>
            </w:pPr>
            <w:r>
              <w:rPr>
                <w:rFonts w:hint="eastAsia"/>
                <w:b w:val="0"/>
                <w:color w:val="000000"/>
                <w:szCs w:val="18"/>
              </w:rPr>
              <w:t>现状</w:t>
            </w:r>
          </w:p>
        </w:tc>
      </w:tr>
      <w:tr w14:paraId="3213DF86">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3806A283">
            <w:pPr>
              <w:pStyle w:val="115"/>
              <w:jc w:val="center"/>
              <w:rPr>
                <w:b w:val="0"/>
                <w:color w:val="000000"/>
                <w:szCs w:val="18"/>
              </w:rPr>
            </w:pPr>
            <w:r>
              <w:rPr>
                <w:rFonts w:hint="eastAsia"/>
                <w:b w:val="0"/>
                <w:color w:val="000000"/>
                <w:szCs w:val="18"/>
              </w:rPr>
              <w:t>40</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E62A199">
            <w:pPr>
              <w:pStyle w:val="115"/>
              <w:jc w:val="center"/>
              <w:rPr>
                <w:b w:val="0"/>
                <w:color w:val="000000"/>
                <w:szCs w:val="18"/>
              </w:rPr>
            </w:pPr>
            <w:r>
              <w:rPr>
                <w:rFonts w:hint="eastAsia"/>
                <w:b w:val="0"/>
                <w:color w:val="000000"/>
                <w:szCs w:val="18"/>
              </w:rPr>
              <w:t>防护绿地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08C5608">
            <w:pPr>
              <w:pStyle w:val="115"/>
              <w:rPr>
                <w:b w:val="0"/>
                <w:color w:val="000000"/>
                <w:szCs w:val="18"/>
              </w:rPr>
            </w:pPr>
            <w:r>
              <w:rPr>
                <w:rFonts w:hint="eastAsia"/>
                <w:b w:val="0"/>
                <w:color w:val="000000"/>
                <w:szCs w:val="18"/>
              </w:rPr>
              <w:t>白云鄂博大街防护绿地08</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C7331E6">
            <w:pPr>
              <w:pStyle w:val="115"/>
              <w:jc w:val="center"/>
              <w:rPr>
                <w:b w:val="0"/>
                <w:color w:val="000000"/>
                <w:szCs w:val="18"/>
              </w:rPr>
            </w:pPr>
            <w:r>
              <w:rPr>
                <w:rFonts w:hint="eastAsia"/>
                <w:b w:val="0"/>
                <w:color w:val="000000"/>
                <w:szCs w:val="18"/>
              </w:rPr>
              <w:t>150206001202005-42</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A5C905F">
            <w:pPr>
              <w:pStyle w:val="115"/>
              <w:jc w:val="center"/>
              <w:rPr>
                <w:b w:val="0"/>
                <w:color w:val="000000"/>
                <w:szCs w:val="18"/>
              </w:rPr>
            </w:pPr>
            <w:r>
              <w:rPr>
                <w:rFonts w:hint="eastAsia"/>
                <w:b w:val="0"/>
                <w:color w:val="000000"/>
                <w:szCs w:val="18"/>
              </w:rPr>
              <w:t>2737.45</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35AB5AC">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658FBEC9">
            <w:pPr>
              <w:pStyle w:val="115"/>
              <w:jc w:val="center"/>
              <w:rPr>
                <w:b w:val="0"/>
                <w:color w:val="000000"/>
                <w:szCs w:val="18"/>
              </w:rPr>
            </w:pPr>
            <w:r>
              <w:rPr>
                <w:rFonts w:hint="eastAsia"/>
                <w:b w:val="0"/>
                <w:color w:val="000000"/>
                <w:szCs w:val="18"/>
              </w:rPr>
              <w:t>现状</w:t>
            </w:r>
          </w:p>
        </w:tc>
      </w:tr>
      <w:tr w14:paraId="7B5B09AF">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38F70222">
            <w:pPr>
              <w:pStyle w:val="115"/>
              <w:jc w:val="center"/>
              <w:rPr>
                <w:b w:val="0"/>
                <w:color w:val="000000"/>
                <w:szCs w:val="18"/>
              </w:rPr>
            </w:pPr>
            <w:r>
              <w:rPr>
                <w:rFonts w:hint="eastAsia"/>
                <w:b w:val="0"/>
                <w:color w:val="000000"/>
                <w:szCs w:val="18"/>
              </w:rPr>
              <w:t>41</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0B917BD">
            <w:pPr>
              <w:pStyle w:val="115"/>
              <w:jc w:val="center"/>
              <w:rPr>
                <w:b w:val="0"/>
                <w:color w:val="000000"/>
                <w:szCs w:val="18"/>
              </w:rPr>
            </w:pPr>
            <w:r>
              <w:rPr>
                <w:rFonts w:hint="eastAsia"/>
                <w:b w:val="0"/>
                <w:color w:val="000000"/>
                <w:szCs w:val="18"/>
              </w:rPr>
              <w:t>防护绿地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4066BF7">
            <w:pPr>
              <w:pStyle w:val="115"/>
              <w:rPr>
                <w:b w:val="0"/>
                <w:color w:val="000000"/>
                <w:szCs w:val="18"/>
              </w:rPr>
            </w:pPr>
            <w:r>
              <w:rPr>
                <w:rFonts w:hint="eastAsia"/>
                <w:b w:val="0"/>
                <w:color w:val="000000"/>
                <w:szCs w:val="18"/>
              </w:rPr>
              <w:t>白云鄂博大街防护绿地09</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3F7998B">
            <w:pPr>
              <w:pStyle w:val="115"/>
              <w:jc w:val="center"/>
              <w:rPr>
                <w:b w:val="0"/>
                <w:color w:val="000000"/>
                <w:szCs w:val="18"/>
              </w:rPr>
            </w:pPr>
            <w:r>
              <w:rPr>
                <w:rFonts w:hint="eastAsia"/>
                <w:b w:val="0"/>
                <w:color w:val="000000"/>
                <w:szCs w:val="18"/>
              </w:rPr>
              <w:t>150206001202005-44</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A4E6315">
            <w:pPr>
              <w:pStyle w:val="115"/>
              <w:jc w:val="center"/>
              <w:rPr>
                <w:b w:val="0"/>
                <w:color w:val="000000"/>
                <w:szCs w:val="18"/>
              </w:rPr>
            </w:pPr>
            <w:r>
              <w:rPr>
                <w:rFonts w:hint="eastAsia"/>
                <w:b w:val="0"/>
                <w:color w:val="000000"/>
                <w:szCs w:val="18"/>
              </w:rPr>
              <w:t>5636.7</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D9F634D">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0E37A04A">
            <w:pPr>
              <w:pStyle w:val="115"/>
              <w:jc w:val="center"/>
              <w:rPr>
                <w:b w:val="0"/>
                <w:color w:val="000000"/>
                <w:szCs w:val="18"/>
              </w:rPr>
            </w:pPr>
            <w:r>
              <w:rPr>
                <w:rFonts w:hint="eastAsia"/>
                <w:b w:val="0"/>
                <w:color w:val="000000"/>
                <w:szCs w:val="18"/>
              </w:rPr>
              <w:t>现状</w:t>
            </w:r>
          </w:p>
        </w:tc>
      </w:tr>
      <w:tr w14:paraId="4CCDA40F">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0A14C55E">
            <w:pPr>
              <w:pStyle w:val="115"/>
              <w:jc w:val="center"/>
              <w:rPr>
                <w:b w:val="0"/>
                <w:color w:val="000000"/>
                <w:szCs w:val="18"/>
              </w:rPr>
            </w:pPr>
            <w:r>
              <w:rPr>
                <w:rFonts w:hint="eastAsia"/>
                <w:b w:val="0"/>
                <w:color w:val="000000"/>
                <w:szCs w:val="18"/>
              </w:rPr>
              <w:t>42</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6D008FD">
            <w:pPr>
              <w:pStyle w:val="115"/>
              <w:jc w:val="center"/>
              <w:rPr>
                <w:b w:val="0"/>
                <w:color w:val="000000"/>
                <w:szCs w:val="18"/>
              </w:rPr>
            </w:pPr>
            <w:r>
              <w:rPr>
                <w:rFonts w:hint="eastAsia"/>
                <w:b w:val="0"/>
                <w:color w:val="000000"/>
                <w:szCs w:val="18"/>
              </w:rPr>
              <w:t>公园绿地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ED6D2B8">
            <w:pPr>
              <w:pStyle w:val="115"/>
              <w:rPr>
                <w:b w:val="0"/>
                <w:color w:val="000000"/>
                <w:szCs w:val="18"/>
              </w:rPr>
            </w:pPr>
            <w:r>
              <w:rPr>
                <w:rFonts w:hint="eastAsia"/>
                <w:b w:val="0"/>
                <w:color w:val="000000"/>
                <w:szCs w:val="18"/>
              </w:rPr>
              <w:t>巴润公寓北侧沿街公园</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7CC5F15">
            <w:pPr>
              <w:pStyle w:val="115"/>
              <w:jc w:val="center"/>
              <w:rPr>
                <w:b w:val="0"/>
                <w:color w:val="000000"/>
                <w:szCs w:val="18"/>
              </w:rPr>
            </w:pPr>
            <w:r>
              <w:rPr>
                <w:rFonts w:hint="eastAsia"/>
                <w:b w:val="0"/>
                <w:color w:val="000000"/>
                <w:szCs w:val="18"/>
              </w:rPr>
              <w:t>150206001202005-49</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36E071D">
            <w:pPr>
              <w:pStyle w:val="115"/>
              <w:jc w:val="center"/>
              <w:rPr>
                <w:b w:val="0"/>
                <w:color w:val="000000"/>
                <w:szCs w:val="18"/>
              </w:rPr>
            </w:pPr>
            <w:r>
              <w:rPr>
                <w:rFonts w:hint="eastAsia"/>
                <w:b w:val="0"/>
                <w:color w:val="000000"/>
                <w:szCs w:val="18"/>
              </w:rPr>
              <w:t>23197.4</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F60AB33">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76934893">
            <w:pPr>
              <w:pStyle w:val="115"/>
              <w:jc w:val="center"/>
              <w:rPr>
                <w:b w:val="0"/>
                <w:color w:val="000000"/>
                <w:szCs w:val="18"/>
              </w:rPr>
            </w:pPr>
            <w:r>
              <w:rPr>
                <w:rFonts w:hint="eastAsia"/>
                <w:b w:val="0"/>
                <w:color w:val="000000"/>
                <w:szCs w:val="18"/>
              </w:rPr>
              <w:t>现状</w:t>
            </w:r>
          </w:p>
        </w:tc>
      </w:tr>
      <w:tr w14:paraId="1FA64EC1">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73637933">
            <w:pPr>
              <w:pStyle w:val="115"/>
              <w:jc w:val="center"/>
              <w:rPr>
                <w:b w:val="0"/>
                <w:color w:val="000000"/>
                <w:szCs w:val="18"/>
              </w:rPr>
            </w:pPr>
            <w:r>
              <w:rPr>
                <w:rFonts w:hint="eastAsia"/>
                <w:b w:val="0"/>
                <w:color w:val="000000"/>
                <w:szCs w:val="18"/>
              </w:rPr>
              <w:t>43</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FB9FF83">
            <w:pPr>
              <w:pStyle w:val="115"/>
              <w:jc w:val="center"/>
              <w:rPr>
                <w:b w:val="0"/>
                <w:color w:val="000000"/>
                <w:szCs w:val="18"/>
              </w:rPr>
            </w:pPr>
            <w:r>
              <w:rPr>
                <w:rFonts w:hint="eastAsia"/>
                <w:b w:val="0"/>
                <w:color w:val="000000"/>
                <w:szCs w:val="18"/>
              </w:rPr>
              <w:t>广场用地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598F6B2">
            <w:pPr>
              <w:pStyle w:val="115"/>
              <w:rPr>
                <w:b w:val="0"/>
                <w:color w:val="000000"/>
                <w:szCs w:val="18"/>
              </w:rPr>
            </w:pPr>
            <w:r>
              <w:rPr>
                <w:rFonts w:hint="eastAsia"/>
                <w:b w:val="0"/>
                <w:color w:val="000000"/>
                <w:szCs w:val="18"/>
              </w:rPr>
              <w:t>环岛西南广场</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C395361">
            <w:pPr>
              <w:pStyle w:val="115"/>
              <w:jc w:val="center"/>
              <w:rPr>
                <w:b w:val="0"/>
                <w:color w:val="000000"/>
                <w:szCs w:val="18"/>
              </w:rPr>
            </w:pPr>
            <w:r>
              <w:rPr>
                <w:rFonts w:hint="eastAsia"/>
                <w:b w:val="0"/>
                <w:color w:val="000000"/>
                <w:szCs w:val="18"/>
              </w:rPr>
              <w:t>150206001202005-50</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C8C000D">
            <w:pPr>
              <w:pStyle w:val="115"/>
              <w:jc w:val="center"/>
              <w:rPr>
                <w:b w:val="0"/>
                <w:color w:val="000000"/>
                <w:szCs w:val="18"/>
              </w:rPr>
            </w:pPr>
            <w:r>
              <w:rPr>
                <w:rFonts w:hint="eastAsia"/>
                <w:b w:val="0"/>
                <w:color w:val="000000"/>
                <w:szCs w:val="18"/>
              </w:rPr>
              <w:t>3055.11</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7F39BB2">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1F62C4F2">
            <w:pPr>
              <w:pStyle w:val="115"/>
              <w:jc w:val="center"/>
              <w:rPr>
                <w:b w:val="0"/>
                <w:color w:val="000000"/>
                <w:szCs w:val="18"/>
              </w:rPr>
            </w:pPr>
            <w:r>
              <w:rPr>
                <w:rFonts w:hint="eastAsia"/>
                <w:b w:val="0"/>
                <w:color w:val="000000"/>
                <w:szCs w:val="18"/>
              </w:rPr>
              <w:t>现状</w:t>
            </w:r>
          </w:p>
        </w:tc>
      </w:tr>
      <w:tr w14:paraId="0A6277C9">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24A2E8D7">
            <w:pPr>
              <w:pStyle w:val="115"/>
              <w:jc w:val="center"/>
              <w:rPr>
                <w:b w:val="0"/>
                <w:color w:val="000000"/>
                <w:szCs w:val="18"/>
              </w:rPr>
            </w:pPr>
            <w:r>
              <w:rPr>
                <w:rFonts w:hint="eastAsia"/>
                <w:b w:val="0"/>
                <w:color w:val="000000"/>
                <w:szCs w:val="18"/>
              </w:rPr>
              <w:t>44</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7B6D8DB">
            <w:pPr>
              <w:pStyle w:val="115"/>
              <w:jc w:val="center"/>
              <w:rPr>
                <w:b w:val="0"/>
                <w:color w:val="000000"/>
                <w:szCs w:val="18"/>
              </w:rPr>
            </w:pPr>
            <w:r>
              <w:rPr>
                <w:rFonts w:hint="eastAsia"/>
                <w:b w:val="0"/>
                <w:color w:val="000000"/>
                <w:szCs w:val="18"/>
              </w:rPr>
              <w:t>公园绿地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5B05CAA">
            <w:pPr>
              <w:pStyle w:val="115"/>
              <w:rPr>
                <w:b w:val="0"/>
                <w:color w:val="000000"/>
                <w:szCs w:val="18"/>
              </w:rPr>
            </w:pPr>
            <w:r>
              <w:rPr>
                <w:rFonts w:hint="eastAsia"/>
                <w:b w:val="0"/>
                <w:color w:val="000000"/>
                <w:szCs w:val="18"/>
              </w:rPr>
              <w:t>环岛公园02</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94900DD">
            <w:pPr>
              <w:pStyle w:val="115"/>
              <w:jc w:val="center"/>
              <w:rPr>
                <w:b w:val="0"/>
                <w:color w:val="000000"/>
                <w:szCs w:val="18"/>
              </w:rPr>
            </w:pPr>
            <w:r>
              <w:rPr>
                <w:rFonts w:hint="eastAsia"/>
                <w:b w:val="0"/>
                <w:color w:val="000000"/>
                <w:szCs w:val="18"/>
              </w:rPr>
              <w:t>150206001202005-51</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4993705">
            <w:pPr>
              <w:pStyle w:val="115"/>
              <w:jc w:val="center"/>
              <w:rPr>
                <w:b w:val="0"/>
                <w:color w:val="000000"/>
                <w:szCs w:val="18"/>
              </w:rPr>
            </w:pPr>
            <w:r>
              <w:rPr>
                <w:rFonts w:hint="eastAsia"/>
                <w:b w:val="0"/>
                <w:color w:val="000000"/>
                <w:szCs w:val="18"/>
              </w:rPr>
              <w:t>1014.09</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36F9FDF">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2D1404B7">
            <w:pPr>
              <w:pStyle w:val="115"/>
              <w:jc w:val="center"/>
              <w:rPr>
                <w:b w:val="0"/>
                <w:color w:val="000000"/>
                <w:szCs w:val="18"/>
              </w:rPr>
            </w:pPr>
            <w:r>
              <w:rPr>
                <w:rFonts w:hint="eastAsia"/>
                <w:b w:val="0"/>
                <w:color w:val="000000"/>
                <w:szCs w:val="18"/>
              </w:rPr>
              <w:t>现状</w:t>
            </w:r>
          </w:p>
        </w:tc>
      </w:tr>
      <w:tr w14:paraId="0AC8367C">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22347117">
            <w:pPr>
              <w:pStyle w:val="115"/>
              <w:jc w:val="center"/>
              <w:rPr>
                <w:b w:val="0"/>
                <w:color w:val="000000"/>
                <w:szCs w:val="18"/>
              </w:rPr>
            </w:pPr>
            <w:r>
              <w:rPr>
                <w:rFonts w:hint="eastAsia"/>
                <w:b w:val="0"/>
                <w:color w:val="000000"/>
                <w:szCs w:val="18"/>
              </w:rPr>
              <w:t>45</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0850423">
            <w:pPr>
              <w:pStyle w:val="115"/>
              <w:jc w:val="center"/>
              <w:rPr>
                <w:b w:val="0"/>
                <w:color w:val="000000"/>
                <w:szCs w:val="18"/>
              </w:rPr>
            </w:pPr>
            <w:r>
              <w:rPr>
                <w:rFonts w:hint="eastAsia"/>
                <w:b w:val="0"/>
                <w:color w:val="000000"/>
                <w:szCs w:val="18"/>
              </w:rPr>
              <w:t>防护绿地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0DCDEDE">
            <w:pPr>
              <w:pStyle w:val="115"/>
              <w:rPr>
                <w:b w:val="0"/>
                <w:color w:val="000000"/>
                <w:szCs w:val="18"/>
              </w:rPr>
            </w:pPr>
            <w:r>
              <w:rPr>
                <w:rFonts w:hint="eastAsia"/>
                <w:b w:val="0"/>
                <w:color w:val="000000"/>
                <w:szCs w:val="18"/>
              </w:rPr>
              <w:t>加油站防护绿地</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9ABFAD1">
            <w:pPr>
              <w:pStyle w:val="115"/>
              <w:jc w:val="center"/>
              <w:rPr>
                <w:b w:val="0"/>
                <w:color w:val="000000"/>
                <w:szCs w:val="18"/>
              </w:rPr>
            </w:pPr>
            <w:r>
              <w:rPr>
                <w:rFonts w:hint="eastAsia"/>
                <w:b w:val="0"/>
                <w:color w:val="000000"/>
                <w:szCs w:val="18"/>
              </w:rPr>
              <w:t>150206001202005-52</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94514B0">
            <w:pPr>
              <w:pStyle w:val="115"/>
              <w:jc w:val="center"/>
              <w:rPr>
                <w:b w:val="0"/>
                <w:color w:val="000000"/>
                <w:szCs w:val="18"/>
              </w:rPr>
            </w:pPr>
            <w:r>
              <w:rPr>
                <w:rFonts w:hint="eastAsia"/>
                <w:b w:val="0"/>
                <w:color w:val="000000"/>
                <w:szCs w:val="18"/>
              </w:rPr>
              <w:t>3763.14</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EF2408A">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39EBA20A">
            <w:pPr>
              <w:pStyle w:val="115"/>
              <w:jc w:val="center"/>
              <w:rPr>
                <w:b w:val="0"/>
                <w:color w:val="000000"/>
                <w:szCs w:val="18"/>
              </w:rPr>
            </w:pPr>
            <w:r>
              <w:rPr>
                <w:rFonts w:hint="eastAsia"/>
                <w:b w:val="0"/>
                <w:color w:val="000000"/>
                <w:szCs w:val="18"/>
              </w:rPr>
              <w:t>现状</w:t>
            </w:r>
          </w:p>
        </w:tc>
      </w:tr>
      <w:tr w14:paraId="5A578E19">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109AC35C">
            <w:pPr>
              <w:pStyle w:val="115"/>
              <w:jc w:val="center"/>
              <w:rPr>
                <w:b w:val="0"/>
                <w:color w:val="000000"/>
                <w:szCs w:val="18"/>
              </w:rPr>
            </w:pPr>
            <w:r>
              <w:rPr>
                <w:rFonts w:hint="eastAsia"/>
                <w:b w:val="0"/>
                <w:color w:val="000000"/>
                <w:szCs w:val="18"/>
              </w:rPr>
              <w:t>46</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23A1185">
            <w:pPr>
              <w:pStyle w:val="115"/>
              <w:jc w:val="center"/>
              <w:rPr>
                <w:b w:val="0"/>
                <w:color w:val="000000"/>
                <w:szCs w:val="18"/>
              </w:rPr>
            </w:pPr>
            <w:r>
              <w:rPr>
                <w:rFonts w:hint="eastAsia"/>
                <w:b w:val="0"/>
                <w:color w:val="000000"/>
                <w:szCs w:val="18"/>
              </w:rPr>
              <w:t>公园绿地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320F94A">
            <w:pPr>
              <w:pStyle w:val="115"/>
              <w:rPr>
                <w:b w:val="0"/>
                <w:color w:val="000000"/>
                <w:szCs w:val="18"/>
              </w:rPr>
            </w:pPr>
            <w:r>
              <w:rPr>
                <w:rFonts w:hint="eastAsia"/>
                <w:b w:val="0"/>
                <w:color w:val="000000"/>
                <w:szCs w:val="18"/>
              </w:rPr>
              <w:t>巴润公寓西南角公园</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099C703">
            <w:pPr>
              <w:pStyle w:val="115"/>
              <w:jc w:val="center"/>
              <w:rPr>
                <w:b w:val="0"/>
                <w:color w:val="000000"/>
                <w:szCs w:val="18"/>
              </w:rPr>
            </w:pPr>
            <w:r>
              <w:rPr>
                <w:rFonts w:hint="eastAsia"/>
                <w:b w:val="0"/>
                <w:color w:val="000000"/>
                <w:szCs w:val="18"/>
              </w:rPr>
              <w:t>150206001202005-54</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83B45BA">
            <w:pPr>
              <w:pStyle w:val="115"/>
              <w:jc w:val="center"/>
              <w:rPr>
                <w:b w:val="0"/>
                <w:color w:val="000000"/>
                <w:szCs w:val="18"/>
              </w:rPr>
            </w:pPr>
            <w:r>
              <w:rPr>
                <w:rFonts w:hint="eastAsia"/>
                <w:b w:val="0"/>
                <w:color w:val="000000"/>
                <w:szCs w:val="18"/>
              </w:rPr>
              <w:t>834.67</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668639C">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2014FD36">
            <w:pPr>
              <w:pStyle w:val="115"/>
              <w:jc w:val="center"/>
              <w:rPr>
                <w:b w:val="0"/>
                <w:color w:val="000000"/>
                <w:szCs w:val="18"/>
              </w:rPr>
            </w:pPr>
            <w:r>
              <w:rPr>
                <w:rFonts w:hint="eastAsia"/>
                <w:b w:val="0"/>
                <w:color w:val="000000"/>
                <w:szCs w:val="18"/>
              </w:rPr>
              <w:t>现状</w:t>
            </w:r>
          </w:p>
        </w:tc>
      </w:tr>
      <w:tr w14:paraId="3465D28C">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7CBAE429">
            <w:pPr>
              <w:pStyle w:val="115"/>
              <w:jc w:val="center"/>
              <w:rPr>
                <w:b w:val="0"/>
                <w:color w:val="000000"/>
                <w:szCs w:val="18"/>
              </w:rPr>
            </w:pPr>
            <w:r>
              <w:rPr>
                <w:rFonts w:hint="eastAsia"/>
                <w:b w:val="0"/>
                <w:color w:val="000000"/>
                <w:szCs w:val="18"/>
              </w:rPr>
              <w:t>47</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6A840E5">
            <w:pPr>
              <w:pStyle w:val="115"/>
              <w:jc w:val="center"/>
              <w:rPr>
                <w:b w:val="0"/>
                <w:color w:val="000000"/>
                <w:szCs w:val="18"/>
              </w:rPr>
            </w:pPr>
            <w:r>
              <w:rPr>
                <w:rFonts w:hint="eastAsia"/>
                <w:b w:val="0"/>
                <w:color w:val="000000"/>
                <w:szCs w:val="18"/>
              </w:rPr>
              <w:t>防护绿地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9E24EB1">
            <w:pPr>
              <w:pStyle w:val="115"/>
              <w:rPr>
                <w:b w:val="0"/>
                <w:color w:val="000000"/>
                <w:szCs w:val="18"/>
              </w:rPr>
            </w:pPr>
            <w:r>
              <w:rPr>
                <w:rFonts w:hint="eastAsia"/>
                <w:b w:val="0"/>
                <w:color w:val="000000"/>
                <w:szCs w:val="18"/>
              </w:rPr>
              <w:t>通阳道防护绿地03</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3563828">
            <w:pPr>
              <w:pStyle w:val="115"/>
              <w:jc w:val="center"/>
              <w:rPr>
                <w:b w:val="0"/>
                <w:color w:val="000000"/>
                <w:szCs w:val="18"/>
              </w:rPr>
            </w:pPr>
            <w:r>
              <w:rPr>
                <w:rFonts w:hint="eastAsia"/>
                <w:b w:val="0"/>
                <w:color w:val="000000"/>
                <w:szCs w:val="18"/>
              </w:rPr>
              <w:t>150206001202005-57</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C9B0271">
            <w:pPr>
              <w:pStyle w:val="115"/>
              <w:jc w:val="center"/>
              <w:rPr>
                <w:b w:val="0"/>
                <w:color w:val="000000"/>
                <w:szCs w:val="18"/>
              </w:rPr>
            </w:pPr>
            <w:r>
              <w:rPr>
                <w:rFonts w:hint="eastAsia"/>
                <w:b w:val="0"/>
                <w:color w:val="000000"/>
                <w:szCs w:val="18"/>
              </w:rPr>
              <w:t>738.15</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801DE71">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165B72EF">
            <w:pPr>
              <w:pStyle w:val="115"/>
              <w:jc w:val="center"/>
              <w:rPr>
                <w:b w:val="0"/>
                <w:color w:val="000000"/>
                <w:szCs w:val="18"/>
              </w:rPr>
            </w:pPr>
            <w:r>
              <w:rPr>
                <w:rFonts w:hint="eastAsia"/>
                <w:b w:val="0"/>
                <w:color w:val="000000"/>
                <w:szCs w:val="18"/>
              </w:rPr>
              <w:t>现状</w:t>
            </w:r>
          </w:p>
        </w:tc>
      </w:tr>
      <w:tr w14:paraId="4C8497C6">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658E04B2">
            <w:pPr>
              <w:pStyle w:val="115"/>
              <w:jc w:val="center"/>
              <w:rPr>
                <w:b w:val="0"/>
                <w:color w:val="000000"/>
                <w:szCs w:val="18"/>
              </w:rPr>
            </w:pPr>
            <w:r>
              <w:rPr>
                <w:rFonts w:hint="eastAsia"/>
                <w:b w:val="0"/>
                <w:color w:val="000000"/>
                <w:szCs w:val="18"/>
              </w:rPr>
              <w:t>48</w:t>
            </w:r>
          </w:p>
        </w:tc>
        <w:tc>
          <w:tcPr>
            <w:tcW w:w="58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5139082">
            <w:pPr>
              <w:pStyle w:val="115"/>
              <w:jc w:val="center"/>
              <w:rPr>
                <w:b w:val="0"/>
                <w:color w:val="000000"/>
                <w:szCs w:val="18"/>
              </w:rPr>
            </w:pPr>
            <w:r>
              <w:rPr>
                <w:rFonts w:hint="eastAsia"/>
                <w:b w:val="0"/>
                <w:color w:val="000000"/>
                <w:szCs w:val="18"/>
              </w:rPr>
              <w:t>防护绿地</w:t>
            </w:r>
          </w:p>
        </w:tc>
        <w:tc>
          <w:tcPr>
            <w:tcW w:w="11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BD723CC">
            <w:pPr>
              <w:pStyle w:val="115"/>
              <w:rPr>
                <w:b w:val="0"/>
                <w:color w:val="000000"/>
                <w:szCs w:val="18"/>
              </w:rPr>
            </w:pPr>
            <w:r>
              <w:rPr>
                <w:rFonts w:hint="eastAsia"/>
                <w:b w:val="0"/>
                <w:color w:val="000000"/>
                <w:szCs w:val="18"/>
              </w:rPr>
              <w:t>通阳道防护绿地04</w:t>
            </w:r>
          </w:p>
        </w:tc>
        <w:tc>
          <w:tcPr>
            <w:tcW w:w="11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544007E">
            <w:pPr>
              <w:pStyle w:val="115"/>
              <w:jc w:val="center"/>
              <w:rPr>
                <w:b w:val="0"/>
                <w:color w:val="000000"/>
                <w:szCs w:val="18"/>
              </w:rPr>
            </w:pPr>
            <w:r>
              <w:rPr>
                <w:rFonts w:hint="eastAsia"/>
                <w:b w:val="0"/>
                <w:color w:val="000000"/>
                <w:szCs w:val="18"/>
              </w:rPr>
              <w:t>150206001202005-59</w:t>
            </w:r>
          </w:p>
        </w:tc>
        <w:tc>
          <w:tcPr>
            <w:tcW w:w="70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EFF3B64">
            <w:pPr>
              <w:pStyle w:val="115"/>
              <w:jc w:val="center"/>
              <w:rPr>
                <w:b w:val="0"/>
                <w:color w:val="000000"/>
                <w:szCs w:val="18"/>
              </w:rPr>
            </w:pPr>
            <w:r>
              <w:rPr>
                <w:rFonts w:hint="eastAsia"/>
                <w:b w:val="0"/>
                <w:color w:val="000000"/>
                <w:szCs w:val="18"/>
              </w:rPr>
              <w:t>32.97</w:t>
            </w:r>
          </w:p>
        </w:tc>
        <w:tc>
          <w:tcPr>
            <w:tcW w:w="5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B5C2C32">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032C71A7">
            <w:pPr>
              <w:pStyle w:val="115"/>
              <w:jc w:val="center"/>
              <w:rPr>
                <w:b w:val="0"/>
                <w:color w:val="000000"/>
                <w:szCs w:val="18"/>
              </w:rPr>
            </w:pPr>
            <w:r>
              <w:rPr>
                <w:rFonts w:hint="eastAsia"/>
                <w:b w:val="0"/>
                <w:color w:val="000000"/>
                <w:szCs w:val="18"/>
              </w:rPr>
              <w:t>现状</w:t>
            </w:r>
          </w:p>
        </w:tc>
      </w:tr>
      <w:tr w14:paraId="2862BEC0">
        <w:tblPrEx>
          <w:tblCellMar>
            <w:top w:w="0" w:type="dxa"/>
            <w:left w:w="108" w:type="dxa"/>
            <w:bottom w:w="0" w:type="dxa"/>
            <w:right w:w="108" w:type="dxa"/>
          </w:tblCellMar>
        </w:tblPrEx>
        <w:trPr>
          <w:trHeight w:val="113" w:hRule="atLeast"/>
        </w:trPr>
        <w:tc>
          <w:tcPr>
            <w:tcW w:w="410" w:type="pct"/>
            <w:tcBorders>
              <w:top w:val="single" w:color="000000" w:sz="4" w:space="0"/>
              <w:left w:val="single" w:color="000000" w:sz="12" w:space="0"/>
              <w:bottom w:val="single" w:color="000000" w:sz="12" w:space="0"/>
              <w:right w:val="single" w:color="000000" w:sz="4" w:space="0"/>
            </w:tcBorders>
            <w:shd w:val="clear" w:color="auto" w:fill="FFFFFF"/>
            <w:vAlign w:val="center"/>
          </w:tcPr>
          <w:p w14:paraId="11BD7106">
            <w:pPr>
              <w:pStyle w:val="115"/>
              <w:jc w:val="center"/>
              <w:rPr>
                <w:b w:val="0"/>
                <w:color w:val="000000"/>
                <w:szCs w:val="18"/>
              </w:rPr>
            </w:pPr>
            <w:r>
              <w:rPr>
                <w:rFonts w:hint="eastAsia"/>
                <w:b w:val="0"/>
                <w:color w:val="000000"/>
                <w:szCs w:val="18"/>
              </w:rPr>
              <w:t>49</w:t>
            </w:r>
          </w:p>
        </w:tc>
        <w:tc>
          <w:tcPr>
            <w:tcW w:w="587"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44B3F7C2">
            <w:pPr>
              <w:pStyle w:val="115"/>
              <w:jc w:val="center"/>
              <w:rPr>
                <w:b w:val="0"/>
                <w:color w:val="000000"/>
                <w:szCs w:val="18"/>
              </w:rPr>
            </w:pPr>
            <w:r>
              <w:rPr>
                <w:rFonts w:hint="eastAsia"/>
                <w:b w:val="0"/>
                <w:color w:val="000000"/>
                <w:szCs w:val="18"/>
              </w:rPr>
              <w:t>防护绿地</w:t>
            </w:r>
          </w:p>
        </w:tc>
        <w:tc>
          <w:tcPr>
            <w:tcW w:w="1145"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21CEC1C4">
            <w:pPr>
              <w:pStyle w:val="115"/>
              <w:rPr>
                <w:b w:val="0"/>
                <w:color w:val="000000"/>
                <w:szCs w:val="18"/>
              </w:rPr>
            </w:pPr>
            <w:r>
              <w:rPr>
                <w:rFonts w:hint="eastAsia"/>
                <w:b w:val="0"/>
                <w:color w:val="000000"/>
                <w:szCs w:val="18"/>
              </w:rPr>
              <w:t>通阳道防护绿地05</w:t>
            </w:r>
          </w:p>
        </w:tc>
        <w:tc>
          <w:tcPr>
            <w:tcW w:w="1172"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0AD738B1">
            <w:pPr>
              <w:pStyle w:val="115"/>
              <w:jc w:val="center"/>
              <w:rPr>
                <w:b w:val="0"/>
                <w:color w:val="000000"/>
                <w:szCs w:val="18"/>
              </w:rPr>
            </w:pPr>
            <w:r>
              <w:rPr>
                <w:rFonts w:hint="eastAsia"/>
                <w:b w:val="0"/>
                <w:color w:val="000000"/>
                <w:szCs w:val="18"/>
              </w:rPr>
              <w:t>150206001202005-60</w:t>
            </w:r>
          </w:p>
        </w:tc>
        <w:tc>
          <w:tcPr>
            <w:tcW w:w="704"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46F7CE9B">
            <w:pPr>
              <w:pStyle w:val="115"/>
              <w:jc w:val="center"/>
              <w:rPr>
                <w:b w:val="0"/>
                <w:color w:val="000000"/>
                <w:szCs w:val="18"/>
              </w:rPr>
            </w:pPr>
            <w:r>
              <w:rPr>
                <w:rFonts w:hint="eastAsia"/>
                <w:b w:val="0"/>
                <w:color w:val="000000"/>
                <w:szCs w:val="18"/>
              </w:rPr>
              <w:t>1024.84</w:t>
            </w:r>
          </w:p>
        </w:tc>
        <w:tc>
          <w:tcPr>
            <w:tcW w:w="572"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60B6CEDA">
            <w:pPr>
              <w:pStyle w:val="115"/>
              <w:jc w:val="center"/>
              <w:rPr>
                <w:b w:val="0"/>
                <w:color w:val="000000"/>
                <w:szCs w:val="18"/>
              </w:rPr>
            </w:pPr>
            <w:r>
              <w:rPr>
                <w:rFonts w:hint="eastAsia"/>
                <w:b w:val="0"/>
                <w:color w:val="000000"/>
                <w:szCs w:val="18"/>
              </w:rPr>
              <w:t>刚性</w:t>
            </w:r>
          </w:p>
        </w:tc>
        <w:tc>
          <w:tcPr>
            <w:tcW w:w="407" w:type="pct"/>
            <w:tcBorders>
              <w:top w:val="single" w:color="000000" w:sz="4" w:space="0"/>
              <w:left w:val="single" w:color="000000" w:sz="4" w:space="0"/>
              <w:bottom w:val="single" w:color="000000" w:sz="12" w:space="0"/>
              <w:right w:val="single" w:color="000000" w:sz="12" w:space="0"/>
            </w:tcBorders>
            <w:shd w:val="clear" w:color="auto" w:fill="FFFFFF"/>
            <w:vAlign w:val="center"/>
          </w:tcPr>
          <w:p w14:paraId="39040131">
            <w:pPr>
              <w:pStyle w:val="115"/>
              <w:jc w:val="center"/>
              <w:rPr>
                <w:b w:val="0"/>
                <w:color w:val="000000"/>
                <w:szCs w:val="18"/>
              </w:rPr>
            </w:pPr>
            <w:r>
              <w:rPr>
                <w:rFonts w:hint="eastAsia"/>
                <w:b w:val="0"/>
                <w:color w:val="000000"/>
                <w:szCs w:val="18"/>
              </w:rPr>
              <w:t>现状</w:t>
            </w:r>
          </w:p>
        </w:tc>
      </w:tr>
    </w:tbl>
    <w:p w14:paraId="36970542">
      <w:pPr>
        <w:pStyle w:val="3"/>
        <w:numPr>
          <w:ilvl w:val="1"/>
          <w:numId w:val="5"/>
        </w:numPr>
        <w:spacing w:before="332" w:after="166"/>
        <w:rPr>
          <w:rFonts w:hint="eastAsia"/>
        </w:rPr>
      </w:pPr>
      <w:r>
        <w:rPr>
          <w:rFonts w:hint="eastAsia"/>
        </w:rPr>
        <w:t>公园绿地控制要求</w:t>
      </w:r>
    </w:p>
    <w:p w14:paraId="1F13B375">
      <w:pPr>
        <w:spacing w:after="166"/>
        <w:ind w:firstLine="500"/>
        <w:rPr>
          <w:lang w:val="en-US"/>
        </w:rPr>
      </w:pPr>
      <w:r>
        <w:rPr>
          <w:rFonts w:hint="eastAsia"/>
          <w:lang w:val="en-US"/>
        </w:rPr>
        <w:t>本规划区内公园绿地主要为集中公园绿地和沿路带状绿地。</w:t>
      </w:r>
    </w:p>
    <w:p w14:paraId="34230D48">
      <w:pPr>
        <w:pStyle w:val="4"/>
        <w:numPr>
          <w:ilvl w:val="2"/>
          <w:numId w:val="5"/>
        </w:numPr>
        <w:spacing w:before="332" w:after="166"/>
        <w:rPr>
          <w:rFonts w:hint="eastAsia"/>
          <w:lang w:val="en-US"/>
        </w:rPr>
      </w:pPr>
      <w:r>
        <w:rPr>
          <w:rFonts w:hint="eastAsia"/>
          <w:lang w:val="en-US"/>
        </w:rPr>
        <w:t>集中公园绿地的规划控制要求</w:t>
      </w:r>
    </w:p>
    <w:p w14:paraId="3B7C322D">
      <w:pPr>
        <w:spacing w:after="166"/>
        <w:ind w:firstLine="500"/>
        <w:rPr>
          <w:lang w:val="en-US"/>
        </w:rPr>
      </w:pPr>
      <w:r>
        <w:rPr>
          <w:rFonts w:hint="eastAsia"/>
          <w:lang w:val="en-US"/>
        </w:rPr>
        <w:t>规划以下限控制，绿化用地面积应大于65%。宜设置游览、休闲、健身、儿童游戏、运动、文化科普等多种设施。主要出入口的位置和规模，应与城镇交通和游人走向、流量相适应。应结合城镇综合防灾要求，设置应急避险场地与设施。</w:t>
      </w:r>
    </w:p>
    <w:p w14:paraId="3C2CE0C8">
      <w:pPr>
        <w:pStyle w:val="4"/>
        <w:numPr>
          <w:ilvl w:val="2"/>
          <w:numId w:val="5"/>
        </w:numPr>
        <w:spacing w:before="332" w:after="166"/>
        <w:rPr>
          <w:rFonts w:hint="eastAsia"/>
          <w:lang w:val="en-US"/>
        </w:rPr>
      </w:pPr>
      <w:r>
        <w:rPr>
          <w:rFonts w:hint="eastAsia"/>
          <w:lang w:val="en-US"/>
        </w:rPr>
        <w:t>沿街带状绿地的规划控制要求</w:t>
      </w:r>
    </w:p>
    <w:p w14:paraId="018FE1E4">
      <w:pPr>
        <w:spacing w:after="166"/>
        <w:ind w:firstLine="500"/>
        <w:rPr>
          <w:lang w:val="en-US"/>
        </w:rPr>
      </w:pPr>
      <w:r>
        <w:rPr>
          <w:rFonts w:hint="eastAsia"/>
          <w:lang w:val="en-US"/>
        </w:rPr>
        <w:t>规划以下限控制，绿化用地面积应大于65%。应注重街景效果；应设置休憩设施，可设置儿童游戏、运动康体、文化科普、公共服务设施。</w:t>
      </w:r>
    </w:p>
    <w:p w14:paraId="7680A0B1">
      <w:pPr>
        <w:pStyle w:val="3"/>
        <w:numPr>
          <w:ilvl w:val="1"/>
          <w:numId w:val="5"/>
        </w:numPr>
        <w:spacing w:before="332" w:after="166"/>
        <w:rPr>
          <w:rFonts w:hint="eastAsia"/>
        </w:rPr>
      </w:pPr>
      <w:r>
        <w:rPr>
          <w:rFonts w:hint="eastAsia"/>
        </w:rPr>
        <w:t>绿化建设要求</w:t>
      </w:r>
    </w:p>
    <w:p w14:paraId="67B50A2D">
      <w:pPr>
        <w:pStyle w:val="4"/>
        <w:numPr>
          <w:ilvl w:val="2"/>
          <w:numId w:val="5"/>
        </w:numPr>
        <w:spacing w:before="332" w:after="166"/>
        <w:rPr>
          <w:rFonts w:hint="eastAsia"/>
          <w:lang w:val="en-US"/>
        </w:rPr>
      </w:pPr>
      <w:r>
        <w:rPr>
          <w:rFonts w:hint="eastAsia"/>
          <w:lang w:val="en-US"/>
        </w:rPr>
        <w:t>绿化建设要求</w:t>
      </w:r>
      <w:r>
        <w:rPr>
          <w:lang w:val="en-US"/>
        </w:rPr>
        <w:t xml:space="preserve"> </w:t>
      </w:r>
    </w:p>
    <w:p w14:paraId="22FA7B43">
      <w:pPr>
        <w:spacing w:after="166"/>
        <w:ind w:firstLine="500"/>
      </w:pPr>
      <w:r>
        <w:rPr>
          <w:rFonts w:hint="eastAsia"/>
          <w:lang w:val="en-US"/>
        </w:rPr>
        <w:t>合理确定乔灌草比例，公园绿地的乔灌木比例达到</w:t>
      </w:r>
      <w:r>
        <w:rPr>
          <w:lang w:val="en-US"/>
        </w:rPr>
        <w:t>70%</w:t>
      </w:r>
      <w:r>
        <w:rPr>
          <w:rFonts w:hint="eastAsia"/>
          <w:lang w:val="en-US"/>
        </w:rPr>
        <w:t>，以乡土树种为主，增强绿化的生态维护功能。植物种类选择注重夏季遮荫与冬季透光的结合，植物种植注重防风与通风的结合，同时发挥滞尘、防噪、净化空气的作用，提高绿化的综合服务功能。植物搭配要形成丰富的层次、优美的形态以及与环境氛围相协调的色彩，并注重季相的变化，发挥绿化的景观塑造功能。</w:t>
      </w:r>
    </w:p>
    <w:p w14:paraId="1C7DE380">
      <w:pPr>
        <w:pStyle w:val="117"/>
      </w:pPr>
      <w:r>
        <w:t xml:space="preserve">表 </w:t>
      </w:r>
      <w:r>
        <w:rPr>
          <w:rFonts w:hint="eastAsia"/>
          <w:lang w:eastAsia="zh"/>
        </w:rPr>
        <w:t>7</w:t>
      </w:r>
      <w:r>
        <w:t>-1  各类用地绿化建设控制指标</w:t>
      </w:r>
    </w:p>
    <w:tbl>
      <w:tblPr>
        <w:tblStyle w:val="267"/>
        <w:tblW w:w="5064" w:type="pct"/>
        <w:jc w:val="center"/>
        <w:tblBorders>
          <w:top w:val="single" w:color="auto" w:sz="8" w:space="0"/>
          <w:left w:val="single" w:color="auto" w:sz="8" w:space="0"/>
          <w:bottom w:val="single" w:color="auto" w:sz="8" w:space="0"/>
          <w:right w:val="single" w:color="auto" w:sz="8" w:space="0"/>
          <w:insideH w:val="single" w:color="000000" w:sz="2" w:space="0"/>
          <w:insideV w:val="single" w:color="000000" w:sz="2" w:space="0"/>
        </w:tblBorders>
        <w:tblLayout w:type="autofit"/>
        <w:tblCellMar>
          <w:top w:w="0" w:type="dxa"/>
          <w:left w:w="0" w:type="dxa"/>
          <w:bottom w:w="0" w:type="dxa"/>
          <w:right w:w="0" w:type="dxa"/>
        </w:tblCellMar>
      </w:tblPr>
      <w:tblGrid>
        <w:gridCol w:w="912"/>
        <w:gridCol w:w="2473"/>
        <w:gridCol w:w="3236"/>
        <w:gridCol w:w="1822"/>
      </w:tblGrid>
      <w:tr w14:paraId="6ED15054">
        <w:tblPrEx>
          <w:tblBorders>
            <w:top w:val="single" w:color="auto" w:sz="8" w:space="0"/>
            <w:left w:val="single" w:color="auto" w:sz="8" w:space="0"/>
            <w:bottom w:val="single" w:color="auto" w:sz="8" w:space="0"/>
            <w:right w:val="single" w:color="auto" w:sz="8" w:space="0"/>
            <w:insideH w:val="single" w:color="000000" w:sz="2" w:space="0"/>
            <w:insideV w:val="single" w:color="000000" w:sz="2" w:space="0"/>
          </w:tblBorders>
          <w:tblCellMar>
            <w:top w:w="0" w:type="dxa"/>
            <w:left w:w="0" w:type="dxa"/>
            <w:bottom w:w="0" w:type="dxa"/>
            <w:right w:w="0" w:type="dxa"/>
          </w:tblCellMar>
        </w:tblPrEx>
        <w:trPr>
          <w:trHeight w:val="57" w:hRule="atLeast"/>
          <w:jc w:val="center"/>
        </w:trPr>
        <w:tc>
          <w:tcPr>
            <w:tcW w:w="540" w:type="pct"/>
            <w:tcBorders>
              <w:top w:val="single" w:color="000000" w:sz="12" w:space="0"/>
              <w:left w:val="single" w:color="000000" w:sz="12" w:space="0"/>
              <w:bottom w:val="single" w:color="000000" w:sz="4" w:space="0"/>
              <w:right w:val="single" w:color="000000" w:sz="4" w:space="0"/>
              <w:tl2br w:val="nil"/>
            </w:tcBorders>
            <w:shd w:val="clear" w:color="auto" w:fill="FFFFFF"/>
            <w:vAlign w:val="center"/>
          </w:tcPr>
          <w:p w14:paraId="5F6DAE74">
            <w:pPr>
              <w:pStyle w:val="115"/>
              <w:jc w:val="center"/>
              <w:rPr>
                <w:b w:val="0"/>
                <w:color w:val="000000"/>
              </w:rPr>
            </w:pPr>
            <w:r>
              <w:rPr>
                <w:rFonts w:hint="eastAsia"/>
                <w:b w:val="0"/>
                <w:color w:val="000000"/>
              </w:rPr>
              <w:t>序号</w:t>
            </w:r>
          </w:p>
        </w:tc>
        <w:tc>
          <w:tcPr>
            <w:tcW w:w="1464"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5F468172">
            <w:pPr>
              <w:pStyle w:val="115"/>
              <w:jc w:val="center"/>
              <w:rPr>
                <w:b w:val="0"/>
                <w:color w:val="000000"/>
              </w:rPr>
            </w:pPr>
            <w:r>
              <w:rPr>
                <w:rFonts w:hint="eastAsia"/>
                <w:b w:val="0"/>
                <w:color w:val="000000"/>
              </w:rPr>
              <w:t>用地类别</w:t>
            </w:r>
          </w:p>
        </w:tc>
        <w:tc>
          <w:tcPr>
            <w:tcW w:w="1916"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31C036E8">
            <w:pPr>
              <w:pStyle w:val="115"/>
              <w:jc w:val="center"/>
              <w:rPr>
                <w:b w:val="0"/>
                <w:color w:val="000000"/>
              </w:rPr>
            </w:pPr>
            <w:r>
              <w:rPr>
                <w:rFonts w:hint="eastAsia"/>
                <w:b w:val="0"/>
                <w:color w:val="000000"/>
              </w:rPr>
              <w:t>每100平方米绿地乔木数量（株）</w:t>
            </w:r>
          </w:p>
        </w:tc>
        <w:tc>
          <w:tcPr>
            <w:tcW w:w="1079" w:type="pct"/>
            <w:tcBorders>
              <w:top w:val="single" w:color="000000" w:sz="12" w:space="0"/>
              <w:left w:val="single" w:color="000000" w:sz="4" w:space="0"/>
              <w:bottom w:val="single" w:color="000000" w:sz="4" w:space="0"/>
              <w:right w:val="single" w:color="000000" w:sz="12" w:space="0"/>
            </w:tcBorders>
            <w:shd w:val="clear" w:color="auto" w:fill="FFFFFF"/>
            <w:vAlign w:val="center"/>
          </w:tcPr>
          <w:p w14:paraId="5206AA38">
            <w:pPr>
              <w:pStyle w:val="115"/>
              <w:jc w:val="center"/>
              <w:rPr>
                <w:b w:val="0"/>
                <w:color w:val="000000"/>
              </w:rPr>
            </w:pPr>
            <w:r>
              <w:rPr>
                <w:rFonts w:hint="eastAsia"/>
                <w:b w:val="0"/>
                <w:color w:val="000000"/>
              </w:rPr>
              <w:t>本地植物指数</w:t>
            </w:r>
          </w:p>
        </w:tc>
      </w:tr>
      <w:tr w14:paraId="07875CF3">
        <w:tblPrEx>
          <w:tblBorders>
            <w:top w:val="single" w:color="auto" w:sz="8" w:space="0"/>
            <w:left w:val="single" w:color="auto" w:sz="8" w:space="0"/>
            <w:bottom w:val="single" w:color="auto" w:sz="8" w:space="0"/>
            <w:right w:val="single" w:color="auto" w:sz="8" w:space="0"/>
            <w:insideH w:val="single" w:color="000000" w:sz="2" w:space="0"/>
            <w:insideV w:val="single" w:color="000000" w:sz="2" w:space="0"/>
          </w:tblBorders>
          <w:tblCellMar>
            <w:top w:w="0" w:type="dxa"/>
            <w:left w:w="0" w:type="dxa"/>
            <w:bottom w:w="0" w:type="dxa"/>
            <w:right w:w="0" w:type="dxa"/>
          </w:tblCellMar>
        </w:tblPrEx>
        <w:trPr>
          <w:trHeight w:val="57" w:hRule="atLeast"/>
          <w:jc w:val="center"/>
        </w:trPr>
        <w:tc>
          <w:tcPr>
            <w:tcW w:w="54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12AE5C11">
            <w:pPr>
              <w:pStyle w:val="115"/>
              <w:jc w:val="center"/>
              <w:rPr>
                <w:b w:val="0"/>
                <w:color w:val="000000"/>
              </w:rPr>
            </w:pPr>
            <w:r>
              <w:rPr>
                <w:rFonts w:hint="eastAsia"/>
                <w:b w:val="0"/>
                <w:color w:val="000000"/>
              </w:rPr>
              <w:t>1</w:t>
            </w:r>
          </w:p>
        </w:tc>
        <w:tc>
          <w:tcPr>
            <w:tcW w:w="146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A384813">
            <w:pPr>
              <w:pStyle w:val="115"/>
              <w:jc w:val="center"/>
              <w:rPr>
                <w:b w:val="0"/>
                <w:color w:val="000000"/>
              </w:rPr>
            </w:pPr>
            <w:r>
              <w:rPr>
                <w:rFonts w:hint="eastAsia"/>
                <w:b w:val="0"/>
                <w:color w:val="000000"/>
              </w:rPr>
              <w:t>居住用地</w:t>
            </w:r>
          </w:p>
        </w:tc>
        <w:tc>
          <w:tcPr>
            <w:tcW w:w="191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B7349A4">
            <w:pPr>
              <w:pStyle w:val="115"/>
              <w:jc w:val="center"/>
              <w:rPr>
                <w:b w:val="0"/>
                <w:color w:val="000000"/>
              </w:rPr>
            </w:pPr>
            <w:r>
              <w:rPr>
                <w:rFonts w:hint="eastAsia"/>
                <w:b w:val="0"/>
                <w:color w:val="000000"/>
              </w:rPr>
              <w:t>≥3</w:t>
            </w:r>
          </w:p>
        </w:tc>
        <w:tc>
          <w:tcPr>
            <w:tcW w:w="1079"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5AE85F3E">
            <w:pPr>
              <w:pStyle w:val="115"/>
              <w:jc w:val="center"/>
              <w:rPr>
                <w:b w:val="0"/>
                <w:color w:val="000000"/>
              </w:rPr>
            </w:pPr>
            <w:r>
              <w:rPr>
                <w:rFonts w:hint="eastAsia"/>
                <w:b w:val="0"/>
                <w:color w:val="000000"/>
              </w:rPr>
              <w:t>≥0.8</w:t>
            </w:r>
          </w:p>
        </w:tc>
      </w:tr>
      <w:tr w14:paraId="62D91A49">
        <w:tblPrEx>
          <w:tblBorders>
            <w:top w:val="single" w:color="auto" w:sz="8" w:space="0"/>
            <w:left w:val="single" w:color="auto" w:sz="8" w:space="0"/>
            <w:bottom w:val="single" w:color="auto" w:sz="8" w:space="0"/>
            <w:right w:val="single" w:color="auto" w:sz="8" w:space="0"/>
            <w:insideH w:val="single" w:color="000000" w:sz="2" w:space="0"/>
            <w:insideV w:val="single" w:color="000000" w:sz="2" w:space="0"/>
          </w:tblBorders>
          <w:tblCellMar>
            <w:top w:w="0" w:type="dxa"/>
            <w:left w:w="0" w:type="dxa"/>
            <w:bottom w:w="0" w:type="dxa"/>
            <w:right w:w="0" w:type="dxa"/>
          </w:tblCellMar>
        </w:tblPrEx>
        <w:trPr>
          <w:trHeight w:val="57" w:hRule="atLeast"/>
          <w:jc w:val="center"/>
        </w:trPr>
        <w:tc>
          <w:tcPr>
            <w:tcW w:w="54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662282E6">
            <w:pPr>
              <w:pStyle w:val="115"/>
              <w:jc w:val="center"/>
              <w:rPr>
                <w:b w:val="0"/>
                <w:color w:val="000000"/>
              </w:rPr>
            </w:pPr>
            <w:r>
              <w:rPr>
                <w:rFonts w:hint="eastAsia"/>
                <w:b w:val="0"/>
                <w:color w:val="000000"/>
              </w:rPr>
              <w:t>2</w:t>
            </w:r>
          </w:p>
        </w:tc>
        <w:tc>
          <w:tcPr>
            <w:tcW w:w="146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8256389">
            <w:pPr>
              <w:pStyle w:val="115"/>
              <w:jc w:val="center"/>
              <w:rPr>
                <w:b w:val="0"/>
                <w:color w:val="000000"/>
              </w:rPr>
            </w:pPr>
            <w:r>
              <w:rPr>
                <w:rFonts w:hint="eastAsia"/>
                <w:b w:val="0"/>
                <w:color w:val="000000"/>
              </w:rPr>
              <w:t>公共管理与公共服务用地</w:t>
            </w:r>
          </w:p>
        </w:tc>
        <w:tc>
          <w:tcPr>
            <w:tcW w:w="191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AD49E2D">
            <w:pPr>
              <w:pStyle w:val="115"/>
              <w:jc w:val="center"/>
              <w:rPr>
                <w:b w:val="0"/>
                <w:color w:val="000000"/>
              </w:rPr>
            </w:pPr>
            <w:r>
              <w:rPr>
                <w:rFonts w:hint="eastAsia"/>
                <w:b w:val="0"/>
                <w:color w:val="000000"/>
              </w:rPr>
              <w:t>≥3</w:t>
            </w:r>
          </w:p>
        </w:tc>
        <w:tc>
          <w:tcPr>
            <w:tcW w:w="1079"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04891197">
            <w:pPr>
              <w:pStyle w:val="115"/>
              <w:jc w:val="center"/>
              <w:rPr>
                <w:b w:val="0"/>
                <w:color w:val="000000"/>
              </w:rPr>
            </w:pPr>
            <w:r>
              <w:rPr>
                <w:rFonts w:hint="eastAsia"/>
                <w:b w:val="0"/>
                <w:color w:val="000000"/>
              </w:rPr>
              <w:t>≥0.8</w:t>
            </w:r>
          </w:p>
        </w:tc>
      </w:tr>
      <w:tr w14:paraId="024D601E">
        <w:tblPrEx>
          <w:tblBorders>
            <w:top w:val="single" w:color="auto" w:sz="8" w:space="0"/>
            <w:left w:val="single" w:color="auto" w:sz="8" w:space="0"/>
            <w:bottom w:val="single" w:color="auto" w:sz="8" w:space="0"/>
            <w:right w:val="single" w:color="auto" w:sz="8" w:space="0"/>
            <w:insideH w:val="single" w:color="000000" w:sz="2" w:space="0"/>
            <w:insideV w:val="single" w:color="000000" w:sz="2" w:space="0"/>
          </w:tblBorders>
          <w:tblCellMar>
            <w:top w:w="0" w:type="dxa"/>
            <w:left w:w="0" w:type="dxa"/>
            <w:bottom w:w="0" w:type="dxa"/>
            <w:right w:w="0" w:type="dxa"/>
          </w:tblCellMar>
        </w:tblPrEx>
        <w:trPr>
          <w:trHeight w:val="57" w:hRule="atLeast"/>
          <w:jc w:val="center"/>
        </w:trPr>
        <w:tc>
          <w:tcPr>
            <w:tcW w:w="54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595ADEEB">
            <w:pPr>
              <w:pStyle w:val="115"/>
              <w:jc w:val="center"/>
              <w:rPr>
                <w:b w:val="0"/>
                <w:color w:val="000000"/>
              </w:rPr>
            </w:pPr>
            <w:r>
              <w:rPr>
                <w:rFonts w:hint="eastAsia"/>
                <w:b w:val="0"/>
                <w:color w:val="000000"/>
              </w:rPr>
              <w:t>3</w:t>
            </w:r>
          </w:p>
        </w:tc>
        <w:tc>
          <w:tcPr>
            <w:tcW w:w="146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C9A1A34">
            <w:pPr>
              <w:pStyle w:val="115"/>
              <w:jc w:val="center"/>
              <w:rPr>
                <w:b w:val="0"/>
                <w:color w:val="000000"/>
              </w:rPr>
            </w:pPr>
            <w:r>
              <w:rPr>
                <w:rFonts w:hint="eastAsia"/>
                <w:b w:val="0"/>
                <w:color w:val="000000"/>
              </w:rPr>
              <w:t>交通运输用地</w:t>
            </w:r>
          </w:p>
        </w:tc>
        <w:tc>
          <w:tcPr>
            <w:tcW w:w="191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5882DD1">
            <w:pPr>
              <w:pStyle w:val="115"/>
              <w:jc w:val="center"/>
              <w:rPr>
                <w:b w:val="0"/>
                <w:color w:val="000000"/>
              </w:rPr>
            </w:pPr>
            <w:r>
              <w:rPr>
                <w:rFonts w:hint="eastAsia"/>
                <w:b w:val="0"/>
                <w:color w:val="000000"/>
              </w:rPr>
              <w:t>≥3</w:t>
            </w:r>
          </w:p>
        </w:tc>
        <w:tc>
          <w:tcPr>
            <w:tcW w:w="1079"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7E80FCB0">
            <w:pPr>
              <w:pStyle w:val="115"/>
              <w:jc w:val="center"/>
              <w:rPr>
                <w:b w:val="0"/>
                <w:color w:val="000000"/>
              </w:rPr>
            </w:pPr>
            <w:r>
              <w:rPr>
                <w:rFonts w:hint="eastAsia"/>
                <w:b w:val="0"/>
                <w:color w:val="000000"/>
              </w:rPr>
              <w:t>≥0.8</w:t>
            </w:r>
          </w:p>
        </w:tc>
      </w:tr>
      <w:tr w14:paraId="13079421">
        <w:tblPrEx>
          <w:tblBorders>
            <w:top w:val="single" w:color="auto" w:sz="8" w:space="0"/>
            <w:left w:val="single" w:color="auto" w:sz="8" w:space="0"/>
            <w:bottom w:val="single" w:color="auto" w:sz="8" w:space="0"/>
            <w:right w:val="single" w:color="auto" w:sz="8" w:space="0"/>
            <w:insideH w:val="single" w:color="000000" w:sz="2" w:space="0"/>
            <w:insideV w:val="single" w:color="000000" w:sz="2" w:space="0"/>
          </w:tblBorders>
          <w:tblCellMar>
            <w:top w:w="0" w:type="dxa"/>
            <w:left w:w="0" w:type="dxa"/>
            <w:bottom w:w="0" w:type="dxa"/>
            <w:right w:w="0" w:type="dxa"/>
          </w:tblCellMar>
        </w:tblPrEx>
        <w:trPr>
          <w:trHeight w:val="57" w:hRule="atLeast"/>
          <w:jc w:val="center"/>
        </w:trPr>
        <w:tc>
          <w:tcPr>
            <w:tcW w:w="54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702B1DFC">
            <w:pPr>
              <w:pStyle w:val="115"/>
              <w:jc w:val="center"/>
              <w:rPr>
                <w:b w:val="0"/>
                <w:color w:val="000000"/>
              </w:rPr>
            </w:pPr>
            <w:r>
              <w:rPr>
                <w:rFonts w:hint="eastAsia"/>
                <w:b w:val="0"/>
                <w:color w:val="000000"/>
              </w:rPr>
              <w:t>4</w:t>
            </w:r>
          </w:p>
        </w:tc>
        <w:tc>
          <w:tcPr>
            <w:tcW w:w="146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C6F3B6F">
            <w:pPr>
              <w:pStyle w:val="115"/>
              <w:jc w:val="center"/>
              <w:rPr>
                <w:b w:val="0"/>
                <w:color w:val="000000"/>
              </w:rPr>
            </w:pPr>
            <w:r>
              <w:rPr>
                <w:rFonts w:hint="eastAsia"/>
                <w:b w:val="0"/>
                <w:color w:val="000000"/>
              </w:rPr>
              <w:t>商业服务业用地</w:t>
            </w:r>
          </w:p>
        </w:tc>
        <w:tc>
          <w:tcPr>
            <w:tcW w:w="191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5357BF7">
            <w:pPr>
              <w:pStyle w:val="115"/>
              <w:jc w:val="center"/>
              <w:rPr>
                <w:b w:val="0"/>
                <w:color w:val="000000"/>
              </w:rPr>
            </w:pPr>
            <w:r>
              <w:rPr>
                <w:rFonts w:hint="eastAsia"/>
                <w:b w:val="0"/>
                <w:color w:val="000000"/>
              </w:rPr>
              <w:t>≥2</w:t>
            </w:r>
          </w:p>
        </w:tc>
        <w:tc>
          <w:tcPr>
            <w:tcW w:w="1079"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3563B613">
            <w:pPr>
              <w:pStyle w:val="115"/>
              <w:jc w:val="center"/>
              <w:rPr>
                <w:b w:val="0"/>
                <w:color w:val="000000"/>
              </w:rPr>
            </w:pPr>
            <w:r>
              <w:rPr>
                <w:rFonts w:hint="eastAsia"/>
                <w:b w:val="0"/>
                <w:color w:val="000000"/>
              </w:rPr>
              <w:t>≥0.7</w:t>
            </w:r>
          </w:p>
        </w:tc>
      </w:tr>
      <w:tr w14:paraId="553AADB0">
        <w:tblPrEx>
          <w:tblBorders>
            <w:top w:val="single" w:color="auto" w:sz="8" w:space="0"/>
            <w:left w:val="single" w:color="auto" w:sz="8" w:space="0"/>
            <w:bottom w:val="single" w:color="auto" w:sz="8" w:space="0"/>
            <w:right w:val="single" w:color="auto" w:sz="8" w:space="0"/>
            <w:insideH w:val="single" w:color="000000" w:sz="2" w:space="0"/>
            <w:insideV w:val="single" w:color="000000" w:sz="2" w:space="0"/>
          </w:tblBorders>
          <w:tblCellMar>
            <w:top w:w="0" w:type="dxa"/>
            <w:left w:w="0" w:type="dxa"/>
            <w:bottom w:w="0" w:type="dxa"/>
            <w:right w:w="0" w:type="dxa"/>
          </w:tblCellMar>
        </w:tblPrEx>
        <w:trPr>
          <w:trHeight w:val="57" w:hRule="atLeast"/>
          <w:jc w:val="center"/>
        </w:trPr>
        <w:tc>
          <w:tcPr>
            <w:tcW w:w="540" w:type="pct"/>
            <w:tcBorders>
              <w:top w:val="single" w:color="000000" w:sz="4" w:space="0"/>
              <w:left w:val="single" w:color="000000" w:sz="12" w:space="0"/>
              <w:bottom w:val="single" w:color="000000" w:sz="12" w:space="0"/>
              <w:right w:val="single" w:color="000000" w:sz="4" w:space="0"/>
            </w:tcBorders>
            <w:shd w:val="clear" w:color="auto" w:fill="FFFFFF"/>
            <w:vAlign w:val="center"/>
          </w:tcPr>
          <w:p w14:paraId="41793834">
            <w:pPr>
              <w:pStyle w:val="115"/>
              <w:jc w:val="center"/>
              <w:rPr>
                <w:b w:val="0"/>
                <w:color w:val="000000"/>
              </w:rPr>
            </w:pPr>
            <w:r>
              <w:rPr>
                <w:rFonts w:hint="eastAsia"/>
                <w:b w:val="0"/>
                <w:color w:val="000000"/>
              </w:rPr>
              <w:t>5</w:t>
            </w:r>
          </w:p>
        </w:tc>
        <w:tc>
          <w:tcPr>
            <w:tcW w:w="1464"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4DA5711C">
            <w:pPr>
              <w:pStyle w:val="115"/>
              <w:jc w:val="center"/>
              <w:rPr>
                <w:b w:val="0"/>
                <w:color w:val="000000"/>
              </w:rPr>
            </w:pPr>
            <w:r>
              <w:rPr>
                <w:rFonts w:hint="eastAsia"/>
                <w:b w:val="0"/>
                <w:color w:val="000000"/>
              </w:rPr>
              <w:t>绿地与开敞空间用地</w:t>
            </w:r>
          </w:p>
        </w:tc>
        <w:tc>
          <w:tcPr>
            <w:tcW w:w="1916"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6A3CE176">
            <w:pPr>
              <w:pStyle w:val="115"/>
              <w:jc w:val="center"/>
              <w:rPr>
                <w:b w:val="0"/>
                <w:color w:val="000000"/>
              </w:rPr>
            </w:pPr>
            <w:r>
              <w:rPr>
                <w:rFonts w:hint="eastAsia"/>
                <w:b w:val="0"/>
                <w:color w:val="000000"/>
              </w:rPr>
              <w:t>≥4</w:t>
            </w:r>
          </w:p>
        </w:tc>
        <w:tc>
          <w:tcPr>
            <w:tcW w:w="1079" w:type="pct"/>
            <w:tcBorders>
              <w:top w:val="single" w:color="000000" w:sz="4" w:space="0"/>
              <w:left w:val="single" w:color="000000" w:sz="4" w:space="0"/>
              <w:bottom w:val="single" w:color="000000" w:sz="12" w:space="0"/>
              <w:right w:val="single" w:color="000000" w:sz="12" w:space="0"/>
            </w:tcBorders>
            <w:shd w:val="clear" w:color="auto" w:fill="FFFFFF"/>
            <w:vAlign w:val="center"/>
          </w:tcPr>
          <w:p w14:paraId="2AAA8A02">
            <w:pPr>
              <w:pStyle w:val="115"/>
              <w:jc w:val="center"/>
              <w:rPr>
                <w:b w:val="0"/>
                <w:color w:val="000000"/>
              </w:rPr>
            </w:pPr>
            <w:r>
              <w:rPr>
                <w:rFonts w:hint="eastAsia"/>
                <w:b w:val="0"/>
                <w:color w:val="000000"/>
              </w:rPr>
              <w:t>≥0.8</w:t>
            </w:r>
          </w:p>
        </w:tc>
      </w:tr>
    </w:tbl>
    <w:p w14:paraId="2E4A58E1">
      <w:pPr>
        <w:widowControl/>
        <w:spacing w:after="166"/>
        <w:ind w:firstLine="0" w:firstLineChars="0"/>
        <w:jc w:val="left"/>
        <w:rPr>
          <w:rFonts w:hint="eastAsia" w:ascii="宋体" w:hAnsi="宋体" w:cs="宋体"/>
          <w:color w:val="000000"/>
          <w:kern w:val="0"/>
          <w:sz w:val="24"/>
          <w:lang w:val="en-US" w:bidi="ar"/>
        </w:rPr>
      </w:pPr>
    </w:p>
    <w:p w14:paraId="70983A23">
      <w:pPr>
        <w:pStyle w:val="4"/>
        <w:numPr>
          <w:ilvl w:val="2"/>
          <w:numId w:val="5"/>
        </w:numPr>
        <w:spacing w:before="332" w:after="166"/>
        <w:rPr>
          <w:rFonts w:hint="eastAsia"/>
          <w:lang w:val="en-US"/>
        </w:rPr>
      </w:pPr>
      <w:r>
        <w:rPr>
          <w:rFonts w:hint="eastAsia"/>
          <w:lang w:val="en-US"/>
        </w:rPr>
        <w:t xml:space="preserve">植物配置 </w:t>
      </w:r>
    </w:p>
    <w:p w14:paraId="696E6196">
      <w:pPr>
        <w:spacing w:after="166"/>
        <w:ind w:firstLine="500"/>
        <w:rPr>
          <w:lang w:val="en-US"/>
        </w:rPr>
      </w:pPr>
      <w:r>
        <w:rPr>
          <w:rFonts w:hint="eastAsia"/>
          <w:lang w:val="en-US"/>
        </w:rPr>
        <w:t xml:space="preserve">植物配置以“春夏有花，四季见绿”为原则，形成多层次、多季相、多色彩的植物群落。各类公园绿地宜优先选用本地植物，突出地方特色，强化绿化景观的可识别性和多样性，保持生态系统的完整性、自然性和原真性，并注重绿化维护的经济性。主要景观为中型近自然树林群落、缀花草地、季节性雨水湿地和活动草坪，构建塘、林、草等多元素融合的城市复合生境。采用人工与自然相结合的方法，构建生态护岸，形成复合水生生境。城市公园不应选用有毒、有刺激性气味或具有较高致敏风险的花木。儿童与老年人活动设施周边应选用耐践踏的草坪，并配合选用落叶乔木以利于夏季遮阳与冬季日照。 </w:t>
      </w:r>
    </w:p>
    <w:p w14:paraId="0FFF14E5">
      <w:pPr>
        <w:widowControl/>
        <w:spacing w:after="166"/>
        <w:ind w:firstLine="500"/>
        <w:jc w:val="left"/>
        <w:rPr>
          <w:rFonts w:hint="eastAsia" w:ascii="宋体" w:hAnsi="宋体" w:cs="宋体"/>
          <w:lang w:val="en-US" w:bidi="ar"/>
        </w:rPr>
      </w:pPr>
    </w:p>
    <w:p w14:paraId="2B72DCAC">
      <w:pPr>
        <w:widowControl/>
        <w:spacing w:after="166"/>
        <w:ind w:firstLine="500"/>
        <w:jc w:val="left"/>
        <w:rPr>
          <w:rFonts w:hint="eastAsia" w:ascii="宋体" w:hAnsi="宋体" w:cs="宋体"/>
          <w:lang w:val="en-US" w:bidi="ar"/>
        </w:rPr>
      </w:pPr>
    </w:p>
    <w:p w14:paraId="3106F5D8">
      <w:pPr>
        <w:spacing w:after="166"/>
        <w:ind w:firstLine="500"/>
        <w:rPr>
          <w:rFonts w:hint="eastAsia" w:ascii="宋体" w:hAnsi="宋体" w:cs="宋体"/>
          <w:lang w:val="en-US" w:bidi="ar"/>
        </w:rPr>
      </w:pPr>
      <w:r>
        <w:rPr>
          <w:rFonts w:ascii="宋体" w:hAnsi="宋体" w:cs="宋体"/>
          <w:lang w:val="en-US" w:bidi="ar"/>
        </w:rPr>
        <w:br w:type="page"/>
      </w:r>
    </w:p>
    <w:p w14:paraId="7A822A47">
      <w:pPr>
        <w:pStyle w:val="2"/>
        <w:numPr>
          <w:ilvl w:val="0"/>
          <w:numId w:val="5"/>
        </w:numPr>
        <w:rPr>
          <w:rFonts w:hint="eastAsia"/>
        </w:rPr>
      </w:pPr>
      <w:bookmarkStart w:id="10" w:name="_Toc16729"/>
      <w:r>
        <w:rPr>
          <w:rFonts w:hint="eastAsia"/>
        </w:rPr>
        <w:t>工业和仓储用地</w:t>
      </w:r>
      <w:bookmarkEnd w:id="10"/>
    </w:p>
    <w:p w14:paraId="6A041875">
      <w:pPr>
        <w:pStyle w:val="3"/>
        <w:numPr>
          <w:ilvl w:val="1"/>
          <w:numId w:val="5"/>
        </w:numPr>
        <w:spacing w:before="332" w:after="166"/>
        <w:rPr>
          <w:rFonts w:hint="eastAsia"/>
        </w:rPr>
      </w:pPr>
      <w:r>
        <w:rPr>
          <w:rFonts w:hint="eastAsia"/>
        </w:rPr>
        <w:t>现状与问题</w:t>
      </w:r>
    </w:p>
    <w:p w14:paraId="1D6ADF41">
      <w:pPr>
        <w:pStyle w:val="4"/>
        <w:numPr>
          <w:ilvl w:val="2"/>
          <w:numId w:val="5"/>
        </w:numPr>
        <w:spacing w:before="332" w:after="166"/>
        <w:rPr>
          <w:rFonts w:hint="eastAsia"/>
          <w:lang w:val="en-US"/>
        </w:rPr>
      </w:pPr>
      <w:r>
        <w:rPr>
          <w:rFonts w:hint="eastAsia"/>
          <w:lang w:val="en-US"/>
        </w:rPr>
        <w:t>白云矿区企业的总体特征</w:t>
      </w:r>
    </w:p>
    <w:p w14:paraId="2268F6EB">
      <w:pPr>
        <w:pStyle w:val="5"/>
        <w:numPr>
          <w:ilvl w:val="0"/>
          <w:numId w:val="26"/>
        </w:numPr>
      </w:pPr>
      <w:r>
        <w:rPr>
          <w:rFonts w:hint="eastAsia"/>
        </w:rPr>
        <w:t>工业主导，第二产业占比超过2/3</w:t>
      </w:r>
    </w:p>
    <w:p w14:paraId="11F5420B">
      <w:pPr>
        <w:spacing w:after="166"/>
        <w:ind w:firstLine="420" w:firstLineChars="0"/>
        <w:rPr>
          <w:lang w:val="en-US"/>
        </w:rPr>
      </w:pPr>
      <w:r>
        <w:rPr>
          <w:lang w:val="en-US"/>
        </w:rPr>
        <w:t>企业数量按注册资金总量划分</w:t>
      </w:r>
      <w:r>
        <w:rPr>
          <w:rFonts w:hint="eastAsia"/>
          <w:lang w:val="en-US"/>
        </w:rPr>
        <w:t>，第二产业超过2/3，第三产业不超过1/3，第一产业几乎没有。</w:t>
      </w:r>
    </w:p>
    <w:p w14:paraId="77C76007">
      <w:pPr>
        <w:pStyle w:val="5"/>
        <w:numPr>
          <w:ilvl w:val="0"/>
          <w:numId w:val="26"/>
        </w:numPr>
      </w:pPr>
      <w:r>
        <w:rPr>
          <w:rFonts w:hint="eastAsia"/>
        </w:rPr>
        <w:t>头部企业与尾部企业隆起，中部企业亟待提升</w:t>
      </w:r>
    </w:p>
    <w:p w14:paraId="30376FCE">
      <w:pPr>
        <w:spacing w:after="166"/>
        <w:ind w:firstLine="420" w:firstLineChars="0"/>
        <w:rPr>
          <w:lang w:val="en-US"/>
        </w:rPr>
      </w:pPr>
      <w:r>
        <w:rPr>
          <w:rFonts w:hint="eastAsia"/>
          <w:lang w:val="en-US"/>
        </w:rPr>
        <w:t>按注册资本金分布，小于10万元的有782家，1000万元以上的有255家，而10万到1000万元之间的企业较少。</w:t>
      </w:r>
    </w:p>
    <w:p w14:paraId="21E69E7C">
      <w:pPr>
        <w:spacing w:after="166"/>
        <w:ind w:firstLine="0" w:firstLineChars="0"/>
      </w:pPr>
      <w:r>
        <w:drawing>
          <wp:inline distT="0" distB="0" distL="114300" distR="114300">
            <wp:extent cx="2644775" cy="2869565"/>
            <wp:effectExtent l="0" t="0" r="3175" b="698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75"/>
                    <a:stretch>
                      <a:fillRect/>
                    </a:stretch>
                  </pic:blipFill>
                  <pic:spPr>
                    <a:xfrm>
                      <a:off x="0" y="0"/>
                      <a:ext cx="2644775" cy="2869565"/>
                    </a:xfrm>
                    <a:prstGeom prst="rect">
                      <a:avLst/>
                    </a:prstGeom>
                    <a:noFill/>
                    <a:ln>
                      <a:noFill/>
                    </a:ln>
                  </pic:spPr>
                </pic:pic>
              </a:graphicData>
            </a:graphic>
          </wp:inline>
        </w:drawing>
      </w:r>
      <w:r>
        <w:drawing>
          <wp:inline distT="0" distB="0" distL="114300" distR="114300">
            <wp:extent cx="2259965" cy="2959100"/>
            <wp:effectExtent l="0" t="0" r="6985" b="1270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76"/>
                    <a:stretch>
                      <a:fillRect/>
                    </a:stretch>
                  </pic:blipFill>
                  <pic:spPr>
                    <a:xfrm>
                      <a:off x="0" y="0"/>
                      <a:ext cx="2259965" cy="2959100"/>
                    </a:xfrm>
                    <a:prstGeom prst="rect">
                      <a:avLst/>
                    </a:prstGeom>
                    <a:noFill/>
                    <a:ln>
                      <a:noFill/>
                    </a:ln>
                  </pic:spPr>
                </pic:pic>
              </a:graphicData>
            </a:graphic>
          </wp:inline>
        </w:drawing>
      </w:r>
    </w:p>
    <w:p w14:paraId="1AD565BF">
      <w:pPr>
        <w:pStyle w:val="117"/>
      </w:pPr>
      <w:r>
        <w:rPr>
          <w:rFonts w:hint="eastAsia"/>
        </w:rPr>
        <w:t>图9-1 现状企业分析图</w:t>
      </w:r>
    </w:p>
    <w:p w14:paraId="59AA34E9">
      <w:pPr>
        <w:pStyle w:val="4"/>
        <w:numPr>
          <w:ilvl w:val="2"/>
          <w:numId w:val="5"/>
        </w:numPr>
        <w:spacing w:before="332" w:after="166"/>
        <w:rPr>
          <w:rFonts w:hint="eastAsia"/>
          <w:lang w:val="en-US"/>
        </w:rPr>
      </w:pPr>
      <w:r>
        <w:rPr>
          <w:rFonts w:hint="eastAsia"/>
          <w:lang w:val="en-US"/>
        </w:rPr>
        <w:t>现状工业和仓储用地规模与分布</w:t>
      </w:r>
    </w:p>
    <w:p w14:paraId="0130B844">
      <w:pPr>
        <w:spacing w:after="166"/>
        <w:ind w:firstLine="500"/>
        <w:rPr>
          <w:lang w:val="en-US"/>
        </w:rPr>
      </w:pPr>
      <w:r>
        <w:rPr>
          <w:rFonts w:hint="eastAsia"/>
          <w:lang w:val="en-US"/>
        </w:rPr>
        <w:t>现状工业用地总面积20.61公顷，分散在城区边缘，单幅工业用地面积较小，不利于工业用地的集约利用，影响城市环境品质。</w:t>
      </w:r>
    </w:p>
    <w:p w14:paraId="149AB75B">
      <w:pPr>
        <w:pStyle w:val="13"/>
        <w:spacing w:after="166"/>
        <w:ind w:firstLine="480"/>
        <w:rPr>
          <w:rFonts w:hint="eastAsia"/>
          <w:lang w:val="en-US"/>
        </w:rPr>
      </w:pPr>
      <w:r>
        <w:rPr>
          <w:rFonts w:hint="eastAsia"/>
          <w:lang w:val="en-US"/>
        </w:rPr>
        <w:t>现状规划范围内无仓储用地，西侧范围外有少量品质偏低或处于建设初期的货运服务，不满足未来产业发展配套的物流服务需求。</w:t>
      </w:r>
    </w:p>
    <w:p w14:paraId="5CB97CC9">
      <w:pPr>
        <w:spacing w:after="166"/>
        <w:ind w:firstLine="0" w:firstLineChars="0"/>
        <w:rPr>
          <w:lang w:val="en-US"/>
        </w:rPr>
      </w:pPr>
      <w:r>
        <w:drawing>
          <wp:inline distT="0" distB="0" distL="114300" distR="114300">
            <wp:extent cx="5266690" cy="3724275"/>
            <wp:effectExtent l="0" t="0" r="10160" b="9525"/>
            <wp:docPr id="4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
                    <pic:cNvPicPr>
                      <a:picLocks noChangeAspect="1"/>
                    </pic:cNvPicPr>
                  </pic:nvPicPr>
                  <pic:blipFill>
                    <a:blip r:embed="rId77"/>
                    <a:stretch>
                      <a:fillRect/>
                    </a:stretch>
                  </pic:blipFill>
                  <pic:spPr>
                    <a:xfrm>
                      <a:off x="0" y="0"/>
                      <a:ext cx="5266690" cy="3724275"/>
                    </a:xfrm>
                    <a:prstGeom prst="rect">
                      <a:avLst/>
                    </a:prstGeom>
                    <a:noFill/>
                    <a:ln>
                      <a:noFill/>
                    </a:ln>
                  </pic:spPr>
                </pic:pic>
              </a:graphicData>
            </a:graphic>
          </wp:inline>
        </w:drawing>
      </w:r>
    </w:p>
    <w:p w14:paraId="282091CD">
      <w:pPr>
        <w:pStyle w:val="117"/>
      </w:pPr>
      <w:r>
        <w:rPr>
          <w:rFonts w:hint="eastAsia"/>
        </w:rPr>
        <w:t>图9-2现状工业及仓储用地分布图</w:t>
      </w:r>
    </w:p>
    <w:p w14:paraId="015E798A">
      <w:pPr>
        <w:pStyle w:val="4"/>
        <w:numPr>
          <w:ilvl w:val="2"/>
          <w:numId w:val="5"/>
        </w:numPr>
        <w:spacing w:before="332" w:after="166"/>
        <w:rPr>
          <w:rFonts w:hint="eastAsia"/>
          <w:lang w:val="en-US"/>
        </w:rPr>
      </w:pPr>
      <w:r>
        <w:rPr>
          <w:rFonts w:hint="eastAsia"/>
          <w:lang w:val="en-US"/>
        </w:rPr>
        <w:t>工业用地规划原则</w:t>
      </w:r>
    </w:p>
    <w:p w14:paraId="214CDFB3">
      <w:pPr>
        <w:spacing w:after="166"/>
        <w:ind w:firstLine="500"/>
        <w:rPr>
          <w:lang w:val="en-US"/>
        </w:rPr>
      </w:pPr>
      <w:r>
        <w:rPr>
          <w:rFonts w:hint="eastAsia"/>
          <w:lang w:val="en-US"/>
        </w:rPr>
        <w:t>坚持“集中连片、安全韧性”的原则，工业用地应满足土地集约利用与污染防护要求，工业区配套设施应充分考虑区位、产业门类、就业人口等因素，满足人们对现代生产、工作环境所要求的舒适性、健康性、安全性和经济性需求。</w:t>
      </w:r>
    </w:p>
    <w:p w14:paraId="4E6EB2C5">
      <w:pPr>
        <w:pStyle w:val="4"/>
        <w:numPr>
          <w:ilvl w:val="2"/>
          <w:numId w:val="5"/>
        </w:numPr>
        <w:spacing w:before="332" w:after="166"/>
        <w:rPr>
          <w:rFonts w:hint="eastAsia"/>
          <w:lang w:val="en-US"/>
        </w:rPr>
      </w:pPr>
      <w:r>
        <w:rPr>
          <w:rFonts w:hint="eastAsia"/>
          <w:lang w:val="en-US"/>
        </w:rPr>
        <w:t>仓储用地规划原则</w:t>
      </w:r>
    </w:p>
    <w:p w14:paraId="6BC24F9C">
      <w:pPr>
        <w:spacing w:after="166"/>
        <w:ind w:firstLine="500"/>
      </w:pPr>
      <w:r>
        <w:rPr>
          <w:rFonts w:hint="eastAsia"/>
          <w:lang w:val="en-US"/>
        </w:rPr>
        <w:t>坚持“有利于交通运输、方便生产生活服务”的原则，发挥白云鄂博矿区城区连接城市，服务各矿区、产业园区作用，结合其他产业园区用地布局、道路交通、基础设施建设等相关内容，科学规划用地交通组织，及与城镇和对外交通的衔接。</w:t>
      </w:r>
    </w:p>
    <w:p w14:paraId="5DDEB3ED">
      <w:pPr>
        <w:pStyle w:val="3"/>
        <w:numPr>
          <w:ilvl w:val="1"/>
          <w:numId w:val="5"/>
        </w:numPr>
        <w:spacing w:before="332" w:after="166"/>
        <w:rPr>
          <w:rFonts w:hint="eastAsia"/>
        </w:rPr>
      </w:pPr>
      <w:r>
        <w:rPr>
          <w:rFonts w:hint="eastAsia"/>
        </w:rPr>
        <w:t>工业用地</w:t>
      </w:r>
    </w:p>
    <w:p w14:paraId="2EEDBAA9">
      <w:pPr>
        <w:pStyle w:val="4"/>
        <w:numPr>
          <w:ilvl w:val="2"/>
          <w:numId w:val="5"/>
        </w:numPr>
        <w:spacing w:before="332" w:after="166"/>
        <w:rPr>
          <w:rFonts w:hint="eastAsia"/>
          <w:lang w:val="en-US"/>
        </w:rPr>
      </w:pPr>
      <w:r>
        <w:rPr>
          <w:rFonts w:hint="eastAsia"/>
          <w:lang w:val="en-US"/>
        </w:rPr>
        <w:t>城区内设置厂房的可行性说明</w:t>
      </w:r>
    </w:p>
    <w:p w14:paraId="3CBF2796">
      <w:pPr>
        <w:spacing w:after="166"/>
        <w:ind w:firstLine="500"/>
        <w:rPr>
          <w:lang w:val="en-US"/>
        </w:rPr>
      </w:pPr>
      <w:r>
        <w:rPr>
          <w:rFonts w:hint="eastAsia"/>
          <w:lang w:val="en-US"/>
        </w:rPr>
        <w:t>路径一：发展允许园外布局项目——电力、制氢加氢站。根据内蒙古自治区工业和信息化厅《关于全面加强全区工业园区管理的意见》内工信园区字〔2022〕428号，除矿山、电力等特殊项目外，新建工业项目原则上要统一布局在工业园区内。根据《内蒙古自治区能源局内蒙古自治区应急管理厅内蒙古自治区工业和信息化厅关于加快推进氢能产业发展的通知》内工信园区字〔2024〕126号，在化工园区外建设太阳能、风能等可再生能源电解水制氢项目和制氢加氢站。</w:t>
      </w:r>
    </w:p>
    <w:p w14:paraId="7DB84020">
      <w:pPr>
        <w:spacing w:after="166"/>
        <w:ind w:firstLine="500"/>
        <w:rPr>
          <w:lang w:val="en-US"/>
        </w:rPr>
      </w:pPr>
      <w:r>
        <w:rPr>
          <w:rFonts w:hint="eastAsia"/>
          <w:lang w:val="en-US"/>
        </w:rPr>
        <w:t>路径二：申请工业园区扩区调区。依据内蒙古自治区人民政府办公厅关于印发《内蒙古自治区工业园区管理办法》的通知，符合条件的工业园区可根据主体功能区划和建设发展需要，稳步有序扩大规划面积或调整区位。国家级工业园区扩区或调区，在履行现场核查、部门会商程序后，由自治区人民政府报请国务院审批。因为白云园区级别较高，审批时间时间长，是否达到扩区条件存在不确定性。</w:t>
      </w:r>
    </w:p>
    <w:p w14:paraId="34EAFCA1">
      <w:pPr>
        <w:spacing w:after="166"/>
        <w:ind w:firstLine="500"/>
        <w:rPr>
          <w:lang w:val="en-US"/>
        </w:rPr>
      </w:pPr>
      <w:r>
        <w:rPr>
          <w:rFonts w:hint="eastAsia"/>
          <w:lang w:val="en-US"/>
        </w:rPr>
        <w:t>路径三：申请高新技术特色产业基地。依据内蒙古自治区科学技术厅关于印发《内蒙古自治区高新技术特色产业 基地认定管理办法》的通知 内科发新字〔2017〕9号，基地应具备以下要求：“申报主体已组织制定较完善和可行的基地建设工作方案，编制了可行的基地建设规划（发展目标要先进、科学、合理并且通过努力可实现），主导产业已纳入当地发展规划，并有相配套的扶持政策措施。申报主体已组建基地领导机构，设立了协调机制，并有职责明确的日常管理机构。基地主导产业属于自治区鼓励发展的重点产业领域，符合国家产业政策导向，特色鲜明，比较优势明显，竞争力强，在节能、环保及公共安全等方面符合国家和自治区产业政策及相关规定。基地具有良好的高新技术特色产业基础，特色产业关联产品合计年销售收入达5000万元以上。初步形成市场机制作用下的骨干企业与关联企业联系密切、分工协作的合理格局，以及较为完整、上下游互动频繁的产业链条，拥有2家及以上骨干企业，以及3家以上与之相配套的中小企业和技术服务机构。具有较好的科技服务体系，有支撑基地发展的创新创业科技服务机构和产业发展促进机构，开展研究开发、技术转移、检验检测、创业孵化、知识产权、科技金融、人才培训等相关工作。有自治区级及以上重点实验室、工程（技术）研究中心、企业技术中心、企业研发中心、新型科技研究开发机构等研发创新机构的优先认定。”产业类型上符合，发展阶段上类似，推荐考虑。</w:t>
      </w:r>
    </w:p>
    <w:p w14:paraId="1F668D86">
      <w:pPr>
        <w:pStyle w:val="4"/>
        <w:numPr>
          <w:ilvl w:val="2"/>
          <w:numId w:val="5"/>
        </w:numPr>
        <w:spacing w:before="332" w:after="166"/>
        <w:rPr>
          <w:rFonts w:hint="eastAsia"/>
          <w:lang w:val="en-US"/>
        </w:rPr>
      </w:pPr>
      <w:r>
        <w:rPr>
          <w:rFonts w:hint="eastAsia"/>
          <w:lang w:val="en-US"/>
        </w:rPr>
        <w:t>工业用地规模与位置</w:t>
      </w:r>
    </w:p>
    <w:p w14:paraId="21547518">
      <w:pPr>
        <w:spacing w:after="166"/>
        <w:ind w:firstLine="500"/>
        <w:rPr>
          <w:lang w:val="en-US"/>
        </w:rPr>
      </w:pPr>
      <w:r>
        <w:rPr>
          <w:lang w:val="en-US"/>
        </w:rPr>
        <w:t>规划范围内工业用地主要位于地质道两侧，用地面积16.76公顷，占规划区建设用地总面积的 2.62%。</w:t>
      </w:r>
    </w:p>
    <w:p w14:paraId="0A0D4257">
      <w:pPr>
        <w:pStyle w:val="13"/>
        <w:spacing w:after="166"/>
        <w:ind w:firstLine="0" w:firstLineChars="0"/>
        <w:rPr>
          <w:rFonts w:hint="eastAsia"/>
        </w:rPr>
      </w:pPr>
      <w:r>
        <w:drawing>
          <wp:inline distT="0" distB="0" distL="114300" distR="114300">
            <wp:extent cx="5270500" cy="4380230"/>
            <wp:effectExtent l="0" t="0" r="6350" b="1270"/>
            <wp:docPr id="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pic:cNvPicPr>
                      <a:picLocks noChangeAspect="1"/>
                    </pic:cNvPicPr>
                  </pic:nvPicPr>
                  <pic:blipFill>
                    <a:blip r:embed="rId78"/>
                    <a:stretch>
                      <a:fillRect/>
                    </a:stretch>
                  </pic:blipFill>
                  <pic:spPr>
                    <a:xfrm>
                      <a:off x="0" y="0"/>
                      <a:ext cx="5270500" cy="4380230"/>
                    </a:xfrm>
                    <a:prstGeom prst="rect">
                      <a:avLst/>
                    </a:prstGeom>
                    <a:noFill/>
                    <a:ln>
                      <a:noFill/>
                    </a:ln>
                  </pic:spPr>
                </pic:pic>
              </a:graphicData>
            </a:graphic>
          </wp:inline>
        </w:drawing>
      </w:r>
    </w:p>
    <w:p w14:paraId="4FF6C4B7">
      <w:pPr>
        <w:pStyle w:val="117"/>
      </w:pPr>
      <w:r>
        <w:rPr>
          <w:rFonts w:hint="eastAsia"/>
        </w:rPr>
        <w:t>图9-3工业用地规划图</w:t>
      </w:r>
    </w:p>
    <w:p w14:paraId="267FCA29">
      <w:pPr>
        <w:pStyle w:val="3"/>
        <w:numPr>
          <w:ilvl w:val="1"/>
          <w:numId w:val="5"/>
        </w:numPr>
        <w:spacing w:before="332" w:after="166"/>
        <w:rPr>
          <w:rFonts w:hint="eastAsia"/>
        </w:rPr>
      </w:pPr>
      <w:r>
        <w:rPr>
          <w:rFonts w:hint="eastAsia"/>
        </w:rPr>
        <w:t>仓储用地</w:t>
      </w:r>
    </w:p>
    <w:p w14:paraId="5D293BDA">
      <w:pPr>
        <w:pStyle w:val="4"/>
        <w:numPr>
          <w:ilvl w:val="2"/>
          <w:numId w:val="5"/>
        </w:numPr>
        <w:spacing w:before="332" w:after="166"/>
        <w:rPr>
          <w:rFonts w:hint="eastAsia"/>
          <w:lang w:val="en-US"/>
        </w:rPr>
      </w:pPr>
      <w:r>
        <w:rPr>
          <w:rFonts w:hint="eastAsia"/>
          <w:lang w:val="en-US"/>
        </w:rPr>
        <w:t>仓储用地规划说明</w:t>
      </w:r>
    </w:p>
    <w:p w14:paraId="0031F822">
      <w:pPr>
        <w:spacing w:after="166"/>
        <w:ind w:firstLine="500"/>
        <w:rPr>
          <w:lang w:val="en-US"/>
        </w:rPr>
      </w:pPr>
      <w:r>
        <w:rPr>
          <w:rFonts w:hint="eastAsia"/>
          <w:lang w:val="en-US"/>
        </w:rPr>
        <w:t>现有沿线货运服务品质偏低或处于建设初期，规划把握国道经济机遇，将现状货车停车及汽修产业集聚区地块布局为货运服务功能，打造服务片区的综合型物流仓储集聚区。</w:t>
      </w:r>
    </w:p>
    <w:p w14:paraId="745E092F">
      <w:pPr>
        <w:pStyle w:val="4"/>
        <w:numPr>
          <w:ilvl w:val="2"/>
          <w:numId w:val="5"/>
        </w:numPr>
        <w:spacing w:before="332" w:after="166"/>
        <w:rPr>
          <w:rFonts w:hint="eastAsia"/>
          <w:lang w:val="en-US"/>
        </w:rPr>
      </w:pPr>
      <w:r>
        <w:rPr>
          <w:rFonts w:hint="eastAsia"/>
          <w:lang w:val="en-US"/>
        </w:rPr>
        <w:t>仓储用地规模与位置</w:t>
      </w:r>
    </w:p>
    <w:p w14:paraId="4BBFAD53">
      <w:pPr>
        <w:spacing w:after="166"/>
        <w:ind w:firstLine="500"/>
        <w:rPr>
          <w:lang w:val="en-US"/>
        </w:rPr>
      </w:pPr>
      <w:r>
        <w:rPr>
          <w:lang w:val="en-US"/>
        </w:rPr>
        <w:t>规划范围内物流用地主要为物流仓储用地与储备库用地，用地面积26.87公顷，占规划区建设用地总面积的4.20%。物流仓储用地位于白云鄂博大街西段北侧；储备库用地为路政养护储备库，位于白云鄂博大街东段南侧。</w:t>
      </w:r>
    </w:p>
    <w:p w14:paraId="427F06CA">
      <w:pPr>
        <w:spacing w:after="166"/>
        <w:ind w:firstLine="0" w:firstLineChars="0"/>
      </w:pPr>
      <w:r>
        <w:drawing>
          <wp:inline distT="0" distB="0" distL="114300" distR="114300">
            <wp:extent cx="5265420" cy="4368800"/>
            <wp:effectExtent l="0" t="0" r="11430" b="12700"/>
            <wp:docPr id="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
                    <pic:cNvPicPr>
                      <a:picLocks noChangeAspect="1"/>
                    </pic:cNvPicPr>
                  </pic:nvPicPr>
                  <pic:blipFill>
                    <a:blip r:embed="rId79"/>
                    <a:stretch>
                      <a:fillRect/>
                    </a:stretch>
                  </pic:blipFill>
                  <pic:spPr>
                    <a:xfrm>
                      <a:off x="0" y="0"/>
                      <a:ext cx="5265420" cy="4368800"/>
                    </a:xfrm>
                    <a:prstGeom prst="rect">
                      <a:avLst/>
                    </a:prstGeom>
                    <a:noFill/>
                    <a:ln>
                      <a:noFill/>
                    </a:ln>
                  </pic:spPr>
                </pic:pic>
              </a:graphicData>
            </a:graphic>
          </wp:inline>
        </w:drawing>
      </w:r>
    </w:p>
    <w:p w14:paraId="4B45A0CD">
      <w:pPr>
        <w:pStyle w:val="117"/>
      </w:pPr>
      <w:r>
        <w:rPr>
          <w:rFonts w:hint="eastAsia"/>
        </w:rPr>
        <w:t>图9-4 仓储用地规划图</w:t>
      </w:r>
    </w:p>
    <w:p w14:paraId="49F027D1">
      <w:pPr>
        <w:pStyle w:val="3"/>
        <w:numPr>
          <w:ilvl w:val="1"/>
          <w:numId w:val="5"/>
        </w:numPr>
        <w:spacing w:before="332" w:after="166"/>
        <w:rPr>
          <w:rFonts w:hint="eastAsia"/>
        </w:rPr>
      </w:pPr>
      <w:r>
        <w:rPr>
          <w:rFonts w:hint="eastAsia"/>
        </w:rPr>
        <w:t>产业准入正面清单</w:t>
      </w:r>
    </w:p>
    <w:p w14:paraId="33FBE05B">
      <w:pPr>
        <w:pStyle w:val="4"/>
        <w:numPr>
          <w:ilvl w:val="2"/>
          <w:numId w:val="5"/>
        </w:numPr>
        <w:spacing w:before="332" w:after="166"/>
        <w:rPr>
          <w:rFonts w:hint="eastAsia"/>
          <w:lang w:val="en-US"/>
        </w:rPr>
      </w:pPr>
      <w:r>
        <w:rPr>
          <w:lang w:val="en-US"/>
        </w:rPr>
        <w:t>准入产业门类</w:t>
      </w:r>
    </w:p>
    <w:p w14:paraId="4E2ECCFC">
      <w:pPr>
        <w:spacing w:after="166"/>
        <w:ind w:firstLine="500"/>
      </w:pPr>
      <w:r>
        <w:rPr>
          <w:rFonts w:hint="eastAsia"/>
        </w:rPr>
        <w:t>推动稀土前端产业链高质量发展，在稀土化合物、稀土金属及合金、稀土磁性材料、功能陶瓷材料等材料冶炼、压延加工形成产业发展新增长点。</w:t>
      </w:r>
    </w:p>
    <w:p w14:paraId="7584BC3F">
      <w:pPr>
        <w:spacing w:after="166"/>
        <w:ind w:firstLine="500"/>
      </w:pPr>
      <w:r>
        <w:rPr>
          <w:rFonts w:hint="eastAsia"/>
          <w:lang w:val="en-US"/>
        </w:rPr>
        <w:t>围绕稀土产业、硅产业前端产业链环节设备需求，发展矿山机械、冶金专用设备、陶瓷制品生产专用设备等配套产业。</w:t>
      </w:r>
    </w:p>
    <w:p w14:paraId="4BEAE216">
      <w:pPr>
        <w:spacing w:after="166"/>
        <w:ind w:firstLine="500"/>
        <w:rPr>
          <w:lang w:val="en-US"/>
        </w:rPr>
      </w:pPr>
      <w:r>
        <w:rPr>
          <w:rFonts w:hint="eastAsia"/>
          <w:lang w:val="en-US"/>
        </w:rPr>
        <w:t>引导先进制造业、研发平台、科技孵化器、重点发展产业领域的总部项目以及具有关键技术和先进工艺等能促进本地传统产业转型升级的项目落地。</w:t>
      </w:r>
    </w:p>
    <w:p w14:paraId="5E5B455E">
      <w:pPr>
        <w:spacing w:after="166"/>
        <w:ind w:firstLine="500"/>
        <w:rPr>
          <w:lang w:val="en-US"/>
        </w:rPr>
      </w:pPr>
      <w:r>
        <w:rPr>
          <w:rFonts w:hint="eastAsia"/>
          <w:lang w:val="en-US"/>
        </w:rPr>
        <w:t>其他属于《白云鄂博矿区产业招商名录》、且满足在规划范围内落地所需的相关政策、要求的产业。</w:t>
      </w:r>
    </w:p>
    <w:p w14:paraId="5A30F489">
      <w:pPr>
        <w:pStyle w:val="4"/>
        <w:numPr>
          <w:ilvl w:val="2"/>
          <w:numId w:val="5"/>
        </w:numPr>
        <w:spacing w:before="332" w:after="166"/>
        <w:rPr>
          <w:rFonts w:hint="eastAsia"/>
          <w:lang w:val="en-US"/>
        </w:rPr>
      </w:pPr>
      <w:r>
        <w:rPr>
          <w:lang w:val="en-US"/>
        </w:rPr>
        <w:t>准入条件</w:t>
      </w:r>
    </w:p>
    <w:p w14:paraId="6C039441">
      <w:pPr>
        <w:spacing w:beforeAutospacing="1" w:after="166"/>
        <w:ind w:firstLine="420" w:firstLineChars="0"/>
        <w:rPr>
          <w:lang w:val="en-US"/>
        </w:rPr>
      </w:pPr>
      <w:r>
        <w:rPr>
          <w:rFonts w:hint="eastAsia" w:ascii="宋体" w:hAnsi="宋体" w:cs="宋体"/>
          <w:lang w:val="en-US" w:bidi="ar"/>
        </w:rPr>
        <w:t>不能对居住和公共环境造成严重干扰、污染和安全隐患。工业用地项目投入产出指标</w:t>
      </w:r>
      <w:r>
        <w:rPr>
          <w:rFonts w:hint="eastAsia" w:ascii="宋体" w:hAnsi="宋体" w:cs="宋体"/>
          <w:lang w:val="en-US" w:eastAsia="zh" w:bidi="ar"/>
        </w:rPr>
        <w:t>和建设强度指标应</w:t>
      </w:r>
      <w:r>
        <w:rPr>
          <w:rFonts w:hint="eastAsia" w:ascii="宋体" w:hAnsi="宋体" w:cs="宋体"/>
          <w:lang w:val="en-US" w:bidi="ar"/>
        </w:rPr>
        <w:t>满足</w:t>
      </w:r>
      <w:r>
        <w:rPr>
          <w:rFonts w:hint="eastAsia" w:ascii="宋体" w:hAnsi="宋体" w:cs="宋体"/>
          <w:lang w:val="en-US" w:eastAsia="zh" w:bidi="ar"/>
        </w:rPr>
        <w:t>国家、省、市、区</w:t>
      </w:r>
      <w:r>
        <w:rPr>
          <w:rFonts w:hint="eastAsia" w:ascii="宋体" w:hAnsi="宋体" w:cs="宋体"/>
          <w:lang w:val="en-US" w:bidi="ar"/>
        </w:rPr>
        <w:t>设置产业用地下限标准。</w:t>
      </w:r>
    </w:p>
    <w:p w14:paraId="61EDAA77">
      <w:pPr>
        <w:pStyle w:val="3"/>
        <w:numPr>
          <w:ilvl w:val="1"/>
          <w:numId w:val="5"/>
        </w:numPr>
        <w:spacing w:before="332" w:after="166"/>
        <w:rPr>
          <w:rFonts w:hint="eastAsia"/>
        </w:rPr>
      </w:pPr>
      <w:r>
        <w:rPr>
          <w:rFonts w:hint="eastAsia"/>
        </w:rPr>
        <w:t>产业准入负面清单</w:t>
      </w:r>
    </w:p>
    <w:p w14:paraId="41F34BC1">
      <w:pPr>
        <w:pStyle w:val="4"/>
        <w:numPr>
          <w:ilvl w:val="2"/>
          <w:numId w:val="5"/>
        </w:numPr>
        <w:spacing w:before="332" w:after="166"/>
        <w:rPr>
          <w:rFonts w:hint="eastAsia"/>
          <w:lang w:val="en-US"/>
        </w:rPr>
      </w:pPr>
      <w:r>
        <w:rPr>
          <w:rFonts w:hint="eastAsia"/>
          <w:lang w:val="en-US"/>
        </w:rPr>
        <w:t>禁止类产业</w:t>
      </w:r>
    </w:p>
    <w:p w14:paraId="15200F15">
      <w:pPr>
        <w:widowControl/>
        <w:spacing w:after="166"/>
        <w:ind w:firstLine="500"/>
        <w:jc w:val="left"/>
        <w:rPr>
          <w:rFonts w:hint="eastAsia" w:ascii="宋体" w:hAnsi="宋体" w:cs="宋体"/>
          <w:lang w:val="en-US" w:bidi="ar"/>
        </w:rPr>
      </w:pPr>
      <w:r>
        <w:rPr>
          <w:rFonts w:hint="eastAsia" w:ascii="宋体" w:hAnsi="宋体" w:cs="宋体"/>
          <w:lang w:val="en-US" w:bidi="ar"/>
        </w:rPr>
        <w:t>禁止自动化程度低、工艺装备落后等本质安全水平低的项目入驻;禁止项目只引进生产设备及其工艺包，未配套引进与其相关的安全包与控制技术,拼凑式设置安全设施以及生产工艺安全防控系统。</w:t>
      </w:r>
    </w:p>
    <w:p w14:paraId="7995BF5C">
      <w:pPr>
        <w:widowControl/>
        <w:spacing w:after="166"/>
        <w:ind w:firstLine="500"/>
        <w:jc w:val="left"/>
        <w:rPr>
          <w:rFonts w:hint="eastAsia" w:ascii="宋体" w:hAnsi="宋体" w:cs="宋体"/>
          <w:lang w:val="en-US" w:bidi="ar"/>
        </w:rPr>
      </w:pPr>
      <w:r>
        <w:rPr>
          <w:rFonts w:hint="eastAsia" w:ascii="宋体" w:hAnsi="宋体" w:cs="宋体"/>
          <w:lang w:val="en-US" w:bidi="ar"/>
        </w:rPr>
        <w:t>禁止《危险化学品安全生产淘汰落后技术装备目录（第一批）》中禁止类的技术装备项目入驻。</w:t>
      </w:r>
    </w:p>
    <w:p w14:paraId="646222F6">
      <w:pPr>
        <w:widowControl/>
        <w:spacing w:after="166"/>
        <w:ind w:firstLine="500"/>
        <w:jc w:val="left"/>
        <w:rPr>
          <w:rFonts w:hint="eastAsia" w:ascii="宋体" w:hAnsi="宋体" w:cs="宋体"/>
          <w:lang w:val="en-US" w:bidi="ar"/>
        </w:rPr>
      </w:pPr>
      <w:r>
        <w:rPr>
          <w:rFonts w:hint="eastAsia" w:ascii="宋体" w:hAnsi="宋体" w:cs="宋体"/>
          <w:lang w:val="en-US" w:bidi="ar"/>
        </w:rPr>
        <w:t>禁止严重影响区域大气环境质量且难于治理的大气污染型项目入驻。</w:t>
      </w:r>
    </w:p>
    <w:p w14:paraId="145CF6BB">
      <w:pPr>
        <w:widowControl/>
        <w:spacing w:after="166"/>
        <w:ind w:firstLine="500"/>
        <w:jc w:val="left"/>
        <w:rPr>
          <w:rFonts w:hint="eastAsia" w:ascii="宋体" w:hAnsi="宋体" w:cs="宋体"/>
          <w:lang w:val="en-US" w:bidi="ar"/>
        </w:rPr>
      </w:pPr>
      <w:r>
        <w:rPr>
          <w:rFonts w:hint="eastAsia" w:ascii="宋体" w:hAnsi="宋体" w:cs="宋体"/>
          <w:lang w:val="en-US" w:bidi="ar"/>
        </w:rPr>
        <w:t>禁止涉及重金属排放且不符合内蒙古自治区重金属污染综合防治相关要求的项目入驻。</w:t>
      </w:r>
    </w:p>
    <w:p w14:paraId="58DD42C5">
      <w:pPr>
        <w:pStyle w:val="4"/>
        <w:numPr>
          <w:ilvl w:val="2"/>
          <w:numId w:val="5"/>
        </w:numPr>
        <w:spacing w:before="332" w:after="166"/>
        <w:rPr>
          <w:rFonts w:hint="eastAsia"/>
          <w:lang w:val="en-US"/>
        </w:rPr>
      </w:pPr>
      <w:r>
        <w:rPr>
          <w:rFonts w:hint="eastAsia"/>
          <w:lang w:val="en-US"/>
        </w:rPr>
        <w:t>限制类产业</w:t>
      </w:r>
    </w:p>
    <w:p w14:paraId="4AACF2AD">
      <w:pPr>
        <w:widowControl/>
        <w:spacing w:after="166"/>
        <w:ind w:firstLine="500"/>
        <w:jc w:val="left"/>
        <w:rPr>
          <w:rFonts w:hint="eastAsia" w:ascii="宋体" w:hAnsi="宋体" w:cs="宋体"/>
          <w:lang w:val="en-US" w:bidi="ar"/>
        </w:rPr>
      </w:pPr>
      <w:r>
        <w:rPr>
          <w:rFonts w:hint="eastAsia" w:ascii="宋体" w:hAnsi="宋体" w:cs="宋体"/>
          <w:lang w:val="en-US" w:bidi="ar"/>
        </w:rPr>
        <w:t>严格控制不符合国家安全、环保、能耗、质量方面强制性标准;不符合国际环境公约等要求的工艺、技术、产品、装备的项目。</w:t>
      </w:r>
    </w:p>
    <w:p w14:paraId="3ADFA43E">
      <w:pPr>
        <w:widowControl/>
        <w:spacing w:after="166"/>
        <w:ind w:firstLine="500"/>
        <w:jc w:val="left"/>
        <w:rPr>
          <w:rFonts w:hint="eastAsia" w:ascii="宋体" w:hAnsi="宋体" w:cs="宋体"/>
          <w:lang w:val="en-US" w:bidi="ar"/>
        </w:rPr>
      </w:pPr>
      <w:r>
        <w:rPr>
          <w:rFonts w:hint="eastAsia" w:ascii="宋体" w:hAnsi="宋体" w:cs="宋体"/>
          <w:lang w:val="en-US" w:bidi="ar"/>
        </w:rPr>
        <w:t>严格控制涉及光气、氯气、氨气等有毒气体，硝酸铵、硝基苯、氯酸铵等爆炸危险性化学品项目。</w:t>
      </w:r>
    </w:p>
    <w:p w14:paraId="73F8B046">
      <w:pPr>
        <w:widowControl/>
        <w:spacing w:after="166"/>
        <w:ind w:firstLine="500"/>
        <w:jc w:val="left"/>
        <w:rPr>
          <w:rFonts w:hint="eastAsia" w:ascii="宋体" w:hAnsi="宋体" w:cs="宋体"/>
          <w:lang w:val="en-US" w:bidi="ar"/>
        </w:rPr>
      </w:pPr>
      <w:r>
        <w:rPr>
          <w:rFonts w:hint="eastAsia" w:ascii="宋体" w:hAnsi="宋体" w:cs="宋体"/>
          <w:lang w:val="en-US" w:bidi="ar"/>
        </w:rPr>
        <w:t>严格控制涉及《特别管控危险化学品目录》（第一版）、《国家重点监管危险化学品名录》、《优先控制化学品名录》的建设项目。</w:t>
      </w:r>
    </w:p>
    <w:p w14:paraId="365A58AA">
      <w:pPr>
        <w:spacing w:after="166"/>
        <w:ind w:firstLine="500"/>
        <w:rPr>
          <w:rFonts w:hint="eastAsia" w:ascii="宋体" w:hAnsi="宋体" w:cs="宋体"/>
          <w:u w:val="single"/>
          <w:lang w:val="en-US" w:bidi="ar"/>
        </w:rPr>
      </w:pPr>
      <w:r>
        <w:rPr>
          <w:rFonts w:ascii="宋体" w:hAnsi="宋体" w:cs="宋体"/>
          <w:u w:val="single"/>
          <w:lang w:val="en-US" w:bidi="ar"/>
        </w:rPr>
        <w:br w:type="page"/>
      </w:r>
    </w:p>
    <w:p w14:paraId="19E1452A">
      <w:pPr>
        <w:pStyle w:val="2"/>
        <w:numPr>
          <w:ilvl w:val="0"/>
          <w:numId w:val="5"/>
        </w:numPr>
        <w:rPr>
          <w:rFonts w:hint="eastAsia"/>
        </w:rPr>
      </w:pPr>
      <w:bookmarkStart w:id="11" w:name="_Toc17093"/>
      <w:r>
        <w:rPr>
          <w:rFonts w:hint="eastAsia"/>
        </w:rPr>
        <w:t>综合交通</w:t>
      </w:r>
      <w:bookmarkEnd w:id="11"/>
    </w:p>
    <w:p w14:paraId="027FDDB8">
      <w:pPr>
        <w:pStyle w:val="3"/>
        <w:numPr>
          <w:ilvl w:val="1"/>
          <w:numId w:val="5"/>
        </w:numPr>
        <w:spacing w:before="332" w:after="166"/>
        <w:rPr>
          <w:rFonts w:hint="eastAsia"/>
        </w:rPr>
      </w:pPr>
      <w:r>
        <w:t>交通</w:t>
      </w:r>
      <w:r>
        <w:rPr>
          <w:rFonts w:hint="eastAsia"/>
        </w:rPr>
        <w:t xml:space="preserve">交通现状及问题 </w:t>
      </w:r>
    </w:p>
    <w:p w14:paraId="24A5F3EE">
      <w:pPr>
        <w:spacing w:after="166"/>
        <w:ind w:firstLine="500"/>
      </w:pPr>
      <w:r>
        <w:rPr>
          <w:rFonts w:hint="eastAsia"/>
          <w:lang w:val="en-US"/>
        </w:rPr>
        <w:t>总体来看，现状道路的交通整体骨架完整，但局部路网支撑性不足。</w:t>
      </w:r>
    </w:p>
    <w:p w14:paraId="0E94C471">
      <w:pPr>
        <w:pStyle w:val="5"/>
        <w:numPr>
          <w:ilvl w:val="0"/>
          <w:numId w:val="27"/>
        </w:numPr>
        <w:ind w:leftChars="0"/>
      </w:pPr>
      <w:r>
        <w:t>道路线形与规划吻合，存在高峰拥堵现象</w:t>
      </w:r>
    </w:p>
    <w:p w14:paraId="79ADD061">
      <w:pPr>
        <w:spacing w:after="166"/>
        <w:ind w:firstLine="500"/>
        <w:rPr>
          <w:lang w:val="en-US"/>
        </w:rPr>
      </w:pPr>
      <w:r>
        <w:rPr>
          <w:rFonts w:hint="eastAsia"/>
          <w:lang w:val="en-US"/>
        </w:rPr>
        <w:t>将现状道路与上轮规划的道路线形进行对比分析，现状道路线形基本吻合上轮控规，有部分有偏差的道路走向也与规划道路基本一致。</w:t>
      </w:r>
      <w:r>
        <w:rPr>
          <w:lang w:val="en-US"/>
        </w:rPr>
        <w:t xml:space="preserve"> </w:t>
      </w:r>
      <w:r>
        <w:rPr>
          <w:rFonts w:hint="eastAsia"/>
          <w:lang w:val="en-US"/>
        </w:rPr>
        <w:t>通过与本地居民的访谈调查与实地踏勘调研情况结果显示，约</w:t>
      </w:r>
      <w:r>
        <w:rPr>
          <w:lang w:val="en-US"/>
        </w:rPr>
        <w:t>2/3</w:t>
      </w:r>
      <w:r>
        <w:rPr>
          <w:rFonts w:hint="eastAsia"/>
          <w:lang w:val="en-US"/>
        </w:rPr>
        <w:t>居民认为交通畅通，</w:t>
      </w:r>
      <w:r>
        <w:rPr>
          <w:lang w:val="en-US"/>
        </w:rPr>
        <w:t>21%</w:t>
      </w:r>
      <w:r>
        <w:rPr>
          <w:rFonts w:hint="eastAsia"/>
          <w:lang w:val="en-US"/>
        </w:rPr>
        <w:t>认为早晚高峰有拥堵。</w:t>
      </w:r>
    </w:p>
    <w:p w14:paraId="3FB01B28">
      <w:pPr>
        <w:spacing w:beforeAutospacing="1" w:after="166"/>
        <w:ind w:firstLine="0" w:firstLineChars="0"/>
        <w:jc w:val="left"/>
      </w:pPr>
      <w:r>
        <w:drawing>
          <wp:inline distT="0" distB="0" distL="114300" distR="114300">
            <wp:extent cx="5122545" cy="2797175"/>
            <wp:effectExtent l="0" t="0" r="1905" b="3175"/>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80"/>
                    <a:stretch>
                      <a:fillRect/>
                    </a:stretch>
                  </pic:blipFill>
                  <pic:spPr>
                    <a:xfrm>
                      <a:off x="0" y="0"/>
                      <a:ext cx="5124235" cy="2798407"/>
                    </a:xfrm>
                    <a:prstGeom prst="rect">
                      <a:avLst/>
                    </a:prstGeom>
                  </pic:spPr>
                </pic:pic>
              </a:graphicData>
            </a:graphic>
          </wp:inline>
        </w:drawing>
      </w:r>
    </w:p>
    <w:p w14:paraId="75CFE018">
      <w:pPr>
        <w:pStyle w:val="268"/>
      </w:pPr>
      <w:r>
        <w:rPr>
          <w:rFonts w:hint="eastAsia"/>
        </w:rPr>
        <w:t>图10-1 现状道路线型与上版控制性详细规划比较</w:t>
      </w:r>
    </w:p>
    <w:p w14:paraId="443ADFCD">
      <w:pPr>
        <w:pStyle w:val="117"/>
      </w:pPr>
      <w:r>
        <w:drawing>
          <wp:inline distT="0" distB="0" distL="114300" distR="114300">
            <wp:extent cx="4944110" cy="2543175"/>
            <wp:effectExtent l="0" t="0" r="0" b="952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81"/>
                    <a:stretch>
                      <a:fillRect/>
                    </a:stretch>
                  </pic:blipFill>
                  <pic:spPr>
                    <a:xfrm>
                      <a:off x="0" y="0"/>
                      <a:ext cx="4945993" cy="2544488"/>
                    </a:xfrm>
                    <a:prstGeom prst="rect">
                      <a:avLst/>
                    </a:prstGeom>
                  </pic:spPr>
                </pic:pic>
              </a:graphicData>
            </a:graphic>
          </wp:inline>
        </w:drawing>
      </w:r>
    </w:p>
    <w:p w14:paraId="60B4F2E6">
      <w:pPr>
        <w:pStyle w:val="268"/>
      </w:pPr>
      <w:bookmarkStart w:id="12" w:name="_Hlk173425746"/>
      <w:r>
        <w:rPr>
          <w:rFonts w:hint="eastAsia"/>
        </w:rPr>
        <w:t>图10-2 现状道路红线宽度与上版控制性详细规划比较</w:t>
      </w:r>
    </w:p>
    <w:bookmarkEnd w:id="12"/>
    <w:p w14:paraId="43282655">
      <w:pPr>
        <w:spacing w:after="166"/>
        <w:ind w:firstLine="500"/>
        <w:rPr>
          <w:lang w:val="en-US"/>
        </w:rPr>
      </w:pPr>
      <w:r>
        <w:rPr>
          <w:rFonts w:hint="eastAsia"/>
          <w:lang w:val="en-US"/>
        </w:rPr>
        <w:br w:type="page"/>
      </w:r>
    </w:p>
    <w:p w14:paraId="3547DDB4">
      <w:pPr>
        <w:pStyle w:val="5"/>
        <w:numPr>
          <w:ilvl w:val="0"/>
          <w:numId w:val="27"/>
        </w:numPr>
        <w:ind w:leftChars="0"/>
      </w:pPr>
      <w:r>
        <w:t>道路红线宽度未达预期，局部道路质量待提升</w:t>
      </w:r>
    </w:p>
    <w:p w14:paraId="3B63015B">
      <w:pPr>
        <w:spacing w:after="166"/>
        <w:ind w:firstLine="500"/>
      </w:pPr>
      <w:r>
        <w:rPr>
          <w:rFonts w:hint="eastAsia"/>
          <w:lang w:val="en-US"/>
        </w:rPr>
        <w:t>将现状道路与上轮规划的道路红线宽度进行对比分析，得出结论：现状道路宽度大多小于规划宽度。经实地踏勘调研，部分外围道路和次级道路的路面质量有待提升。</w:t>
      </w:r>
    </w:p>
    <w:p w14:paraId="7012B9EC">
      <w:pPr>
        <w:pStyle w:val="5"/>
        <w:numPr>
          <w:ilvl w:val="0"/>
          <w:numId w:val="27"/>
        </w:numPr>
        <w:ind w:leftChars="0"/>
      </w:pPr>
      <w:r>
        <w:t>路网内部结构不均衡，“最后一公里”末端交通待优化</w:t>
      </w:r>
    </w:p>
    <w:p w14:paraId="45913BFA">
      <w:pPr>
        <w:bidi w:val="0"/>
      </w:pPr>
      <w:r>
        <w:rPr>
          <w:rFonts w:hint="eastAsia"/>
          <w:lang w:val="en-US"/>
        </w:rPr>
        <w:t>现状道路的整体道路网密度为</w:t>
      </w:r>
      <w:r>
        <w:rPr>
          <w:lang w:val="en-US"/>
        </w:rPr>
        <w:t>4.3km/km</w:t>
      </w:r>
      <w:r>
        <w:rPr>
          <w:rFonts w:hint="eastAsia"/>
          <w:lang w:val="en-US"/>
        </w:rPr>
        <w:t>²，与国家标准相距较远。结构上，主次支路长度比为</w:t>
      </w:r>
      <w:r>
        <w:rPr>
          <w:lang w:val="en-US"/>
        </w:rPr>
        <w:t>1:0.8:1</w:t>
      </w:r>
      <w:r>
        <w:rPr>
          <w:rFonts w:hint="eastAsia"/>
          <w:lang w:val="en-US"/>
        </w:rPr>
        <w:t>，与理想的“正三角”</w:t>
      </w:r>
      <w:r>
        <w:rPr>
          <w:lang w:val="en-US"/>
        </w:rPr>
        <w:t>(</w:t>
      </w:r>
      <w:r>
        <w:rPr>
          <w:rFonts w:hint="eastAsia"/>
          <w:lang w:val="en-US"/>
        </w:rPr>
        <w:t>主干路＜次干路＜支路）结构仍有差距，次支路网相对不足。</w:t>
      </w:r>
      <w:r>
        <w:rPr>
          <w:lang w:val="en-US"/>
        </w:rPr>
        <w:t xml:space="preserve"> </w:t>
      </w:r>
    </w:p>
    <w:p w14:paraId="17E9942B">
      <w:pPr>
        <w:pStyle w:val="5"/>
        <w:numPr>
          <w:ilvl w:val="0"/>
          <w:numId w:val="27"/>
        </w:numPr>
        <w:ind w:leftChars="0"/>
      </w:pPr>
      <w:r>
        <w:t>支路网间距跨度大，影响地块的合理尺度</w:t>
      </w:r>
    </w:p>
    <w:p w14:paraId="771C4383">
      <w:pPr>
        <w:bidi w:val="0"/>
        <w:rPr>
          <w:lang w:val="en-US"/>
        </w:rPr>
      </w:pPr>
      <w:r>
        <w:rPr>
          <w:rFonts w:hint="eastAsia"/>
          <w:lang w:val="en-US"/>
        </w:rPr>
        <w:t>多个“大地块”影响整体交通组织原因在于土地出让时对于内部交通组织缺少考虑。项目拼贴导致“大地块”，不乏</w:t>
      </w:r>
      <w:r>
        <w:rPr>
          <w:lang w:val="en-US"/>
        </w:rPr>
        <w:t>500</w:t>
      </w:r>
      <w:r>
        <w:rPr>
          <w:rFonts w:hint="eastAsia"/>
          <w:lang w:val="en-US"/>
        </w:rPr>
        <w:t>×</w:t>
      </w:r>
      <w:r>
        <w:rPr>
          <w:lang w:val="en-US"/>
        </w:rPr>
        <w:t>500m</w:t>
      </w:r>
      <w:r>
        <w:rPr>
          <w:rFonts w:hint="eastAsia"/>
          <w:lang w:val="en-US"/>
        </w:rPr>
        <w:t>、</w:t>
      </w:r>
      <w:r>
        <w:rPr>
          <w:lang w:val="en-US"/>
        </w:rPr>
        <w:t>4000</w:t>
      </w:r>
      <w:r>
        <w:rPr>
          <w:rFonts w:hint="eastAsia"/>
          <w:lang w:val="en-US"/>
        </w:rPr>
        <w:t>×</w:t>
      </w:r>
      <w:r>
        <w:rPr>
          <w:lang w:val="en-US"/>
        </w:rPr>
        <w:t>400m</w:t>
      </w:r>
      <w:r>
        <w:rPr>
          <w:rFonts w:hint="eastAsia"/>
          <w:lang w:val="en-US"/>
        </w:rPr>
        <w:t>的地块，街区内部联系不通畅。</w:t>
      </w:r>
      <w:r>
        <w:rPr>
          <w:lang w:val="en-US"/>
        </w:rPr>
        <w:t xml:space="preserve"> </w:t>
      </w:r>
    </w:p>
    <w:p w14:paraId="27F46772">
      <w:pPr>
        <w:spacing w:beforeAutospacing="1" w:after="166"/>
        <w:ind w:left="0" w:leftChars="0" w:firstLine="0" w:firstLineChars="0"/>
        <w:jc w:val="left"/>
        <w:rPr>
          <w:lang w:val="en-US" w:bidi="ar"/>
        </w:rPr>
      </w:pPr>
      <w:r>
        <w:drawing>
          <wp:inline distT="0" distB="0" distL="114300" distR="114300">
            <wp:extent cx="5271770" cy="2949575"/>
            <wp:effectExtent l="0" t="0" r="5080" b="3175"/>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82"/>
                    <a:stretch>
                      <a:fillRect/>
                    </a:stretch>
                  </pic:blipFill>
                  <pic:spPr>
                    <a:xfrm>
                      <a:off x="0" y="0"/>
                      <a:ext cx="5271770" cy="2949575"/>
                    </a:xfrm>
                    <a:prstGeom prst="rect">
                      <a:avLst/>
                    </a:prstGeom>
                  </pic:spPr>
                </pic:pic>
              </a:graphicData>
            </a:graphic>
          </wp:inline>
        </w:drawing>
      </w:r>
    </w:p>
    <w:p w14:paraId="0A5A363F">
      <w:pPr>
        <w:pStyle w:val="268"/>
        <w:rPr>
          <w:rFonts w:hint="eastAsia"/>
          <w:lang w:bidi="ar"/>
        </w:rPr>
      </w:pPr>
      <w:r>
        <w:rPr>
          <w:rFonts w:hint="eastAsia"/>
          <w:lang w:bidi="ar"/>
        </w:rPr>
        <w:t>图10-3 白云鄂博城区典型地块尺度比较</w:t>
      </w:r>
    </w:p>
    <w:p w14:paraId="69F50126">
      <w:pPr>
        <w:pStyle w:val="5"/>
        <w:numPr>
          <w:ilvl w:val="0"/>
          <w:numId w:val="27"/>
        </w:numPr>
        <w:ind w:leftChars="0"/>
      </w:pPr>
      <w:r>
        <w:t>交通空间功能混杂，静态及绿色交通待提升</w:t>
      </w:r>
    </w:p>
    <w:p w14:paraId="6E563048">
      <w:pPr>
        <w:bidi w:val="0"/>
      </w:pPr>
      <w:r>
        <w:rPr>
          <w:rFonts w:hint="eastAsia"/>
          <w:lang w:val="en-US"/>
        </w:rPr>
        <w:t>道路空间功能混杂互相影响</w:t>
      </w:r>
      <w:r>
        <w:rPr>
          <w:rFonts w:hint="eastAsia"/>
          <w:lang w:val="en-US" w:eastAsia="zh-CN"/>
        </w:rPr>
        <w:t>。</w:t>
      </w:r>
      <w:r>
        <w:rPr>
          <w:rFonts w:hint="eastAsia"/>
          <w:lang w:val="en-US"/>
        </w:rPr>
        <w:t>主要道路的</w:t>
      </w:r>
      <w:r>
        <w:rPr>
          <w:lang w:val="en-US"/>
        </w:rPr>
        <w:t>“</w:t>
      </w:r>
      <w:r>
        <w:rPr>
          <w:rFonts w:hint="eastAsia"/>
          <w:lang w:val="en-US"/>
        </w:rPr>
        <w:t>公共化</w:t>
      </w:r>
      <w:r>
        <w:rPr>
          <w:lang w:val="en-US"/>
        </w:rPr>
        <w:t>”</w:t>
      </w:r>
      <w:r>
        <w:rPr>
          <w:rFonts w:hint="eastAsia"/>
          <w:lang w:val="en-US"/>
        </w:rPr>
        <w:t>导致街道需要集成停车休息、快递集散、沿街经营等等功能，人行、车行都受影响。</w:t>
      </w:r>
    </w:p>
    <w:p w14:paraId="57454D8C">
      <w:pPr>
        <w:bidi w:val="0"/>
      </w:pPr>
      <w:r>
        <w:rPr>
          <w:rFonts w:hint="eastAsia"/>
          <w:lang w:val="en-US"/>
        </w:rPr>
        <w:t>消防通道建设不完善</w:t>
      </w:r>
      <w:r>
        <w:rPr>
          <w:rFonts w:hint="eastAsia"/>
          <w:lang w:val="en-US" w:eastAsia="zh-CN"/>
        </w:rPr>
        <w:t>。例如</w:t>
      </w:r>
      <w:r>
        <w:rPr>
          <w:rFonts w:hint="eastAsia"/>
          <w:lang w:val="en-US"/>
        </w:rPr>
        <w:t>十一工地访谈反映紧急情况下救援疏散有影响，老旧小区</w:t>
      </w:r>
      <w:r>
        <w:rPr>
          <w:lang w:val="en-US"/>
        </w:rPr>
        <w:t>4</w:t>
      </w:r>
      <w:r>
        <w:rPr>
          <w:rFonts w:hint="eastAsia"/>
          <w:lang w:val="en-US"/>
        </w:rPr>
        <w:t>米宽消防通道难以保证。</w:t>
      </w:r>
    </w:p>
    <w:p w14:paraId="5925CD51">
      <w:pPr>
        <w:bidi w:val="0"/>
      </w:pPr>
      <w:r>
        <w:rPr>
          <w:rFonts w:hint="eastAsia"/>
          <w:lang w:val="en-US"/>
        </w:rPr>
        <w:t>静态交通停车功能供给不足</w:t>
      </w:r>
      <w:r>
        <w:rPr>
          <w:rFonts w:hint="eastAsia"/>
          <w:lang w:val="en-US" w:eastAsia="zh-CN"/>
        </w:rPr>
        <w:t>。</w:t>
      </w:r>
      <w:r>
        <w:rPr>
          <w:rFonts w:hint="eastAsia"/>
          <w:lang w:val="en-US"/>
        </w:rPr>
        <w:t>近</w:t>
      </w:r>
      <w:r>
        <w:rPr>
          <w:lang w:val="en-US"/>
        </w:rPr>
        <w:t>50%</w:t>
      </w:r>
      <w:r>
        <w:rPr>
          <w:rFonts w:hint="eastAsia"/>
          <w:lang w:val="en-US"/>
        </w:rPr>
        <w:t>居民反映停车难，居住内部配建车位不足，公共停车场数量、面积均不足。</w:t>
      </w:r>
    </w:p>
    <w:p w14:paraId="3F11FB31">
      <w:pPr>
        <w:bidi w:val="0"/>
      </w:pPr>
      <w:r>
        <w:rPr>
          <w:rFonts w:hint="eastAsia"/>
          <w:lang w:val="en-US"/>
        </w:rPr>
        <w:t>慢行交通满意度一般，制约了绿色交通比例提升。</w:t>
      </w:r>
    </w:p>
    <w:p w14:paraId="1E737481">
      <w:pPr>
        <w:spacing w:beforeAutospacing="1" w:after="166"/>
        <w:ind w:firstLine="500"/>
      </w:pPr>
      <w:r>
        <w:drawing>
          <wp:inline distT="0" distB="0" distL="114300" distR="114300">
            <wp:extent cx="5267325" cy="2609850"/>
            <wp:effectExtent l="0" t="0" r="9525"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83"/>
                    <a:stretch>
                      <a:fillRect/>
                    </a:stretch>
                  </pic:blipFill>
                  <pic:spPr>
                    <a:xfrm>
                      <a:off x="0" y="0"/>
                      <a:ext cx="5267325" cy="2609850"/>
                    </a:xfrm>
                    <a:prstGeom prst="rect">
                      <a:avLst/>
                    </a:prstGeom>
                  </pic:spPr>
                </pic:pic>
              </a:graphicData>
            </a:graphic>
          </wp:inline>
        </w:drawing>
      </w:r>
    </w:p>
    <w:p w14:paraId="7EEC18EB">
      <w:pPr>
        <w:pStyle w:val="268"/>
        <w:rPr>
          <w:rFonts w:hint="eastAsia"/>
          <w:lang w:bidi="ar"/>
        </w:rPr>
      </w:pPr>
      <w:r>
        <w:rPr>
          <w:rFonts w:hint="eastAsia"/>
          <w:lang w:bidi="ar"/>
        </w:rPr>
        <w:t>图10-3 白云鄂博城区现状停车问题分析</w:t>
      </w:r>
    </w:p>
    <w:p w14:paraId="6D443BB4">
      <w:pPr>
        <w:pStyle w:val="3"/>
        <w:numPr>
          <w:ilvl w:val="1"/>
          <w:numId w:val="5"/>
        </w:numPr>
        <w:spacing w:before="332" w:after="166"/>
        <w:rPr>
          <w:rFonts w:hint="eastAsia"/>
        </w:rPr>
      </w:pPr>
      <w:r>
        <w:t>规划控制要求</w:t>
      </w:r>
    </w:p>
    <w:p w14:paraId="3D00E4AF">
      <w:pPr>
        <w:pStyle w:val="4"/>
        <w:numPr>
          <w:ilvl w:val="2"/>
          <w:numId w:val="5"/>
        </w:numPr>
        <w:spacing w:before="332" w:after="166"/>
        <w:rPr>
          <w:rFonts w:hint="eastAsia"/>
          <w:lang w:val="en-US"/>
        </w:rPr>
      </w:pPr>
      <w:r>
        <w:rPr>
          <w:lang w:val="en-US"/>
        </w:rPr>
        <w:t xml:space="preserve">规划原则 </w:t>
      </w:r>
    </w:p>
    <w:p w14:paraId="5ABA3866">
      <w:pPr>
        <w:spacing w:after="166"/>
        <w:ind w:firstLine="500"/>
        <w:rPr>
          <w:lang w:val="en-US"/>
        </w:rPr>
      </w:pPr>
      <w:r>
        <w:rPr>
          <w:rFonts w:hint="eastAsia"/>
          <w:lang w:val="en-US"/>
        </w:rPr>
        <w:t xml:space="preserve">构建白云矿区城区“畅达、绿色、多元”的现代化城市综合交通体系。 </w:t>
      </w:r>
    </w:p>
    <w:p w14:paraId="495A699B">
      <w:pPr>
        <w:pStyle w:val="5"/>
        <w:numPr>
          <w:ilvl w:val="-1"/>
          <w:numId w:val="0"/>
        </w:numPr>
        <w:ind w:left="0" w:leftChars="0" w:firstLine="0"/>
      </w:pPr>
      <w:r>
        <w:rPr>
          <w:rFonts w:hint="eastAsia"/>
        </w:rPr>
        <w:t>原则①：联通畅达</w:t>
      </w:r>
    </w:p>
    <w:p w14:paraId="478A6A8E">
      <w:pPr>
        <w:spacing w:after="166"/>
        <w:ind w:firstLine="500"/>
        <w:rPr>
          <w:lang w:val="en-US"/>
        </w:rPr>
      </w:pPr>
      <w:r>
        <w:rPr>
          <w:rFonts w:hint="eastAsia"/>
          <w:lang w:val="en-US"/>
        </w:rPr>
        <w:t>顺畅、通达链接城市内外以及城区 内部各板块是交通体系需要实现的首要任务。以骨架交通网来引导城区的发展方向，依托城区中心，与社区中心、公共服务设施有机结合布置，围绕火车站和汽车客运站建设综合交通枢纽，构筑现代化综合交通体系。</w:t>
      </w:r>
    </w:p>
    <w:p w14:paraId="2B3EF24E">
      <w:pPr>
        <w:pStyle w:val="5"/>
        <w:numPr>
          <w:ilvl w:val="-1"/>
          <w:numId w:val="0"/>
        </w:numPr>
        <w:ind w:left="0" w:leftChars="0" w:firstLine="0"/>
      </w:pPr>
      <w:r>
        <w:rPr>
          <w:rFonts w:hint="eastAsia"/>
        </w:rPr>
        <w:t>原则②：绿色交通</w:t>
      </w:r>
    </w:p>
    <w:p w14:paraId="52D4F765">
      <w:pPr>
        <w:spacing w:after="166"/>
        <w:ind w:firstLine="500"/>
        <w:rPr>
          <w:lang w:val="en-US"/>
        </w:rPr>
      </w:pPr>
      <w:r>
        <w:rPr>
          <w:rFonts w:hint="eastAsia"/>
          <w:lang w:val="en-US"/>
        </w:rPr>
        <w:t xml:space="preserve">建立与环境、资源相适应的可持续发展交通体系，推动节能减排， 创造条件支持新能源交通方式的发展。 </w:t>
      </w:r>
    </w:p>
    <w:p w14:paraId="02265754">
      <w:pPr>
        <w:pStyle w:val="5"/>
        <w:numPr>
          <w:ilvl w:val="-1"/>
          <w:numId w:val="0"/>
        </w:numPr>
        <w:ind w:left="0" w:leftChars="0" w:firstLine="0"/>
        <w:rPr>
          <w:rFonts w:hint="default" w:ascii="Times New Roman" w:hAnsi="Times New Roman" w:cs="Times New Roman"/>
        </w:rPr>
      </w:pPr>
      <w:r>
        <w:rPr>
          <w:rFonts w:hint="default" w:ascii="Times New Roman" w:hAnsi="Times New Roman" w:cs="Times New Roman"/>
        </w:rPr>
        <w:t>原则③：多元体系</w:t>
      </w:r>
    </w:p>
    <w:p w14:paraId="31781325">
      <w:pPr>
        <w:spacing w:after="166"/>
        <w:ind w:firstLine="500"/>
      </w:pPr>
      <w:r>
        <w:rPr>
          <w:rFonts w:hint="eastAsia"/>
          <w:lang w:val="en-US"/>
        </w:rPr>
        <w:t>引导从当前小汽车为主的交通模式转变为多元协调的交通体系。大力发展公共交通、建立公共交通与个体交通</w:t>
      </w:r>
      <w:r>
        <w:rPr>
          <w:lang w:val="en-US"/>
        </w:rPr>
        <w:t>(</w:t>
      </w:r>
      <w:r>
        <w:rPr>
          <w:rFonts w:hint="eastAsia"/>
          <w:lang w:val="en-US"/>
        </w:rPr>
        <w:t>步行、自行车、小 汽车等</w:t>
      </w:r>
      <w:r>
        <w:rPr>
          <w:lang w:val="en-US"/>
        </w:rPr>
        <w:t>)</w:t>
      </w:r>
      <w:r>
        <w:rPr>
          <w:rFonts w:hint="eastAsia"/>
          <w:lang w:val="en-US"/>
        </w:rPr>
        <w:t xml:space="preserve">一体化、多元化协调发展体系，并具有立体、多样化的换乘系统。 </w:t>
      </w:r>
    </w:p>
    <w:p w14:paraId="3BCF93CD">
      <w:pPr>
        <w:pStyle w:val="4"/>
        <w:numPr>
          <w:ilvl w:val="2"/>
          <w:numId w:val="5"/>
        </w:numPr>
        <w:spacing w:before="332" w:after="166"/>
        <w:rPr>
          <w:rFonts w:hint="eastAsia"/>
          <w:lang w:val="en-US"/>
        </w:rPr>
      </w:pPr>
      <w:r>
        <w:rPr>
          <w:lang w:val="en-US"/>
        </w:rPr>
        <w:t xml:space="preserve">规划思路 </w:t>
      </w:r>
    </w:p>
    <w:p w14:paraId="47954982">
      <w:pPr>
        <w:spacing w:after="166"/>
        <w:ind w:firstLine="500"/>
      </w:pPr>
      <w:r>
        <w:rPr>
          <w:rFonts w:hint="eastAsia"/>
          <w:lang w:val="en-US"/>
        </w:rPr>
        <w:t>对外交通方面，对外交通廊道应结合上位规划及外围相接区域的通道规划，合理衔接；城市道路方面，应结合规划用地，针对公服及居住、商业等不同用地特点，进行相应的规划；道路断面方面，</w:t>
      </w:r>
      <w:r>
        <w:rPr>
          <w:lang w:val="en-US"/>
        </w:rPr>
        <w:t xml:space="preserve"> </w:t>
      </w:r>
      <w:r>
        <w:rPr>
          <w:rFonts w:hint="eastAsia"/>
          <w:lang w:val="en-US"/>
        </w:rPr>
        <w:t xml:space="preserve">应充分考虑慢行空间的需求，并分板块分离机动车、非机动车和行人。 </w:t>
      </w:r>
    </w:p>
    <w:p w14:paraId="32961AA4">
      <w:pPr>
        <w:pStyle w:val="4"/>
        <w:numPr>
          <w:ilvl w:val="2"/>
          <w:numId w:val="5"/>
        </w:numPr>
        <w:spacing w:before="332" w:after="166"/>
        <w:rPr>
          <w:rFonts w:hint="eastAsia"/>
          <w:lang w:val="en-US"/>
        </w:rPr>
      </w:pPr>
      <w:r>
        <w:rPr>
          <w:lang w:val="en-US"/>
        </w:rPr>
        <w:t>规划策略</w:t>
      </w:r>
    </w:p>
    <w:p w14:paraId="047DA22B">
      <w:pPr>
        <w:pStyle w:val="5"/>
        <w:numPr>
          <w:ilvl w:val="-1"/>
          <w:numId w:val="0"/>
        </w:numPr>
        <w:ind w:left="0" w:leftChars="0" w:firstLine="0"/>
      </w:pPr>
      <w:r>
        <w:rPr>
          <w:rFonts w:hint="eastAsia"/>
        </w:rPr>
        <w:t>策略①：成环成网</w:t>
      </w:r>
    </w:p>
    <w:p w14:paraId="2EF657DC">
      <w:pPr>
        <w:spacing w:after="166"/>
        <w:ind w:firstLine="500"/>
      </w:pPr>
      <w:r>
        <w:rPr>
          <w:rFonts w:hint="eastAsia"/>
          <w:lang w:val="en-US"/>
        </w:rPr>
        <w:t>应对问题：城区北部道路密度不足。进出交通依赖矿山路，缺乏支路分摊矿山路交通压力。 城区南部的白云鄂博大街以南路网未成型。城区中部的封闭地块多，片区内部道路交通复杂。</w:t>
      </w:r>
    </w:p>
    <w:p w14:paraId="1C6889C7">
      <w:pPr>
        <w:spacing w:after="166"/>
        <w:ind w:firstLine="500"/>
      </w:pPr>
      <w:r>
        <w:rPr>
          <w:rFonts w:hint="eastAsia"/>
          <w:lang w:val="en-US"/>
        </w:rPr>
        <w:t>解决策略：外围通过增加环路纾解通过式交通量。内部适当补齐城区南部路网密度，强化片区对各方向的联系；结合低效用地整理，打开封闭住区、厂区边界，增密大尺度街区内部道路。</w:t>
      </w:r>
    </w:p>
    <w:p w14:paraId="68E550E8">
      <w:pPr>
        <w:spacing w:beforeAutospacing="1" w:after="166"/>
        <w:ind w:firstLine="500"/>
      </w:pPr>
      <w:r>
        <w:rPr>
          <w:lang w:val="en-US" w:bidi="ar"/>
        </w:rPr>
        <w:t xml:space="preserve"> </w:t>
      </w:r>
      <w:r>
        <w:drawing>
          <wp:inline distT="0" distB="0" distL="114300" distR="114300">
            <wp:extent cx="5271770" cy="4813300"/>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84"/>
                    <a:srcRect b="4377"/>
                    <a:stretch>
                      <a:fillRect/>
                    </a:stretch>
                  </pic:blipFill>
                  <pic:spPr>
                    <a:xfrm>
                      <a:off x="0" y="0"/>
                      <a:ext cx="5271770" cy="4813300"/>
                    </a:xfrm>
                    <a:prstGeom prst="rect">
                      <a:avLst/>
                    </a:prstGeom>
                  </pic:spPr>
                </pic:pic>
              </a:graphicData>
            </a:graphic>
          </wp:inline>
        </w:drawing>
      </w:r>
    </w:p>
    <w:p w14:paraId="192B22A8">
      <w:pPr>
        <w:pStyle w:val="117"/>
      </w:pPr>
      <w:r>
        <w:rPr>
          <w:rFonts w:hint="eastAsia"/>
        </w:rPr>
        <w:t>图10-4 规划新增与保留道路分析图</w:t>
      </w:r>
    </w:p>
    <w:p w14:paraId="2B77D9B5">
      <w:pPr>
        <w:pStyle w:val="5"/>
        <w:numPr>
          <w:ilvl w:val="-1"/>
          <w:numId w:val="0"/>
        </w:numPr>
        <w:ind w:left="0" w:leftChars="0" w:firstLine="0"/>
        <w:rPr>
          <w:sz w:val="25"/>
        </w:rPr>
      </w:pPr>
      <w:r>
        <w:rPr>
          <w:rFonts w:hint="eastAsia"/>
        </w:rPr>
        <w:t>策略②：</w:t>
      </w:r>
      <w:r>
        <w:rPr>
          <w:rFonts w:hint="default"/>
          <w:sz w:val="25"/>
        </w:rPr>
        <w:t>小街区密路网模式</w:t>
      </w:r>
    </w:p>
    <w:p w14:paraId="1E033CE2">
      <w:pPr>
        <w:spacing w:after="166"/>
        <w:ind w:firstLine="500"/>
      </w:pPr>
      <w:r>
        <w:rPr>
          <w:rFonts w:hint="eastAsia"/>
          <w:lang w:val="en-US"/>
        </w:rPr>
        <w:t>应对问题：大骨架基本成形，支路网不完善，“毛细血管”不通畅。</w:t>
      </w:r>
    </w:p>
    <w:p w14:paraId="16BA6100">
      <w:pPr>
        <w:spacing w:after="166"/>
        <w:ind w:firstLine="500"/>
      </w:pPr>
      <w:r>
        <w:rPr>
          <w:rFonts w:hint="eastAsia"/>
          <w:lang w:val="en-US"/>
        </w:rPr>
        <w:t>解决方法：以弹性管控的方式，对支路及建议性道路线位进行实线</w:t>
      </w:r>
      <w:r>
        <w:rPr>
          <w:lang w:val="en-US"/>
        </w:rPr>
        <w:t>/</w:t>
      </w:r>
      <w:r>
        <w:rPr>
          <w:rFonts w:hint="eastAsia"/>
          <w:lang w:val="en-US"/>
        </w:rPr>
        <w:t>虚线预留 对于明确可以实施的，实线预留。对于未来确有需求、但实际上难以准确落位的道路，进行弹性预留（可结合地块开发的需要进行调整</w:t>
      </w:r>
      <w:r>
        <w:rPr>
          <w:lang w:val="en-US"/>
        </w:rPr>
        <w:t>/</w:t>
      </w:r>
      <w:r>
        <w:rPr>
          <w:rFonts w:hint="eastAsia"/>
          <w:lang w:val="en-US"/>
        </w:rPr>
        <w:t>取消，取消弹性路网前应征得相关管理部门的同意）。</w:t>
      </w:r>
    </w:p>
    <w:p w14:paraId="49EBF2DD">
      <w:pPr>
        <w:pStyle w:val="268"/>
        <w:rPr>
          <w:lang w:bidi="ar"/>
        </w:rPr>
      </w:pPr>
      <w:r>
        <w:drawing>
          <wp:inline distT="0" distB="0" distL="0" distR="0">
            <wp:extent cx="4566920" cy="3346450"/>
            <wp:effectExtent l="0" t="0" r="5080" b="635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85"/>
                    <a:stretch>
                      <a:fillRect/>
                    </a:stretch>
                  </pic:blipFill>
                  <pic:spPr>
                    <a:xfrm>
                      <a:off x="0" y="0"/>
                      <a:ext cx="4566920" cy="3346450"/>
                    </a:xfrm>
                    <a:prstGeom prst="rect">
                      <a:avLst/>
                    </a:prstGeom>
                  </pic:spPr>
                </pic:pic>
              </a:graphicData>
            </a:graphic>
          </wp:inline>
        </w:drawing>
      </w:r>
      <w:r>
        <w:drawing>
          <wp:inline distT="0" distB="0" distL="114300" distR="114300">
            <wp:extent cx="5074920" cy="4697730"/>
            <wp:effectExtent l="0" t="0" r="0" b="762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86"/>
                    <a:srcRect r="1248"/>
                    <a:stretch>
                      <a:fillRect/>
                    </a:stretch>
                  </pic:blipFill>
                  <pic:spPr>
                    <a:xfrm>
                      <a:off x="0" y="0"/>
                      <a:ext cx="5075357" cy="4698124"/>
                    </a:xfrm>
                    <a:prstGeom prst="rect">
                      <a:avLst/>
                    </a:prstGeom>
                  </pic:spPr>
                </pic:pic>
              </a:graphicData>
            </a:graphic>
          </wp:inline>
        </w:drawing>
      </w:r>
    </w:p>
    <w:p w14:paraId="66B78B75">
      <w:pPr>
        <w:pStyle w:val="268"/>
      </w:pPr>
      <w:r>
        <w:rPr>
          <w:rFonts w:hint="eastAsia"/>
        </w:rPr>
        <w:t>图10-5 弹性路网管控与分布图</w:t>
      </w:r>
    </w:p>
    <w:p w14:paraId="2996E32D">
      <w:pPr>
        <w:pStyle w:val="3"/>
        <w:numPr>
          <w:ilvl w:val="1"/>
          <w:numId w:val="5"/>
        </w:numPr>
        <w:spacing w:before="332" w:after="166"/>
        <w:rPr>
          <w:rFonts w:hint="eastAsia"/>
        </w:rPr>
      </w:pPr>
      <w:r>
        <w:t>道路网络</w:t>
      </w:r>
    </w:p>
    <w:p w14:paraId="316EBCAA">
      <w:pPr>
        <w:pStyle w:val="4"/>
        <w:numPr>
          <w:ilvl w:val="2"/>
          <w:numId w:val="5"/>
        </w:numPr>
        <w:spacing w:before="332" w:after="166"/>
        <w:rPr>
          <w:rFonts w:hint="eastAsia"/>
          <w:lang w:val="en-US"/>
        </w:rPr>
      </w:pPr>
      <w:r>
        <w:rPr>
          <w:lang w:val="en-US"/>
        </w:rPr>
        <w:t>对外交通</w:t>
      </w:r>
    </w:p>
    <w:p w14:paraId="7123B7C5">
      <w:pPr>
        <w:spacing w:after="166"/>
        <w:ind w:firstLine="500"/>
      </w:pPr>
      <w:r>
        <w:rPr>
          <w:rFonts w:hint="eastAsia"/>
          <w:lang w:val="en-US"/>
        </w:rPr>
        <w:t>规划区对外区域交通为“一环、一横、两纵”结构。</w:t>
      </w:r>
    </w:p>
    <w:p w14:paraId="061B2237">
      <w:pPr>
        <w:bidi w:val="0"/>
      </w:pPr>
      <w:r>
        <w:rPr>
          <w:rFonts w:hint="eastAsia"/>
          <w:lang w:val="en-US"/>
        </w:rPr>
        <w:t>①</w:t>
      </w:r>
      <w:r>
        <w:rPr>
          <w:rFonts w:hint="eastAsia"/>
        </w:rPr>
        <w:t>一环：</w:t>
      </w:r>
      <w:r>
        <w:rPr>
          <w:rFonts w:hint="eastAsia"/>
          <w:lang w:val="en-US"/>
        </w:rPr>
        <w:t>即北环路，向西联系苏木图。</w:t>
      </w:r>
    </w:p>
    <w:p w14:paraId="566FE505">
      <w:pPr>
        <w:bidi w:val="0"/>
      </w:pPr>
      <w:r>
        <w:rPr>
          <w:rFonts w:hint="eastAsia"/>
          <w:lang w:val="en-US"/>
        </w:rPr>
        <w:t>②</w:t>
      </w:r>
      <w:r>
        <w:rPr>
          <w:rFonts w:hint="eastAsia"/>
        </w:rPr>
        <w:t>一横：即</w:t>
      </w:r>
      <w:r>
        <w:rPr>
          <w:rFonts w:hint="eastAsia"/>
          <w:lang w:val="en-US"/>
        </w:rPr>
        <w:t>稀土大街，向西至巴彦淖尔。</w:t>
      </w:r>
    </w:p>
    <w:p w14:paraId="1D4C7CA8">
      <w:pPr>
        <w:bidi w:val="0"/>
        <w:rPr>
          <w:rFonts w:hint="eastAsia"/>
          <w:lang w:val="en-US"/>
        </w:rPr>
      </w:pPr>
      <w:r>
        <w:rPr>
          <w:rFonts w:hint="eastAsia"/>
          <w:lang w:val="en-US"/>
        </w:rPr>
        <w:t>③两纵：白云鄂博大街：向南至百灵庙。Y099：向南至包头市区。</w:t>
      </w:r>
    </w:p>
    <w:p w14:paraId="439676FB">
      <w:pPr>
        <w:pStyle w:val="4"/>
        <w:numPr>
          <w:ilvl w:val="2"/>
          <w:numId w:val="5"/>
        </w:numPr>
        <w:spacing w:before="332" w:after="166"/>
        <w:rPr>
          <w:rFonts w:hint="eastAsia"/>
          <w:lang w:val="en-US"/>
        </w:rPr>
      </w:pPr>
      <w:r>
        <w:rPr>
          <w:lang w:val="en-US"/>
        </w:rPr>
        <w:t>内部交通</w:t>
      </w:r>
    </w:p>
    <w:p w14:paraId="52901BF0">
      <w:pPr>
        <w:spacing w:after="166"/>
        <w:ind w:firstLine="500"/>
      </w:pPr>
      <w:r>
        <w:rPr>
          <w:rFonts w:hint="eastAsia"/>
          <w:lang w:val="en-US"/>
        </w:rPr>
        <w:t>按照道路在道路网中的地位、交通功能以及对沿线建筑物的服务功能等，将规划道路分为主干路、次干路和支路 3 个等级，规划形成“网格式”路网格局。</w:t>
      </w:r>
    </w:p>
    <w:p w14:paraId="4FAC2731">
      <w:pPr>
        <w:spacing w:after="166"/>
        <w:ind w:firstLine="500"/>
      </w:pPr>
      <w:r>
        <w:rPr>
          <w:rFonts w:hint="eastAsia"/>
          <w:lang w:val="en-US"/>
        </w:rPr>
        <w:t>规划内部路网密度（含弹性支路）为5.33km/km²，其中主干路网密度为 1.34km/km²，次干路网密度为1.56km/km²，支路网密度为2.43km/km²。</w:t>
      </w:r>
    </w:p>
    <w:p w14:paraId="13E36F9E">
      <w:pPr>
        <w:spacing w:after="166"/>
        <w:ind w:firstLine="500"/>
      </w:pPr>
      <w:r>
        <w:rPr>
          <w:rFonts w:hint="eastAsia"/>
          <w:lang w:val="en-US"/>
        </w:rPr>
        <w:t>规划内部路网形成“七横七纵”的中心城区路网骨架。横向骨架（从北到南）：矿山路、规划路、稀土大街、白云鄂博大道、新元街、新城街、335国道；纵向骨架（从西到东） ：西环路、规划一路、丁道衡路、正阳路、广场西路、百灵道、地质道。</w:t>
      </w:r>
    </w:p>
    <w:p w14:paraId="78B91468">
      <w:pPr>
        <w:spacing w:after="166"/>
        <w:ind w:firstLine="500"/>
      </w:pPr>
      <w:r>
        <w:rPr>
          <w:rFonts w:hint="eastAsia"/>
          <w:lang w:val="en-US"/>
        </w:rPr>
        <w:t xml:space="preserve">主干路红线宽度为 26-40 米，是区内核心组团间的交通骨架，规划横断面主要为三块板与四块板形式。 </w:t>
      </w:r>
    </w:p>
    <w:p w14:paraId="6502F128">
      <w:pPr>
        <w:spacing w:after="166"/>
        <w:ind w:firstLine="500"/>
      </w:pPr>
      <w:r>
        <w:rPr>
          <w:rFonts w:hint="eastAsia"/>
          <w:lang w:val="en-US"/>
        </w:rPr>
        <w:t xml:space="preserve">次干路红线宽度为 24-36 米，是各功能组团间相互联系的主要道路，规划横断面主要为两块板与三块板形式。 </w:t>
      </w:r>
    </w:p>
    <w:p w14:paraId="42C4BB60">
      <w:pPr>
        <w:spacing w:after="166"/>
        <w:ind w:firstLine="500"/>
      </w:pPr>
      <w:r>
        <w:rPr>
          <w:rFonts w:hint="eastAsia"/>
          <w:lang w:val="en-US"/>
        </w:rPr>
        <w:t xml:space="preserve">支路红线宽度为 10-15 米，主要功能为连接次干道与各地块间短距离交通，规划横断面主要为一块板与两块板形式。 </w:t>
      </w:r>
    </w:p>
    <w:p w14:paraId="75A549E4">
      <w:pPr>
        <w:widowControl/>
        <w:spacing w:beforeAutospacing="1" w:after="166"/>
        <w:ind w:firstLine="0" w:firstLineChars="0"/>
        <w:jc w:val="left"/>
        <w:rPr>
          <w:lang w:val="en-US" w:bidi="ar"/>
        </w:rPr>
      </w:pPr>
      <w:r>
        <w:rPr>
          <w:lang w:val="en-US" w:bidi="ar"/>
        </w:rPr>
        <w:t xml:space="preserve"> </w:t>
      </w:r>
      <w:r>
        <w:drawing>
          <wp:inline distT="0" distB="0" distL="114300" distR="114300">
            <wp:extent cx="5340985" cy="4462780"/>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87"/>
                    <a:srcRect r="865"/>
                    <a:stretch>
                      <a:fillRect/>
                    </a:stretch>
                  </pic:blipFill>
                  <pic:spPr>
                    <a:xfrm>
                      <a:off x="0" y="0"/>
                      <a:ext cx="5343297" cy="4464701"/>
                    </a:xfrm>
                    <a:prstGeom prst="rect">
                      <a:avLst/>
                    </a:prstGeom>
                  </pic:spPr>
                </pic:pic>
              </a:graphicData>
            </a:graphic>
          </wp:inline>
        </w:drawing>
      </w:r>
    </w:p>
    <w:p w14:paraId="15C876B9">
      <w:pPr>
        <w:pStyle w:val="268"/>
        <w:rPr>
          <w:rFonts w:hint="eastAsia"/>
          <w:lang w:bidi="ar"/>
        </w:rPr>
      </w:pPr>
      <w:r>
        <w:rPr>
          <w:rFonts w:hint="eastAsia"/>
          <w:lang w:bidi="ar"/>
        </w:rPr>
        <w:t>图10-6 道路交通规划图</w:t>
      </w:r>
    </w:p>
    <w:p w14:paraId="538DF23C">
      <w:pPr>
        <w:pStyle w:val="117"/>
      </w:pPr>
      <w:r>
        <w:rPr>
          <w:rFonts w:hint="eastAsia"/>
        </w:rPr>
        <w:t>表10-1 道路规划一览表</w:t>
      </w:r>
    </w:p>
    <w:tbl>
      <w:tblPr>
        <w:tblStyle w:val="36"/>
        <w:tblW w:w="0" w:type="auto"/>
        <w:tblInd w:w="0" w:type="dxa"/>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Layout w:type="autofit"/>
        <w:tblCellMar>
          <w:top w:w="0" w:type="dxa"/>
          <w:left w:w="108" w:type="dxa"/>
          <w:bottom w:w="0" w:type="dxa"/>
          <w:right w:w="108" w:type="dxa"/>
        </w:tblCellMar>
      </w:tblPr>
      <w:tblGrid>
        <w:gridCol w:w="576"/>
        <w:gridCol w:w="1476"/>
        <w:gridCol w:w="756"/>
        <w:gridCol w:w="576"/>
        <w:gridCol w:w="836"/>
        <w:gridCol w:w="936"/>
        <w:gridCol w:w="2076"/>
        <w:gridCol w:w="936"/>
      </w:tblGrid>
      <w:tr w14:paraId="777FFE45">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113" w:hRule="atLeast"/>
        </w:trPr>
        <w:tc>
          <w:tcPr>
            <w:tcW w:w="0" w:type="auto"/>
            <w:tcBorders>
              <w:top w:val="single" w:color="auto" w:sz="12" w:space="0"/>
              <w:left w:val="single" w:color="auto" w:sz="12" w:space="0"/>
              <w:bottom w:val="single" w:color="000000" w:sz="4" w:space="0"/>
              <w:right w:val="single" w:color="000000" w:sz="4" w:space="0"/>
            </w:tcBorders>
            <w:shd w:val="clear" w:color="auto" w:fill="FFFFFF"/>
            <w:vAlign w:val="center"/>
          </w:tcPr>
          <w:p w14:paraId="14C34D7B">
            <w:pPr>
              <w:pStyle w:val="115"/>
              <w:jc w:val="center"/>
            </w:pPr>
            <w:r>
              <w:rPr>
                <w:rFonts w:hint="eastAsia"/>
              </w:rPr>
              <w:t>序号</w:t>
            </w:r>
          </w:p>
        </w:tc>
        <w:tc>
          <w:tcPr>
            <w:tcW w:w="0" w:type="auto"/>
            <w:tcBorders>
              <w:top w:val="single" w:color="auto" w:sz="12" w:space="0"/>
              <w:left w:val="nil"/>
              <w:bottom w:val="single" w:color="000000" w:sz="4" w:space="0"/>
              <w:right w:val="single" w:color="000000" w:sz="4" w:space="0"/>
            </w:tcBorders>
            <w:shd w:val="clear" w:color="auto" w:fill="FFFFFF"/>
            <w:vAlign w:val="center"/>
          </w:tcPr>
          <w:p w14:paraId="10362286">
            <w:pPr>
              <w:pStyle w:val="115"/>
              <w:jc w:val="center"/>
            </w:pPr>
            <w:r>
              <w:rPr>
                <w:rFonts w:hint="eastAsia"/>
              </w:rPr>
              <w:t>道路名称</w:t>
            </w:r>
          </w:p>
        </w:tc>
        <w:tc>
          <w:tcPr>
            <w:tcW w:w="0" w:type="auto"/>
            <w:tcBorders>
              <w:top w:val="single" w:color="auto" w:sz="12" w:space="0"/>
              <w:left w:val="nil"/>
              <w:bottom w:val="single" w:color="000000" w:sz="4" w:space="0"/>
              <w:right w:val="single" w:color="000000" w:sz="4" w:space="0"/>
            </w:tcBorders>
            <w:shd w:val="clear" w:color="auto" w:fill="FFFFFF"/>
            <w:vAlign w:val="center"/>
          </w:tcPr>
          <w:p w14:paraId="530B807F">
            <w:pPr>
              <w:pStyle w:val="115"/>
              <w:jc w:val="center"/>
            </w:pPr>
            <w:r>
              <w:rPr>
                <w:rFonts w:hint="eastAsia"/>
              </w:rPr>
              <w:t>类别</w:t>
            </w:r>
          </w:p>
        </w:tc>
        <w:tc>
          <w:tcPr>
            <w:tcW w:w="0" w:type="auto"/>
            <w:tcBorders>
              <w:top w:val="single" w:color="auto" w:sz="12" w:space="0"/>
              <w:left w:val="nil"/>
              <w:bottom w:val="single" w:color="000000" w:sz="4" w:space="0"/>
              <w:right w:val="single" w:color="000000" w:sz="4" w:space="0"/>
            </w:tcBorders>
            <w:shd w:val="clear" w:color="auto" w:fill="FFFFFF"/>
            <w:vAlign w:val="center"/>
          </w:tcPr>
          <w:p w14:paraId="6D00A8F6">
            <w:pPr>
              <w:pStyle w:val="115"/>
              <w:jc w:val="center"/>
            </w:pPr>
            <w:r>
              <w:rPr>
                <w:rFonts w:hint="eastAsia"/>
              </w:rPr>
              <w:t>走向</w:t>
            </w:r>
          </w:p>
        </w:tc>
        <w:tc>
          <w:tcPr>
            <w:tcW w:w="0" w:type="auto"/>
            <w:tcBorders>
              <w:top w:val="single" w:color="auto" w:sz="12" w:space="0"/>
              <w:left w:val="nil"/>
              <w:bottom w:val="single" w:color="000000" w:sz="4" w:space="0"/>
              <w:right w:val="single" w:color="000000" w:sz="4" w:space="0"/>
            </w:tcBorders>
            <w:shd w:val="clear" w:color="auto" w:fill="FFFFFF"/>
            <w:vAlign w:val="center"/>
          </w:tcPr>
          <w:p w14:paraId="42EADCA7">
            <w:pPr>
              <w:pStyle w:val="115"/>
              <w:jc w:val="center"/>
            </w:pPr>
            <w:r>
              <w:rPr>
                <w:rFonts w:hint="eastAsia"/>
              </w:rPr>
              <w:t>长度</w:t>
            </w:r>
            <w:r>
              <w:t>(m)</w:t>
            </w:r>
          </w:p>
        </w:tc>
        <w:tc>
          <w:tcPr>
            <w:tcW w:w="0" w:type="auto"/>
            <w:tcBorders>
              <w:top w:val="single" w:color="auto" w:sz="12" w:space="0"/>
              <w:left w:val="nil"/>
              <w:bottom w:val="single" w:color="000000" w:sz="4" w:space="0"/>
              <w:right w:val="single" w:color="000000" w:sz="4" w:space="0"/>
            </w:tcBorders>
            <w:shd w:val="clear" w:color="auto" w:fill="FFFFFF"/>
            <w:vAlign w:val="center"/>
          </w:tcPr>
          <w:p w14:paraId="69C7C47E">
            <w:pPr>
              <w:pStyle w:val="115"/>
              <w:jc w:val="center"/>
            </w:pPr>
            <w:r>
              <w:rPr>
                <w:rFonts w:hint="eastAsia"/>
              </w:rPr>
              <w:t>红线宽度</w:t>
            </w:r>
          </w:p>
          <w:p w14:paraId="6851BBEC">
            <w:pPr>
              <w:pStyle w:val="115"/>
              <w:jc w:val="center"/>
            </w:pPr>
            <w:r>
              <w:t>(m)</w:t>
            </w:r>
          </w:p>
        </w:tc>
        <w:tc>
          <w:tcPr>
            <w:tcW w:w="0" w:type="auto"/>
            <w:tcBorders>
              <w:top w:val="single" w:color="auto" w:sz="12" w:space="0"/>
              <w:left w:val="nil"/>
              <w:bottom w:val="single" w:color="000000" w:sz="4" w:space="0"/>
              <w:right w:val="single" w:color="000000" w:sz="4" w:space="0"/>
            </w:tcBorders>
            <w:shd w:val="clear" w:color="auto" w:fill="FFFFFF"/>
            <w:vAlign w:val="center"/>
          </w:tcPr>
          <w:p w14:paraId="42DDC7B5">
            <w:pPr>
              <w:pStyle w:val="115"/>
              <w:jc w:val="center"/>
            </w:pPr>
            <w:r>
              <w:rPr>
                <w:rFonts w:hint="eastAsia"/>
              </w:rPr>
              <w:t>道路起止</w:t>
            </w:r>
          </w:p>
        </w:tc>
        <w:tc>
          <w:tcPr>
            <w:tcW w:w="0" w:type="auto"/>
            <w:tcBorders>
              <w:top w:val="single" w:color="auto" w:sz="12" w:space="0"/>
              <w:left w:val="nil"/>
              <w:bottom w:val="single" w:color="000000" w:sz="4" w:space="0"/>
              <w:right w:val="single" w:color="auto" w:sz="12" w:space="0"/>
            </w:tcBorders>
            <w:shd w:val="clear" w:color="auto" w:fill="FFFFFF"/>
            <w:vAlign w:val="center"/>
          </w:tcPr>
          <w:p w14:paraId="13EB3A8A">
            <w:pPr>
              <w:pStyle w:val="115"/>
              <w:jc w:val="center"/>
            </w:pPr>
            <w:r>
              <w:rPr>
                <w:rFonts w:hint="eastAsia"/>
              </w:rPr>
              <w:t>控制类型</w:t>
            </w:r>
          </w:p>
        </w:tc>
      </w:tr>
      <w:tr w14:paraId="7A9B2507">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113" w:hRule="atLeast"/>
        </w:trPr>
        <w:tc>
          <w:tcPr>
            <w:tcW w:w="0" w:type="auto"/>
            <w:tcBorders>
              <w:top w:val="single" w:color="000000" w:sz="4" w:space="0"/>
              <w:left w:val="single" w:color="auto" w:sz="12" w:space="0"/>
              <w:bottom w:val="single" w:color="000000" w:sz="4" w:space="0"/>
              <w:right w:val="single" w:color="000000" w:sz="4" w:space="0"/>
            </w:tcBorders>
            <w:shd w:val="clear" w:color="auto" w:fill="FFFFFF"/>
            <w:vAlign w:val="center"/>
          </w:tcPr>
          <w:p w14:paraId="1CDBE4D9">
            <w:pPr>
              <w:pStyle w:val="115"/>
              <w:jc w:val="center"/>
            </w:pPr>
            <w:r>
              <w:t>1</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01A28820">
            <w:pPr>
              <w:pStyle w:val="115"/>
              <w:jc w:val="center"/>
            </w:pPr>
            <w:r>
              <w:rPr>
                <w:rFonts w:hint="eastAsia"/>
              </w:rPr>
              <w:t>稀土大街</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28304BF3">
            <w:pPr>
              <w:pStyle w:val="115"/>
              <w:jc w:val="center"/>
            </w:pPr>
            <w:r>
              <w:rPr>
                <w:rFonts w:hint="eastAsia"/>
              </w:rPr>
              <w:t>主干路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5CEF5B15">
            <w:pPr>
              <w:pStyle w:val="115"/>
              <w:jc w:val="center"/>
            </w:pPr>
            <w:r>
              <w:rPr>
                <w:rFonts w:hint="eastAsia"/>
              </w:rPr>
              <w:t>东西</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7501AF97">
            <w:pPr>
              <w:pStyle w:val="115"/>
              <w:jc w:val="center"/>
            </w:pPr>
            <w:r>
              <w:t>3267</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269C3D1A">
            <w:pPr>
              <w:pStyle w:val="115"/>
              <w:jc w:val="center"/>
            </w:pPr>
            <w:r>
              <w:t>30</w:t>
            </w:r>
            <w:r>
              <w:rPr>
                <w:rFonts w:hint="eastAsia"/>
              </w:rPr>
              <w:t>；</w:t>
            </w:r>
            <w:r>
              <w:t>26</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0E71A093">
            <w:pPr>
              <w:pStyle w:val="115"/>
              <w:jc w:val="center"/>
            </w:pPr>
            <w:r>
              <w:rPr>
                <w:rFonts w:hint="eastAsia"/>
              </w:rPr>
              <w:t>纵一路</w:t>
            </w:r>
            <w:r>
              <w:t>-</w:t>
            </w:r>
            <w:r>
              <w:rPr>
                <w:rFonts w:hint="eastAsia"/>
              </w:rPr>
              <w:t>北环路</w:t>
            </w:r>
          </w:p>
        </w:tc>
        <w:tc>
          <w:tcPr>
            <w:tcW w:w="0" w:type="auto"/>
            <w:tcBorders>
              <w:top w:val="single" w:color="000000" w:sz="4" w:space="0"/>
              <w:left w:val="nil"/>
              <w:bottom w:val="single" w:color="000000" w:sz="4" w:space="0"/>
              <w:right w:val="single" w:color="auto" w:sz="12" w:space="0"/>
            </w:tcBorders>
            <w:shd w:val="clear" w:color="auto" w:fill="FFFFFF"/>
            <w:vAlign w:val="center"/>
          </w:tcPr>
          <w:p w14:paraId="5030A900">
            <w:pPr>
              <w:pStyle w:val="115"/>
              <w:jc w:val="center"/>
            </w:pPr>
            <w:r>
              <w:rPr>
                <w:rFonts w:hint="eastAsia"/>
              </w:rPr>
              <w:t>刚性</w:t>
            </w:r>
          </w:p>
        </w:tc>
      </w:tr>
      <w:tr w14:paraId="4A78C533">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113" w:hRule="atLeast"/>
        </w:trPr>
        <w:tc>
          <w:tcPr>
            <w:tcW w:w="0" w:type="auto"/>
            <w:tcBorders>
              <w:top w:val="single" w:color="000000" w:sz="4" w:space="0"/>
              <w:left w:val="single" w:color="auto" w:sz="12" w:space="0"/>
              <w:bottom w:val="single" w:color="000000" w:sz="4" w:space="0"/>
              <w:right w:val="single" w:color="000000" w:sz="4" w:space="0"/>
            </w:tcBorders>
            <w:shd w:val="clear" w:color="auto" w:fill="FFFFFF"/>
            <w:vAlign w:val="center"/>
          </w:tcPr>
          <w:p w14:paraId="71040BC6">
            <w:pPr>
              <w:pStyle w:val="115"/>
              <w:jc w:val="center"/>
            </w:pPr>
            <w:r>
              <w:t>2</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5460747A">
            <w:pPr>
              <w:pStyle w:val="115"/>
              <w:jc w:val="center"/>
            </w:pPr>
            <w:r>
              <w:rPr>
                <w:rFonts w:hint="eastAsia"/>
              </w:rPr>
              <w:t>白云鄂博矿大街</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2A6BA7A2">
            <w:pPr>
              <w:pStyle w:val="115"/>
              <w:jc w:val="center"/>
            </w:pPr>
            <w:r>
              <w:rPr>
                <w:rFonts w:hint="eastAsia"/>
              </w:rPr>
              <w:t>主干路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53CB432B">
            <w:pPr>
              <w:pStyle w:val="115"/>
              <w:jc w:val="center"/>
            </w:pPr>
            <w:r>
              <w:rPr>
                <w:rFonts w:hint="eastAsia"/>
              </w:rPr>
              <w:t>东西</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5D1F93D4">
            <w:pPr>
              <w:pStyle w:val="115"/>
              <w:jc w:val="center"/>
            </w:pPr>
            <w:r>
              <w:t>2812</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65CA963D">
            <w:pPr>
              <w:pStyle w:val="115"/>
              <w:jc w:val="center"/>
            </w:pPr>
            <w:r>
              <w:t>36</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6D6819BD">
            <w:pPr>
              <w:pStyle w:val="115"/>
              <w:jc w:val="center"/>
            </w:pPr>
            <w:r>
              <w:rPr>
                <w:rFonts w:hint="eastAsia"/>
              </w:rPr>
              <w:t>稀土大街</w:t>
            </w:r>
            <w:r>
              <w:t>-</w:t>
            </w:r>
            <w:r>
              <w:rPr>
                <w:rFonts w:hint="eastAsia"/>
              </w:rPr>
              <w:t>百灵道</w:t>
            </w:r>
          </w:p>
        </w:tc>
        <w:tc>
          <w:tcPr>
            <w:tcW w:w="0" w:type="auto"/>
            <w:tcBorders>
              <w:top w:val="single" w:color="000000" w:sz="4" w:space="0"/>
              <w:left w:val="nil"/>
              <w:bottom w:val="single" w:color="000000" w:sz="4" w:space="0"/>
              <w:right w:val="single" w:color="auto" w:sz="12" w:space="0"/>
            </w:tcBorders>
            <w:shd w:val="clear" w:color="auto" w:fill="FFFFFF"/>
            <w:vAlign w:val="center"/>
          </w:tcPr>
          <w:p w14:paraId="6E3103E8">
            <w:pPr>
              <w:pStyle w:val="115"/>
              <w:jc w:val="center"/>
            </w:pPr>
            <w:r>
              <w:rPr>
                <w:rFonts w:hint="eastAsia"/>
              </w:rPr>
              <w:t>刚性</w:t>
            </w:r>
          </w:p>
        </w:tc>
      </w:tr>
      <w:tr w14:paraId="3D6533D7">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113" w:hRule="atLeast"/>
        </w:trPr>
        <w:tc>
          <w:tcPr>
            <w:tcW w:w="0" w:type="auto"/>
            <w:tcBorders>
              <w:top w:val="single" w:color="000000" w:sz="4" w:space="0"/>
              <w:left w:val="single" w:color="auto" w:sz="12" w:space="0"/>
              <w:bottom w:val="single" w:color="000000" w:sz="4" w:space="0"/>
              <w:right w:val="single" w:color="000000" w:sz="4" w:space="0"/>
            </w:tcBorders>
            <w:shd w:val="clear" w:color="auto" w:fill="FFFFFF"/>
            <w:vAlign w:val="center"/>
          </w:tcPr>
          <w:p w14:paraId="131185CC">
            <w:pPr>
              <w:pStyle w:val="115"/>
              <w:jc w:val="center"/>
            </w:pPr>
            <w:r>
              <w:t>3</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10761078">
            <w:pPr>
              <w:pStyle w:val="115"/>
              <w:jc w:val="center"/>
            </w:pPr>
            <w:r>
              <w:rPr>
                <w:rFonts w:hint="eastAsia"/>
              </w:rPr>
              <w:t>通阳道</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03E1B496">
            <w:pPr>
              <w:pStyle w:val="115"/>
              <w:jc w:val="center"/>
            </w:pPr>
            <w:r>
              <w:rPr>
                <w:rFonts w:hint="eastAsia"/>
              </w:rPr>
              <w:t>主干路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0E93F897">
            <w:pPr>
              <w:pStyle w:val="115"/>
              <w:jc w:val="center"/>
            </w:pPr>
            <w:r>
              <w:rPr>
                <w:rFonts w:hint="eastAsia"/>
              </w:rPr>
              <w:t>南北</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2949BE54">
            <w:pPr>
              <w:pStyle w:val="115"/>
              <w:jc w:val="center"/>
            </w:pPr>
            <w:r>
              <w:t>1393</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6294C3ED">
            <w:pPr>
              <w:pStyle w:val="115"/>
              <w:jc w:val="center"/>
            </w:pPr>
            <w:r>
              <w:t>30</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1AF26B77">
            <w:pPr>
              <w:pStyle w:val="115"/>
              <w:jc w:val="center"/>
            </w:pPr>
            <w:r>
              <w:rPr>
                <w:rFonts w:hint="eastAsia"/>
              </w:rPr>
              <w:t>横一路</w:t>
            </w:r>
            <w:r>
              <w:t>-</w:t>
            </w:r>
            <w:r>
              <w:rPr>
                <w:rFonts w:hint="eastAsia"/>
              </w:rPr>
              <w:t>白云鄂博大街</w:t>
            </w:r>
          </w:p>
        </w:tc>
        <w:tc>
          <w:tcPr>
            <w:tcW w:w="0" w:type="auto"/>
            <w:tcBorders>
              <w:top w:val="single" w:color="000000" w:sz="4" w:space="0"/>
              <w:left w:val="nil"/>
              <w:bottom w:val="single" w:color="000000" w:sz="4" w:space="0"/>
              <w:right w:val="single" w:color="auto" w:sz="12" w:space="0"/>
            </w:tcBorders>
            <w:shd w:val="clear" w:color="auto" w:fill="FFFFFF"/>
            <w:vAlign w:val="center"/>
          </w:tcPr>
          <w:p w14:paraId="63A46DFA">
            <w:pPr>
              <w:pStyle w:val="115"/>
              <w:jc w:val="center"/>
            </w:pPr>
            <w:r>
              <w:rPr>
                <w:rFonts w:hint="eastAsia"/>
              </w:rPr>
              <w:t>刚性</w:t>
            </w:r>
          </w:p>
        </w:tc>
      </w:tr>
      <w:tr w14:paraId="24FC6057">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113" w:hRule="atLeast"/>
        </w:trPr>
        <w:tc>
          <w:tcPr>
            <w:tcW w:w="0" w:type="auto"/>
            <w:tcBorders>
              <w:top w:val="single" w:color="000000" w:sz="4" w:space="0"/>
              <w:left w:val="single" w:color="auto" w:sz="12" w:space="0"/>
              <w:bottom w:val="single" w:color="000000" w:sz="4" w:space="0"/>
              <w:right w:val="single" w:color="000000" w:sz="4" w:space="0"/>
            </w:tcBorders>
            <w:shd w:val="clear" w:color="auto" w:fill="FFFFFF"/>
            <w:vAlign w:val="center"/>
          </w:tcPr>
          <w:p w14:paraId="1C9F29D4">
            <w:pPr>
              <w:pStyle w:val="115"/>
              <w:jc w:val="center"/>
            </w:pPr>
            <w:r>
              <w:t>4</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0F5AD9A3">
            <w:pPr>
              <w:pStyle w:val="115"/>
              <w:jc w:val="center"/>
            </w:pPr>
            <w:r>
              <w:t>Y099</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66568784">
            <w:pPr>
              <w:pStyle w:val="115"/>
              <w:jc w:val="center"/>
            </w:pPr>
            <w:r>
              <w:rPr>
                <w:rFonts w:hint="eastAsia"/>
              </w:rPr>
              <w:t>主干路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0C65266C">
            <w:pPr>
              <w:pStyle w:val="115"/>
              <w:jc w:val="center"/>
            </w:pPr>
            <w:r>
              <w:rPr>
                <w:rFonts w:hint="eastAsia"/>
              </w:rPr>
              <w:t>南北</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791AFE53">
            <w:pPr>
              <w:pStyle w:val="115"/>
              <w:jc w:val="center"/>
            </w:pPr>
            <w:r>
              <w:t>1175</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54AE7991">
            <w:pPr>
              <w:pStyle w:val="115"/>
              <w:jc w:val="center"/>
            </w:pPr>
            <w:r>
              <w:t>40</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185C7D77">
            <w:pPr>
              <w:pStyle w:val="115"/>
              <w:jc w:val="center"/>
            </w:pPr>
            <w:r>
              <w:rPr>
                <w:rFonts w:hint="eastAsia"/>
              </w:rPr>
              <w:t>白云鄂博大街</w:t>
            </w:r>
            <w:r>
              <w:t>-G335</w:t>
            </w:r>
          </w:p>
        </w:tc>
        <w:tc>
          <w:tcPr>
            <w:tcW w:w="0" w:type="auto"/>
            <w:tcBorders>
              <w:top w:val="single" w:color="000000" w:sz="4" w:space="0"/>
              <w:left w:val="nil"/>
              <w:bottom w:val="single" w:color="000000" w:sz="4" w:space="0"/>
              <w:right w:val="single" w:color="auto" w:sz="12" w:space="0"/>
            </w:tcBorders>
            <w:shd w:val="clear" w:color="auto" w:fill="FFFFFF"/>
            <w:vAlign w:val="center"/>
          </w:tcPr>
          <w:p w14:paraId="12805B45">
            <w:pPr>
              <w:pStyle w:val="115"/>
              <w:jc w:val="center"/>
            </w:pPr>
            <w:r>
              <w:rPr>
                <w:rFonts w:hint="eastAsia"/>
              </w:rPr>
              <w:t>刚性</w:t>
            </w:r>
          </w:p>
        </w:tc>
      </w:tr>
      <w:tr w14:paraId="3941D5F4">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113" w:hRule="atLeast"/>
        </w:trPr>
        <w:tc>
          <w:tcPr>
            <w:tcW w:w="0" w:type="auto"/>
            <w:tcBorders>
              <w:top w:val="single" w:color="000000" w:sz="4" w:space="0"/>
              <w:left w:val="single" w:color="auto" w:sz="12" w:space="0"/>
              <w:bottom w:val="single" w:color="000000" w:sz="4" w:space="0"/>
              <w:right w:val="single" w:color="000000" w:sz="4" w:space="0"/>
            </w:tcBorders>
            <w:shd w:val="clear" w:color="auto" w:fill="FFFFFF"/>
            <w:vAlign w:val="center"/>
          </w:tcPr>
          <w:p w14:paraId="4D0941B9">
            <w:pPr>
              <w:pStyle w:val="115"/>
              <w:jc w:val="center"/>
            </w:pPr>
            <w:r>
              <w:t>5</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093C9A8C">
            <w:pPr>
              <w:pStyle w:val="115"/>
              <w:jc w:val="center"/>
            </w:pPr>
            <w:r>
              <w:rPr>
                <w:rFonts w:hint="eastAsia"/>
              </w:rPr>
              <w:t>矿山路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5D70C034">
            <w:pPr>
              <w:pStyle w:val="115"/>
              <w:jc w:val="center"/>
            </w:pPr>
            <w:r>
              <w:rPr>
                <w:rFonts w:hint="eastAsia"/>
              </w:rPr>
              <w:t>次干路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7B5E842C">
            <w:pPr>
              <w:pStyle w:val="115"/>
              <w:jc w:val="center"/>
            </w:pPr>
            <w:r>
              <w:rPr>
                <w:rFonts w:hint="eastAsia"/>
              </w:rPr>
              <w:t>东西</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73083ECE">
            <w:pPr>
              <w:pStyle w:val="115"/>
              <w:jc w:val="center"/>
            </w:pPr>
            <w:r>
              <w:t>2730</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7F7357D8">
            <w:pPr>
              <w:pStyle w:val="115"/>
              <w:jc w:val="center"/>
            </w:pPr>
            <w:r>
              <w:t>24</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166BCF93">
            <w:pPr>
              <w:pStyle w:val="115"/>
              <w:jc w:val="center"/>
            </w:pPr>
            <w:r>
              <w:rPr>
                <w:rFonts w:hint="eastAsia"/>
              </w:rPr>
              <w:t>纵一路</w:t>
            </w:r>
            <w:r>
              <w:t>-</w:t>
            </w:r>
            <w:r>
              <w:rPr>
                <w:rFonts w:hint="eastAsia"/>
              </w:rPr>
              <w:t>北环路</w:t>
            </w:r>
          </w:p>
        </w:tc>
        <w:tc>
          <w:tcPr>
            <w:tcW w:w="0" w:type="auto"/>
            <w:tcBorders>
              <w:top w:val="single" w:color="000000" w:sz="4" w:space="0"/>
              <w:left w:val="nil"/>
              <w:bottom w:val="single" w:color="000000" w:sz="4" w:space="0"/>
              <w:right w:val="single" w:color="auto" w:sz="12" w:space="0"/>
            </w:tcBorders>
            <w:shd w:val="clear" w:color="auto" w:fill="FFFFFF"/>
            <w:vAlign w:val="center"/>
          </w:tcPr>
          <w:p w14:paraId="38CC7451">
            <w:pPr>
              <w:pStyle w:val="115"/>
              <w:jc w:val="center"/>
            </w:pPr>
            <w:r>
              <w:rPr>
                <w:rFonts w:hint="eastAsia"/>
              </w:rPr>
              <w:t>刚性</w:t>
            </w:r>
          </w:p>
        </w:tc>
      </w:tr>
      <w:tr w14:paraId="1631E954">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113" w:hRule="atLeast"/>
        </w:trPr>
        <w:tc>
          <w:tcPr>
            <w:tcW w:w="0" w:type="auto"/>
            <w:tcBorders>
              <w:top w:val="single" w:color="000000" w:sz="4" w:space="0"/>
              <w:left w:val="single" w:color="auto" w:sz="12" w:space="0"/>
              <w:bottom w:val="single" w:color="000000" w:sz="4" w:space="0"/>
              <w:right w:val="single" w:color="000000" w:sz="4" w:space="0"/>
            </w:tcBorders>
            <w:shd w:val="clear" w:color="auto" w:fill="FFFFFF"/>
            <w:vAlign w:val="center"/>
          </w:tcPr>
          <w:p w14:paraId="0650BB85">
            <w:pPr>
              <w:pStyle w:val="115"/>
              <w:jc w:val="center"/>
            </w:pPr>
            <w:r>
              <w:t>6</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1665BA3B">
            <w:pPr>
              <w:pStyle w:val="115"/>
              <w:jc w:val="center"/>
            </w:pPr>
            <w:r>
              <w:rPr>
                <w:rFonts w:hint="eastAsia"/>
              </w:rPr>
              <w:t>横十二路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67A2780E">
            <w:pPr>
              <w:pStyle w:val="115"/>
              <w:jc w:val="center"/>
            </w:pPr>
            <w:r>
              <w:rPr>
                <w:rFonts w:hint="eastAsia"/>
              </w:rPr>
              <w:t>次干路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4B1FA65A">
            <w:pPr>
              <w:pStyle w:val="115"/>
              <w:jc w:val="center"/>
            </w:pPr>
            <w:r>
              <w:rPr>
                <w:rFonts w:hint="eastAsia"/>
              </w:rPr>
              <w:t>东西</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0A2AA867">
            <w:pPr>
              <w:pStyle w:val="115"/>
              <w:jc w:val="center"/>
            </w:pPr>
            <w:r>
              <w:t>2378</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546099F0">
            <w:pPr>
              <w:pStyle w:val="115"/>
              <w:jc w:val="center"/>
            </w:pPr>
            <w:r>
              <w:t>24</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366B5312">
            <w:pPr>
              <w:pStyle w:val="115"/>
              <w:jc w:val="center"/>
            </w:pPr>
            <w:r>
              <w:rPr>
                <w:rFonts w:hint="eastAsia"/>
              </w:rPr>
              <w:t>纵二路</w:t>
            </w:r>
            <w:r>
              <w:t>-</w:t>
            </w:r>
            <w:r>
              <w:rPr>
                <w:rFonts w:hint="eastAsia"/>
              </w:rPr>
              <w:t>白云鄂博大街</w:t>
            </w:r>
          </w:p>
        </w:tc>
        <w:tc>
          <w:tcPr>
            <w:tcW w:w="0" w:type="auto"/>
            <w:tcBorders>
              <w:top w:val="single" w:color="000000" w:sz="4" w:space="0"/>
              <w:left w:val="nil"/>
              <w:bottom w:val="single" w:color="000000" w:sz="4" w:space="0"/>
              <w:right w:val="single" w:color="auto" w:sz="12" w:space="0"/>
            </w:tcBorders>
            <w:shd w:val="clear" w:color="auto" w:fill="FFFFFF"/>
            <w:vAlign w:val="center"/>
          </w:tcPr>
          <w:p w14:paraId="5E759540">
            <w:pPr>
              <w:pStyle w:val="115"/>
              <w:jc w:val="center"/>
            </w:pPr>
            <w:r>
              <w:rPr>
                <w:rFonts w:hint="eastAsia"/>
              </w:rPr>
              <w:t>刚性</w:t>
            </w:r>
          </w:p>
        </w:tc>
      </w:tr>
      <w:tr w14:paraId="76F0792D">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113" w:hRule="atLeast"/>
        </w:trPr>
        <w:tc>
          <w:tcPr>
            <w:tcW w:w="0" w:type="auto"/>
            <w:tcBorders>
              <w:top w:val="single" w:color="000000" w:sz="4" w:space="0"/>
              <w:left w:val="single" w:color="auto" w:sz="12" w:space="0"/>
              <w:bottom w:val="single" w:color="000000" w:sz="4" w:space="0"/>
              <w:right w:val="single" w:color="000000" w:sz="4" w:space="0"/>
            </w:tcBorders>
            <w:shd w:val="clear" w:color="auto" w:fill="FFFFFF"/>
            <w:vAlign w:val="center"/>
          </w:tcPr>
          <w:p w14:paraId="1AFC1B15">
            <w:pPr>
              <w:pStyle w:val="115"/>
              <w:jc w:val="center"/>
            </w:pPr>
            <w:r>
              <w:t>7</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50939B5E">
            <w:pPr>
              <w:pStyle w:val="115"/>
              <w:jc w:val="center"/>
            </w:pPr>
            <w:r>
              <w:rPr>
                <w:rFonts w:hint="eastAsia"/>
              </w:rPr>
              <w:t>丁道衡路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70A2EF3C">
            <w:pPr>
              <w:pStyle w:val="115"/>
              <w:jc w:val="center"/>
            </w:pPr>
            <w:r>
              <w:rPr>
                <w:rFonts w:hint="eastAsia"/>
              </w:rPr>
              <w:t>次干路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2BC4FF6A">
            <w:pPr>
              <w:pStyle w:val="115"/>
              <w:jc w:val="center"/>
            </w:pPr>
            <w:r>
              <w:rPr>
                <w:rFonts w:hint="eastAsia"/>
              </w:rPr>
              <w:t>南北</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0A276FDD">
            <w:pPr>
              <w:pStyle w:val="115"/>
              <w:jc w:val="center"/>
            </w:pPr>
            <w:r>
              <w:t>1657</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111D91E7">
            <w:pPr>
              <w:pStyle w:val="115"/>
              <w:jc w:val="center"/>
            </w:pPr>
            <w:r>
              <w:t>24</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0236EC62">
            <w:pPr>
              <w:pStyle w:val="115"/>
              <w:jc w:val="center"/>
            </w:pPr>
            <w:r>
              <w:rPr>
                <w:rFonts w:hint="eastAsia"/>
              </w:rPr>
              <w:t>矿山路</w:t>
            </w:r>
            <w:r>
              <w:t>-</w:t>
            </w:r>
            <w:r>
              <w:rPr>
                <w:rFonts w:hint="eastAsia"/>
              </w:rPr>
              <w:t>横十二路</w:t>
            </w:r>
          </w:p>
        </w:tc>
        <w:tc>
          <w:tcPr>
            <w:tcW w:w="0" w:type="auto"/>
            <w:tcBorders>
              <w:top w:val="single" w:color="000000" w:sz="4" w:space="0"/>
              <w:left w:val="nil"/>
              <w:bottom w:val="single" w:color="000000" w:sz="4" w:space="0"/>
              <w:right w:val="single" w:color="auto" w:sz="12" w:space="0"/>
            </w:tcBorders>
            <w:shd w:val="clear" w:color="auto" w:fill="FFFFFF"/>
            <w:vAlign w:val="center"/>
          </w:tcPr>
          <w:p w14:paraId="3CE5C1A1">
            <w:pPr>
              <w:pStyle w:val="115"/>
              <w:jc w:val="center"/>
            </w:pPr>
            <w:r>
              <w:rPr>
                <w:rFonts w:hint="eastAsia"/>
              </w:rPr>
              <w:t>刚性</w:t>
            </w:r>
          </w:p>
        </w:tc>
      </w:tr>
      <w:tr w14:paraId="6E89B042">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113" w:hRule="atLeast"/>
        </w:trPr>
        <w:tc>
          <w:tcPr>
            <w:tcW w:w="0" w:type="auto"/>
            <w:tcBorders>
              <w:top w:val="single" w:color="000000" w:sz="4" w:space="0"/>
              <w:left w:val="single" w:color="auto" w:sz="12" w:space="0"/>
              <w:bottom w:val="single" w:color="000000" w:sz="4" w:space="0"/>
              <w:right w:val="single" w:color="000000" w:sz="4" w:space="0"/>
            </w:tcBorders>
            <w:shd w:val="clear" w:color="auto" w:fill="FFFFFF"/>
            <w:vAlign w:val="center"/>
          </w:tcPr>
          <w:p w14:paraId="53F5CF86">
            <w:pPr>
              <w:pStyle w:val="115"/>
              <w:jc w:val="center"/>
            </w:pPr>
            <w:r>
              <w:t>8</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43A23F28">
            <w:pPr>
              <w:pStyle w:val="115"/>
              <w:jc w:val="center"/>
            </w:pPr>
            <w:r>
              <w:rPr>
                <w:rFonts w:hint="eastAsia"/>
              </w:rPr>
              <w:t>纵一路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64B7B3E1">
            <w:pPr>
              <w:pStyle w:val="115"/>
              <w:jc w:val="center"/>
            </w:pPr>
            <w:r>
              <w:rPr>
                <w:rFonts w:hint="eastAsia"/>
              </w:rPr>
              <w:t>次干路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766402D0">
            <w:pPr>
              <w:pStyle w:val="115"/>
              <w:jc w:val="center"/>
            </w:pPr>
            <w:r>
              <w:rPr>
                <w:rFonts w:hint="eastAsia"/>
              </w:rPr>
              <w:t>南北</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27CC7082">
            <w:pPr>
              <w:pStyle w:val="115"/>
              <w:jc w:val="center"/>
            </w:pPr>
            <w:r>
              <w:t>993</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666EDFCA">
            <w:pPr>
              <w:pStyle w:val="115"/>
              <w:jc w:val="center"/>
            </w:pPr>
            <w:r>
              <w:t>36</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295CE472">
            <w:pPr>
              <w:pStyle w:val="115"/>
              <w:jc w:val="center"/>
            </w:pPr>
            <w:r>
              <w:rPr>
                <w:rFonts w:hint="eastAsia"/>
              </w:rPr>
              <w:t>矿山路稀土大街</w:t>
            </w:r>
          </w:p>
        </w:tc>
        <w:tc>
          <w:tcPr>
            <w:tcW w:w="0" w:type="auto"/>
            <w:tcBorders>
              <w:top w:val="single" w:color="000000" w:sz="4" w:space="0"/>
              <w:left w:val="nil"/>
              <w:bottom w:val="single" w:color="000000" w:sz="4" w:space="0"/>
              <w:right w:val="single" w:color="auto" w:sz="12" w:space="0"/>
            </w:tcBorders>
            <w:shd w:val="clear" w:color="auto" w:fill="FFFFFF"/>
            <w:vAlign w:val="center"/>
          </w:tcPr>
          <w:p w14:paraId="6B1C0739">
            <w:pPr>
              <w:pStyle w:val="115"/>
              <w:jc w:val="center"/>
            </w:pPr>
            <w:r>
              <w:rPr>
                <w:rFonts w:hint="eastAsia"/>
              </w:rPr>
              <w:t>刚性</w:t>
            </w:r>
          </w:p>
        </w:tc>
      </w:tr>
      <w:tr w14:paraId="0640D28E">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113" w:hRule="atLeast"/>
        </w:trPr>
        <w:tc>
          <w:tcPr>
            <w:tcW w:w="0" w:type="auto"/>
            <w:tcBorders>
              <w:top w:val="single" w:color="000000" w:sz="4" w:space="0"/>
              <w:left w:val="single" w:color="auto" w:sz="12" w:space="0"/>
              <w:bottom w:val="single" w:color="000000" w:sz="4" w:space="0"/>
              <w:right w:val="single" w:color="000000" w:sz="4" w:space="0"/>
            </w:tcBorders>
            <w:shd w:val="clear" w:color="auto" w:fill="FFFFFF"/>
            <w:vAlign w:val="center"/>
          </w:tcPr>
          <w:p w14:paraId="39EBFBD8">
            <w:pPr>
              <w:pStyle w:val="115"/>
              <w:jc w:val="center"/>
            </w:pPr>
            <w:r>
              <w:t>9</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4998C732">
            <w:pPr>
              <w:pStyle w:val="115"/>
              <w:jc w:val="center"/>
            </w:pPr>
            <w:r>
              <w:rPr>
                <w:rFonts w:hint="eastAsia"/>
              </w:rPr>
              <w:t>纵二路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396E9320">
            <w:pPr>
              <w:pStyle w:val="115"/>
              <w:jc w:val="center"/>
            </w:pPr>
            <w:r>
              <w:rPr>
                <w:rFonts w:hint="eastAsia"/>
              </w:rPr>
              <w:t>次干路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07D9C900">
            <w:pPr>
              <w:pStyle w:val="115"/>
              <w:jc w:val="center"/>
            </w:pPr>
            <w:r>
              <w:rPr>
                <w:rFonts w:hint="eastAsia"/>
              </w:rPr>
              <w:t>南北</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6346CA4E">
            <w:pPr>
              <w:pStyle w:val="115"/>
              <w:jc w:val="center"/>
            </w:pPr>
            <w:r>
              <w:t>799</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3AA3CE92">
            <w:pPr>
              <w:pStyle w:val="115"/>
              <w:jc w:val="center"/>
            </w:pPr>
            <w:r>
              <w:t>24</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57BFFB11">
            <w:pPr>
              <w:pStyle w:val="115"/>
              <w:jc w:val="center"/>
            </w:pPr>
            <w:r>
              <w:rPr>
                <w:rFonts w:hint="eastAsia"/>
              </w:rPr>
              <w:t>白云鄂博大街</w:t>
            </w:r>
            <w:r>
              <w:t>-G335</w:t>
            </w:r>
          </w:p>
        </w:tc>
        <w:tc>
          <w:tcPr>
            <w:tcW w:w="0" w:type="auto"/>
            <w:tcBorders>
              <w:top w:val="single" w:color="000000" w:sz="4" w:space="0"/>
              <w:left w:val="nil"/>
              <w:bottom w:val="single" w:color="000000" w:sz="4" w:space="0"/>
              <w:right w:val="single" w:color="auto" w:sz="12" w:space="0"/>
            </w:tcBorders>
            <w:shd w:val="clear" w:color="auto" w:fill="FFFFFF"/>
            <w:vAlign w:val="center"/>
          </w:tcPr>
          <w:p w14:paraId="59031B17">
            <w:pPr>
              <w:pStyle w:val="115"/>
              <w:jc w:val="center"/>
            </w:pPr>
            <w:r>
              <w:rPr>
                <w:rFonts w:hint="eastAsia"/>
              </w:rPr>
              <w:t>刚性</w:t>
            </w:r>
          </w:p>
        </w:tc>
      </w:tr>
      <w:tr w14:paraId="1DE79946">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113" w:hRule="atLeast"/>
        </w:trPr>
        <w:tc>
          <w:tcPr>
            <w:tcW w:w="0" w:type="auto"/>
            <w:tcBorders>
              <w:top w:val="single" w:color="000000" w:sz="4" w:space="0"/>
              <w:left w:val="single" w:color="auto" w:sz="12" w:space="0"/>
              <w:bottom w:val="single" w:color="000000" w:sz="4" w:space="0"/>
              <w:right w:val="single" w:color="000000" w:sz="4" w:space="0"/>
            </w:tcBorders>
            <w:shd w:val="clear" w:color="auto" w:fill="FFFFFF"/>
            <w:vAlign w:val="center"/>
          </w:tcPr>
          <w:p w14:paraId="7527870E">
            <w:pPr>
              <w:pStyle w:val="115"/>
              <w:jc w:val="center"/>
            </w:pPr>
            <w:r>
              <w:t>10</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65CD73A5">
            <w:pPr>
              <w:pStyle w:val="115"/>
              <w:jc w:val="center"/>
            </w:pPr>
            <w:r>
              <w:rPr>
                <w:rFonts w:hint="eastAsia"/>
              </w:rPr>
              <w:t>广场西路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56A0FF28">
            <w:pPr>
              <w:pStyle w:val="115"/>
              <w:jc w:val="center"/>
            </w:pPr>
            <w:r>
              <w:rPr>
                <w:rFonts w:hint="eastAsia"/>
              </w:rPr>
              <w:t>次干路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28104F21">
            <w:pPr>
              <w:pStyle w:val="115"/>
              <w:jc w:val="center"/>
            </w:pPr>
            <w:r>
              <w:rPr>
                <w:rFonts w:hint="eastAsia"/>
              </w:rPr>
              <w:t>南北</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2A20E1B4">
            <w:pPr>
              <w:pStyle w:val="115"/>
              <w:jc w:val="center"/>
            </w:pPr>
            <w:r>
              <w:t>1509</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0E66241A">
            <w:pPr>
              <w:pStyle w:val="115"/>
              <w:jc w:val="center"/>
            </w:pPr>
            <w:r>
              <w:t>24</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58219269">
            <w:pPr>
              <w:pStyle w:val="115"/>
              <w:jc w:val="center"/>
            </w:pPr>
            <w:r>
              <w:rPr>
                <w:rFonts w:hint="eastAsia"/>
              </w:rPr>
              <w:t>稀土大街</w:t>
            </w:r>
            <w:r>
              <w:t>-</w:t>
            </w:r>
            <w:r>
              <w:rPr>
                <w:rFonts w:hint="eastAsia"/>
              </w:rPr>
              <w:t>横十二路</w:t>
            </w:r>
          </w:p>
        </w:tc>
        <w:tc>
          <w:tcPr>
            <w:tcW w:w="0" w:type="auto"/>
            <w:tcBorders>
              <w:top w:val="single" w:color="000000" w:sz="4" w:space="0"/>
              <w:left w:val="nil"/>
              <w:bottom w:val="single" w:color="000000" w:sz="4" w:space="0"/>
              <w:right w:val="single" w:color="auto" w:sz="12" w:space="0"/>
            </w:tcBorders>
            <w:shd w:val="clear" w:color="auto" w:fill="FFFFFF"/>
            <w:vAlign w:val="center"/>
          </w:tcPr>
          <w:p w14:paraId="4A701FDE">
            <w:pPr>
              <w:pStyle w:val="115"/>
              <w:jc w:val="center"/>
            </w:pPr>
            <w:r>
              <w:rPr>
                <w:rFonts w:hint="eastAsia"/>
              </w:rPr>
              <w:t>刚性</w:t>
            </w:r>
          </w:p>
        </w:tc>
      </w:tr>
      <w:tr w14:paraId="461AE34F">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113" w:hRule="atLeast"/>
        </w:trPr>
        <w:tc>
          <w:tcPr>
            <w:tcW w:w="0" w:type="auto"/>
            <w:tcBorders>
              <w:top w:val="single" w:color="000000" w:sz="4" w:space="0"/>
              <w:left w:val="single" w:color="auto" w:sz="12" w:space="0"/>
              <w:bottom w:val="single" w:color="000000" w:sz="4" w:space="0"/>
              <w:right w:val="single" w:color="000000" w:sz="4" w:space="0"/>
            </w:tcBorders>
            <w:shd w:val="clear" w:color="auto" w:fill="FFFFFF"/>
            <w:vAlign w:val="center"/>
          </w:tcPr>
          <w:p w14:paraId="276D9ABF">
            <w:pPr>
              <w:pStyle w:val="115"/>
              <w:jc w:val="center"/>
            </w:pPr>
            <w:r>
              <w:t>11</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45623F18">
            <w:pPr>
              <w:pStyle w:val="115"/>
              <w:jc w:val="center"/>
            </w:pPr>
            <w:r>
              <w:rPr>
                <w:rFonts w:hint="eastAsia"/>
              </w:rPr>
              <w:t>百灵道</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120AFD15">
            <w:pPr>
              <w:pStyle w:val="115"/>
              <w:jc w:val="center"/>
            </w:pPr>
            <w:r>
              <w:rPr>
                <w:rFonts w:hint="eastAsia"/>
              </w:rPr>
              <w:t>次干路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6FE846F3">
            <w:pPr>
              <w:pStyle w:val="115"/>
              <w:jc w:val="center"/>
            </w:pPr>
            <w:r>
              <w:rPr>
                <w:rFonts w:hint="eastAsia"/>
              </w:rPr>
              <w:t>南北</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11D4CF49">
            <w:pPr>
              <w:pStyle w:val="115"/>
              <w:jc w:val="center"/>
            </w:pPr>
            <w:r>
              <w:t>2594</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46CF6B60">
            <w:pPr>
              <w:pStyle w:val="115"/>
              <w:jc w:val="center"/>
            </w:pPr>
            <w:r>
              <w:t>24</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4CC0A2E3">
            <w:pPr>
              <w:pStyle w:val="115"/>
              <w:jc w:val="center"/>
            </w:pPr>
            <w:r>
              <w:rPr>
                <w:rFonts w:hint="eastAsia"/>
              </w:rPr>
              <w:t>矿山路</w:t>
            </w:r>
            <w:r>
              <w:t>-</w:t>
            </w:r>
            <w:r>
              <w:rPr>
                <w:rFonts w:hint="eastAsia"/>
              </w:rPr>
              <w:t>白云鄂博大街</w:t>
            </w:r>
          </w:p>
        </w:tc>
        <w:tc>
          <w:tcPr>
            <w:tcW w:w="0" w:type="auto"/>
            <w:tcBorders>
              <w:top w:val="single" w:color="000000" w:sz="4" w:space="0"/>
              <w:left w:val="nil"/>
              <w:bottom w:val="single" w:color="000000" w:sz="4" w:space="0"/>
              <w:right w:val="single" w:color="auto" w:sz="12" w:space="0"/>
            </w:tcBorders>
            <w:shd w:val="clear" w:color="auto" w:fill="FFFFFF"/>
            <w:vAlign w:val="center"/>
          </w:tcPr>
          <w:p w14:paraId="4C5BAD45">
            <w:pPr>
              <w:pStyle w:val="115"/>
              <w:jc w:val="center"/>
            </w:pPr>
            <w:r>
              <w:rPr>
                <w:rFonts w:hint="eastAsia"/>
              </w:rPr>
              <w:t>刚性</w:t>
            </w:r>
          </w:p>
        </w:tc>
      </w:tr>
      <w:tr w14:paraId="1E476E20">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113" w:hRule="atLeast"/>
        </w:trPr>
        <w:tc>
          <w:tcPr>
            <w:tcW w:w="0" w:type="auto"/>
            <w:tcBorders>
              <w:top w:val="single" w:color="000000" w:sz="4" w:space="0"/>
              <w:left w:val="single" w:color="auto" w:sz="12" w:space="0"/>
              <w:bottom w:val="single" w:color="000000" w:sz="4" w:space="0"/>
              <w:right w:val="single" w:color="000000" w:sz="4" w:space="0"/>
            </w:tcBorders>
            <w:shd w:val="clear" w:color="auto" w:fill="FFFFFF"/>
            <w:vAlign w:val="center"/>
          </w:tcPr>
          <w:p w14:paraId="683E2823">
            <w:pPr>
              <w:pStyle w:val="115"/>
              <w:jc w:val="center"/>
            </w:pPr>
            <w:r>
              <w:t>12</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0C8B7DAB">
            <w:pPr>
              <w:pStyle w:val="115"/>
              <w:jc w:val="center"/>
            </w:pPr>
            <w:r>
              <w:rPr>
                <w:rFonts w:hint="eastAsia"/>
              </w:rPr>
              <w:t>地质道</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144491C0">
            <w:pPr>
              <w:pStyle w:val="115"/>
              <w:jc w:val="center"/>
            </w:pPr>
            <w:r>
              <w:rPr>
                <w:rFonts w:hint="eastAsia"/>
              </w:rPr>
              <w:t>次干路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7F879A9E">
            <w:pPr>
              <w:pStyle w:val="115"/>
              <w:jc w:val="center"/>
            </w:pPr>
            <w:r>
              <w:rPr>
                <w:rFonts w:hint="eastAsia"/>
              </w:rPr>
              <w:t>南北</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28FA4BAC">
            <w:pPr>
              <w:pStyle w:val="115"/>
              <w:jc w:val="center"/>
            </w:pPr>
            <w:r>
              <w:t>1132</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183ED837">
            <w:pPr>
              <w:pStyle w:val="115"/>
              <w:jc w:val="center"/>
            </w:pPr>
            <w:r>
              <w:t>24</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7D2BA55E">
            <w:pPr>
              <w:pStyle w:val="115"/>
              <w:jc w:val="center"/>
            </w:pPr>
            <w:r>
              <w:rPr>
                <w:rFonts w:hint="eastAsia"/>
              </w:rPr>
              <w:t>矿山路</w:t>
            </w:r>
            <w:r>
              <w:t>-</w:t>
            </w:r>
            <w:r>
              <w:rPr>
                <w:rFonts w:hint="eastAsia"/>
              </w:rPr>
              <w:t>横九路</w:t>
            </w:r>
          </w:p>
        </w:tc>
        <w:tc>
          <w:tcPr>
            <w:tcW w:w="0" w:type="auto"/>
            <w:tcBorders>
              <w:top w:val="single" w:color="000000" w:sz="4" w:space="0"/>
              <w:left w:val="nil"/>
              <w:bottom w:val="single" w:color="000000" w:sz="4" w:space="0"/>
              <w:right w:val="single" w:color="auto" w:sz="12" w:space="0"/>
            </w:tcBorders>
            <w:shd w:val="clear" w:color="auto" w:fill="FFFFFF"/>
            <w:vAlign w:val="center"/>
          </w:tcPr>
          <w:p w14:paraId="5E1958F7">
            <w:pPr>
              <w:pStyle w:val="115"/>
              <w:jc w:val="center"/>
            </w:pPr>
            <w:r>
              <w:rPr>
                <w:rFonts w:hint="eastAsia"/>
              </w:rPr>
              <w:t>刚性</w:t>
            </w:r>
          </w:p>
        </w:tc>
      </w:tr>
      <w:tr w14:paraId="785385AE">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113" w:hRule="atLeast"/>
        </w:trPr>
        <w:tc>
          <w:tcPr>
            <w:tcW w:w="0" w:type="auto"/>
            <w:tcBorders>
              <w:top w:val="single" w:color="000000" w:sz="4" w:space="0"/>
              <w:left w:val="single" w:color="auto" w:sz="12" w:space="0"/>
              <w:bottom w:val="single" w:color="000000" w:sz="4" w:space="0"/>
              <w:right w:val="single" w:color="000000" w:sz="4" w:space="0"/>
            </w:tcBorders>
            <w:shd w:val="clear" w:color="auto" w:fill="FFFFFF"/>
            <w:vAlign w:val="center"/>
          </w:tcPr>
          <w:p w14:paraId="3B44DFB4">
            <w:pPr>
              <w:pStyle w:val="115"/>
              <w:jc w:val="center"/>
            </w:pPr>
            <w:r>
              <w:t>13</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57ED5047">
            <w:pPr>
              <w:pStyle w:val="115"/>
              <w:jc w:val="center"/>
            </w:pPr>
            <w:r>
              <w:rPr>
                <w:rFonts w:hint="eastAsia"/>
              </w:rPr>
              <w:t>横一路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05D8E00F">
            <w:pPr>
              <w:pStyle w:val="115"/>
              <w:jc w:val="center"/>
            </w:pPr>
            <w:r>
              <w:rPr>
                <w:rFonts w:hint="eastAsia"/>
              </w:rPr>
              <w:t>支路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05F4C9B5">
            <w:pPr>
              <w:pStyle w:val="115"/>
              <w:jc w:val="center"/>
            </w:pPr>
            <w:r>
              <w:rPr>
                <w:rFonts w:hint="eastAsia"/>
              </w:rPr>
              <w:t>东西</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2E958432">
            <w:pPr>
              <w:pStyle w:val="115"/>
              <w:jc w:val="center"/>
            </w:pPr>
            <w:r>
              <w:t>1615</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67864A01">
            <w:pPr>
              <w:pStyle w:val="115"/>
              <w:jc w:val="center"/>
            </w:pPr>
            <w:r>
              <w:t>15</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0D86D0ED">
            <w:pPr>
              <w:pStyle w:val="115"/>
              <w:jc w:val="center"/>
            </w:pPr>
            <w:r>
              <w:rPr>
                <w:rFonts w:hint="eastAsia"/>
              </w:rPr>
              <w:t>纵一路</w:t>
            </w:r>
            <w:r>
              <w:t>-</w:t>
            </w:r>
            <w:r>
              <w:rPr>
                <w:rFonts w:hint="eastAsia"/>
              </w:rPr>
              <w:t>纵十一路</w:t>
            </w:r>
          </w:p>
        </w:tc>
        <w:tc>
          <w:tcPr>
            <w:tcW w:w="0" w:type="auto"/>
            <w:tcBorders>
              <w:top w:val="single" w:color="000000" w:sz="4" w:space="0"/>
              <w:left w:val="nil"/>
              <w:bottom w:val="single" w:color="000000" w:sz="4" w:space="0"/>
              <w:right w:val="single" w:color="auto" w:sz="12" w:space="0"/>
            </w:tcBorders>
            <w:shd w:val="clear" w:color="auto" w:fill="FFFFFF"/>
            <w:vAlign w:val="center"/>
          </w:tcPr>
          <w:p w14:paraId="293D19C4">
            <w:pPr>
              <w:pStyle w:val="115"/>
              <w:jc w:val="center"/>
            </w:pPr>
            <w:r>
              <w:rPr>
                <w:rFonts w:hint="eastAsia"/>
              </w:rPr>
              <w:t>刚性</w:t>
            </w:r>
          </w:p>
        </w:tc>
      </w:tr>
      <w:tr w14:paraId="1D426469">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113" w:hRule="atLeast"/>
        </w:trPr>
        <w:tc>
          <w:tcPr>
            <w:tcW w:w="0" w:type="auto"/>
            <w:tcBorders>
              <w:top w:val="single" w:color="000000" w:sz="4" w:space="0"/>
              <w:left w:val="single" w:color="auto" w:sz="12" w:space="0"/>
              <w:bottom w:val="single" w:color="000000" w:sz="4" w:space="0"/>
              <w:right w:val="single" w:color="000000" w:sz="4" w:space="0"/>
            </w:tcBorders>
            <w:shd w:val="clear" w:color="auto" w:fill="FFFFFF"/>
            <w:vAlign w:val="center"/>
          </w:tcPr>
          <w:p w14:paraId="09D6D938">
            <w:pPr>
              <w:pStyle w:val="115"/>
              <w:jc w:val="center"/>
            </w:pPr>
            <w:r>
              <w:t>14</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010E901F">
            <w:pPr>
              <w:pStyle w:val="115"/>
              <w:jc w:val="center"/>
            </w:pPr>
            <w:r>
              <w:rPr>
                <w:rFonts w:hint="eastAsia"/>
              </w:rPr>
              <w:t>横二路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3E42F48C">
            <w:pPr>
              <w:pStyle w:val="115"/>
              <w:jc w:val="center"/>
            </w:pPr>
            <w:r>
              <w:rPr>
                <w:rFonts w:hint="eastAsia"/>
              </w:rPr>
              <w:t>支路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3B700BAB">
            <w:pPr>
              <w:pStyle w:val="115"/>
              <w:jc w:val="center"/>
            </w:pPr>
            <w:r>
              <w:rPr>
                <w:rFonts w:hint="eastAsia"/>
              </w:rPr>
              <w:t>东西</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12F8977F">
            <w:pPr>
              <w:pStyle w:val="115"/>
              <w:jc w:val="center"/>
            </w:pPr>
            <w:r>
              <w:t>1007</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5FAA81DF">
            <w:pPr>
              <w:pStyle w:val="115"/>
              <w:jc w:val="center"/>
            </w:pPr>
            <w:r>
              <w:t>13</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3ACBD80F">
            <w:pPr>
              <w:pStyle w:val="115"/>
              <w:jc w:val="center"/>
            </w:pPr>
            <w:r>
              <w:rPr>
                <w:rFonts w:hint="eastAsia"/>
              </w:rPr>
              <w:t>纵一路</w:t>
            </w:r>
            <w:r>
              <w:t>-</w:t>
            </w:r>
            <w:r>
              <w:rPr>
                <w:rFonts w:hint="eastAsia"/>
              </w:rPr>
              <w:t>通阳道</w:t>
            </w:r>
          </w:p>
        </w:tc>
        <w:tc>
          <w:tcPr>
            <w:tcW w:w="0" w:type="auto"/>
            <w:tcBorders>
              <w:top w:val="single" w:color="000000" w:sz="4" w:space="0"/>
              <w:left w:val="nil"/>
              <w:bottom w:val="single" w:color="000000" w:sz="4" w:space="0"/>
              <w:right w:val="single" w:color="auto" w:sz="12" w:space="0"/>
            </w:tcBorders>
            <w:shd w:val="clear" w:color="auto" w:fill="FFFFFF"/>
            <w:vAlign w:val="center"/>
          </w:tcPr>
          <w:p w14:paraId="1931A326">
            <w:pPr>
              <w:pStyle w:val="115"/>
              <w:jc w:val="center"/>
            </w:pPr>
            <w:r>
              <w:rPr>
                <w:rFonts w:hint="eastAsia"/>
              </w:rPr>
              <w:t>局部弹性</w:t>
            </w:r>
          </w:p>
        </w:tc>
      </w:tr>
      <w:tr w14:paraId="1D4AFA8F">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113" w:hRule="atLeast"/>
        </w:trPr>
        <w:tc>
          <w:tcPr>
            <w:tcW w:w="0" w:type="auto"/>
            <w:tcBorders>
              <w:top w:val="single" w:color="000000" w:sz="4" w:space="0"/>
              <w:left w:val="single" w:color="auto" w:sz="12" w:space="0"/>
              <w:bottom w:val="single" w:color="000000" w:sz="4" w:space="0"/>
              <w:right w:val="single" w:color="000000" w:sz="4" w:space="0"/>
            </w:tcBorders>
            <w:shd w:val="clear" w:color="auto" w:fill="FFFFFF"/>
            <w:vAlign w:val="center"/>
          </w:tcPr>
          <w:p w14:paraId="2C2AFC06">
            <w:pPr>
              <w:pStyle w:val="115"/>
              <w:jc w:val="center"/>
            </w:pPr>
            <w:r>
              <w:t>15</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34FD2CD9">
            <w:pPr>
              <w:pStyle w:val="115"/>
              <w:jc w:val="center"/>
            </w:pPr>
            <w:r>
              <w:rPr>
                <w:rFonts w:hint="eastAsia"/>
              </w:rPr>
              <w:t>横三路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6769DD16">
            <w:pPr>
              <w:pStyle w:val="115"/>
              <w:jc w:val="center"/>
            </w:pPr>
            <w:r>
              <w:rPr>
                <w:rFonts w:hint="eastAsia"/>
              </w:rPr>
              <w:t>支路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10F91EF5">
            <w:pPr>
              <w:pStyle w:val="115"/>
              <w:jc w:val="center"/>
            </w:pPr>
            <w:r>
              <w:rPr>
                <w:rFonts w:hint="eastAsia"/>
              </w:rPr>
              <w:t>东西</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33912A18">
            <w:pPr>
              <w:pStyle w:val="115"/>
              <w:jc w:val="center"/>
            </w:pPr>
            <w:r>
              <w:t>229</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5D993A2D">
            <w:pPr>
              <w:pStyle w:val="115"/>
              <w:jc w:val="center"/>
            </w:pPr>
            <w:r>
              <w:t>10</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5EB38B2F">
            <w:pPr>
              <w:pStyle w:val="115"/>
              <w:jc w:val="center"/>
            </w:pPr>
            <w:r>
              <w:rPr>
                <w:rFonts w:hint="eastAsia"/>
              </w:rPr>
              <w:t>通阳道</w:t>
            </w:r>
            <w:r>
              <w:t>-</w:t>
            </w:r>
            <w:r>
              <w:rPr>
                <w:rFonts w:hint="eastAsia"/>
              </w:rPr>
              <w:t>纵六路</w:t>
            </w:r>
          </w:p>
        </w:tc>
        <w:tc>
          <w:tcPr>
            <w:tcW w:w="0" w:type="auto"/>
            <w:tcBorders>
              <w:top w:val="single" w:color="000000" w:sz="4" w:space="0"/>
              <w:left w:val="nil"/>
              <w:bottom w:val="single" w:color="000000" w:sz="4" w:space="0"/>
              <w:right w:val="single" w:color="auto" w:sz="12" w:space="0"/>
            </w:tcBorders>
            <w:shd w:val="clear" w:color="auto" w:fill="FFFFFF"/>
            <w:vAlign w:val="center"/>
          </w:tcPr>
          <w:p w14:paraId="099E3FEC">
            <w:pPr>
              <w:pStyle w:val="115"/>
              <w:jc w:val="center"/>
            </w:pPr>
            <w:r>
              <w:rPr>
                <w:rFonts w:hint="eastAsia"/>
              </w:rPr>
              <w:t>刚性</w:t>
            </w:r>
          </w:p>
        </w:tc>
      </w:tr>
      <w:tr w14:paraId="2A3BF3A6">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113" w:hRule="atLeast"/>
        </w:trPr>
        <w:tc>
          <w:tcPr>
            <w:tcW w:w="0" w:type="auto"/>
            <w:tcBorders>
              <w:top w:val="single" w:color="000000" w:sz="4" w:space="0"/>
              <w:left w:val="single" w:color="auto" w:sz="12" w:space="0"/>
              <w:bottom w:val="single" w:color="000000" w:sz="4" w:space="0"/>
              <w:right w:val="single" w:color="000000" w:sz="4" w:space="0"/>
            </w:tcBorders>
            <w:shd w:val="clear" w:color="auto" w:fill="FFFFFF"/>
            <w:vAlign w:val="center"/>
          </w:tcPr>
          <w:p w14:paraId="2DB01D8F">
            <w:pPr>
              <w:pStyle w:val="115"/>
              <w:jc w:val="center"/>
            </w:pPr>
            <w:r>
              <w:t>16</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4DAD1708">
            <w:pPr>
              <w:pStyle w:val="115"/>
              <w:jc w:val="center"/>
            </w:pPr>
            <w:r>
              <w:rPr>
                <w:rFonts w:hint="eastAsia"/>
              </w:rPr>
              <w:t>横四路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57CC0802">
            <w:pPr>
              <w:pStyle w:val="115"/>
              <w:jc w:val="center"/>
            </w:pPr>
            <w:r>
              <w:rPr>
                <w:rFonts w:hint="eastAsia"/>
              </w:rPr>
              <w:t>支路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01603D28">
            <w:pPr>
              <w:pStyle w:val="115"/>
              <w:jc w:val="center"/>
            </w:pPr>
            <w:r>
              <w:rPr>
                <w:rFonts w:hint="eastAsia"/>
              </w:rPr>
              <w:t>东西</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2D264509">
            <w:pPr>
              <w:pStyle w:val="115"/>
              <w:jc w:val="center"/>
            </w:pPr>
            <w:r>
              <w:t>426</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4B6B7B63">
            <w:pPr>
              <w:pStyle w:val="115"/>
              <w:jc w:val="center"/>
            </w:pPr>
            <w:r>
              <w:t>15</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26077E18">
            <w:pPr>
              <w:pStyle w:val="115"/>
              <w:jc w:val="center"/>
            </w:pPr>
            <w:r>
              <w:rPr>
                <w:rFonts w:hint="eastAsia"/>
              </w:rPr>
              <w:t>纵六路</w:t>
            </w:r>
            <w:r>
              <w:t>-</w:t>
            </w:r>
            <w:r>
              <w:rPr>
                <w:rFonts w:hint="eastAsia"/>
              </w:rPr>
              <w:t>纵九路</w:t>
            </w:r>
          </w:p>
        </w:tc>
        <w:tc>
          <w:tcPr>
            <w:tcW w:w="0" w:type="auto"/>
            <w:tcBorders>
              <w:top w:val="single" w:color="000000" w:sz="4" w:space="0"/>
              <w:left w:val="nil"/>
              <w:bottom w:val="single" w:color="000000" w:sz="4" w:space="0"/>
              <w:right w:val="single" w:color="auto" w:sz="12" w:space="0"/>
            </w:tcBorders>
            <w:shd w:val="clear" w:color="auto" w:fill="FFFFFF"/>
            <w:vAlign w:val="center"/>
          </w:tcPr>
          <w:p w14:paraId="077C7B22">
            <w:pPr>
              <w:pStyle w:val="115"/>
              <w:jc w:val="center"/>
            </w:pPr>
            <w:r>
              <w:rPr>
                <w:rFonts w:hint="eastAsia"/>
              </w:rPr>
              <w:t>刚性</w:t>
            </w:r>
          </w:p>
        </w:tc>
      </w:tr>
      <w:tr w14:paraId="71B9E3F8">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113" w:hRule="atLeast"/>
        </w:trPr>
        <w:tc>
          <w:tcPr>
            <w:tcW w:w="0" w:type="auto"/>
            <w:tcBorders>
              <w:top w:val="single" w:color="000000" w:sz="4" w:space="0"/>
              <w:left w:val="single" w:color="auto" w:sz="12" w:space="0"/>
              <w:bottom w:val="single" w:color="000000" w:sz="4" w:space="0"/>
              <w:right w:val="single" w:color="000000" w:sz="4" w:space="0"/>
            </w:tcBorders>
            <w:shd w:val="clear" w:color="auto" w:fill="FFFFFF"/>
            <w:vAlign w:val="center"/>
          </w:tcPr>
          <w:p w14:paraId="74D8ACCD">
            <w:pPr>
              <w:pStyle w:val="115"/>
              <w:jc w:val="center"/>
            </w:pPr>
            <w:r>
              <w:t>17</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2FC458B5">
            <w:pPr>
              <w:pStyle w:val="115"/>
              <w:jc w:val="center"/>
            </w:pPr>
            <w:r>
              <w:rPr>
                <w:rFonts w:hint="eastAsia"/>
              </w:rPr>
              <w:t>横五路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79E0823E">
            <w:pPr>
              <w:pStyle w:val="115"/>
              <w:jc w:val="center"/>
            </w:pPr>
            <w:r>
              <w:rPr>
                <w:rFonts w:hint="eastAsia"/>
              </w:rPr>
              <w:t>支路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1539AC1E">
            <w:pPr>
              <w:pStyle w:val="115"/>
              <w:jc w:val="center"/>
            </w:pPr>
            <w:r>
              <w:rPr>
                <w:rFonts w:hint="eastAsia"/>
              </w:rPr>
              <w:t>东西</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24876529">
            <w:pPr>
              <w:pStyle w:val="115"/>
              <w:jc w:val="center"/>
            </w:pPr>
            <w:r>
              <w:t>255</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5F1B8F22">
            <w:pPr>
              <w:pStyle w:val="115"/>
              <w:jc w:val="center"/>
            </w:pPr>
            <w:r>
              <w:t>15</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389BACBD">
            <w:pPr>
              <w:pStyle w:val="115"/>
              <w:jc w:val="center"/>
            </w:pPr>
            <w:r>
              <w:rPr>
                <w:rFonts w:hint="eastAsia"/>
              </w:rPr>
              <w:t>纵九路</w:t>
            </w:r>
            <w:r>
              <w:t>-</w:t>
            </w:r>
            <w:r>
              <w:rPr>
                <w:rFonts w:hint="eastAsia"/>
              </w:rPr>
              <w:t>百灵道</w:t>
            </w:r>
          </w:p>
        </w:tc>
        <w:tc>
          <w:tcPr>
            <w:tcW w:w="0" w:type="auto"/>
            <w:tcBorders>
              <w:top w:val="single" w:color="000000" w:sz="4" w:space="0"/>
              <w:left w:val="nil"/>
              <w:bottom w:val="single" w:color="000000" w:sz="4" w:space="0"/>
              <w:right w:val="single" w:color="auto" w:sz="12" w:space="0"/>
            </w:tcBorders>
            <w:shd w:val="clear" w:color="auto" w:fill="FFFFFF"/>
            <w:vAlign w:val="center"/>
          </w:tcPr>
          <w:p w14:paraId="3E850C96">
            <w:pPr>
              <w:pStyle w:val="115"/>
              <w:jc w:val="center"/>
            </w:pPr>
            <w:r>
              <w:rPr>
                <w:rFonts w:hint="eastAsia"/>
              </w:rPr>
              <w:t>刚性</w:t>
            </w:r>
          </w:p>
        </w:tc>
      </w:tr>
      <w:tr w14:paraId="57AED007">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113" w:hRule="atLeast"/>
        </w:trPr>
        <w:tc>
          <w:tcPr>
            <w:tcW w:w="0" w:type="auto"/>
            <w:tcBorders>
              <w:top w:val="single" w:color="000000" w:sz="4" w:space="0"/>
              <w:left w:val="single" w:color="auto" w:sz="12" w:space="0"/>
              <w:bottom w:val="single" w:color="000000" w:sz="4" w:space="0"/>
              <w:right w:val="single" w:color="000000" w:sz="4" w:space="0"/>
            </w:tcBorders>
            <w:shd w:val="clear" w:color="auto" w:fill="FFFFFF"/>
            <w:vAlign w:val="center"/>
          </w:tcPr>
          <w:p w14:paraId="69D1D4D0">
            <w:pPr>
              <w:pStyle w:val="115"/>
              <w:jc w:val="center"/>
            </w:pPr>
            <w:r>
              <w:t>18</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5B3D9D0C">
            <w:pPr>
              <w:pStyle w:val="115"/>
              <w:jc w:val="center"/>
            </w:pPr>
            <w:r>
              <w:rPr>
                <w:rFonts w:hint="eastAsia"/>
              </w:rPr>
              <w:t>横六路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6BA18D5A">
            <w:pPr>
              <w:pStyle w:val="115"/>
              <w:jc w:val="center"/>
            </w:pPr>
            <w:r>
              <w:rPr>
                <w:rFonts w:hint="eastAsia"/>
              </w:rPr>
              <w:t>支路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0619A9D2">
            <w:pPr>
              <w:pStyle w:val="115"/>
              <w:jc w:val="center"/>
            </w:pPr>
            <w:r>
              <w:rPr>
                <w:rFonts w:hint="eastAsia"/>
              </w:rPr>
              <w:t>东西</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59393D1E">
            <w:pPr>
              <w:pStyle w:val="115"/>
              <w:jc w:val="center"/>
            </w:pPr>
            <w:r>
              <w:t>548</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19ED74E3">
            <w:pPr>
              <w:pStyle w:val="115"/>
              <w:jc w:val="center"/>
            </w:pPr>
            <w:r>
              <w:t>15</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6F08BC53">
            <w:pPr>
              <w:pStyle w:val="115"/>
              <w:jc w:val="center"/>
            </w:pPr>
            <w:r>
              <w:rPr>
                <w:rFonts w:hint="eastAsia"/>
              </w:rPr>
              <w:t>百灵道</w:t>
            </w:r>
            <w:r>
              <w:t>-</w:t>
            </w:r>
            <w:r>
              <w:rPr>
                <w:rFonts w:hint="eastAsia"/>
              </w:rPr>
              <w:t>地质道</w:t>
            </w:r>
          </w:p>
        </w:tc>
        <w:tc>
          <w:tcPr>
            <w:tcW w:w="0" w:type="auto"/>
            <w:tcBorders>
              <w:top w:val="single" w:color="000000" w:sz="4" w:space="0"/>
              <w:left w:val="nil"/>
              <w:bottom w:val="single" w:color="000000" w:sz="4" w:space="0"/>
              <w:right w:val="single" w:color="auto" w:sz="12" w:space="0"/>
            </w:tcBorders>
            <w:shd w:val="clear" w:color="auto" w:fill="FFFFFF"/>
            <w:vAlign w:val="center"/>
          </w:tcPr>
          <w:p w14:paraId="09AE9454">
            <w:pPr>
              <w:pStyle w:val="115"/>
              <w:jc w:val="center"/>
            </w:pPr>
            <w:r>
              <w:rPr>
                <w:rFonts w:hint="eastAsia"/>
              </w:rPr>
              <w:t>刚性</w:t>
            </w:r>
          </w:p>
        </w:tc>
      </w:tr>
      <w:tr w14:paraId="3022F5F9">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113" w:hRule="atLeast"/>
        </w:trPr>
        <w:tc>
          <w:tcPr>
            <w:tcW w:w="0" w:type="auto"/>
            <w:tcBorders>
              <w:top w:val="single" w:color="000000" w:sz="4" w:space="0"/>
              <w:left w:val="single" w:color="auto" w:sz="12" w:space="0"/>
              <w:bottom w:val="single" w:color="000000" w:sz="4" w:space="0"/>
              <w:right w:val="single" w:color="000000" w:sz="4" w:space="0"/>
            </w:tcBorders>
            <w:shd w:val="clear" w:color="auto" w:fill="FFFFFF"/>
            <w:vAlign w:val="center"/>
          </w:tcPr>
          <w:p w14:paraId="33622E5C">
            <w:pPr>
              <w:pStyle w:val="115"/>
              <w:jc w:val="center"/>
            </w:pPr>
            <w:r>
              <w:t>19</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6C62DE9D">
            <w:pPr>
              <w:pStyle w:val="115"/>
              <w:jc w:val="center"/>
            </w:pPr>
            <w:r>
              <w:rPr>
                <w:rFonts w:hint="eastAsia"/>
              </w:rPr>
              <w:t>横七路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6DD12D7E">
            <w:pPr>
              <w:pStyle w:val="115"/>
              <w:jc w:val="center"/>
            </w:pPr>
            <w:r>
              <w:rPr>
                <w:rFonts w:hint="eastAsia"/>
              </w:rPr>
              <w:t>支路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32273DBB">
            <w:pPr>
              <w:pStyle w:val="115"/>
              <w:jc w:val="center"/>
            </w:pPr>
            <w:r>
              <w:rPr>
                <w:rFonts w:hint="eastAsia"/>
              </w:rPr>
              <w:t>东西</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611B91F0">
            <w:pPr>
              <w:pStyle w:val="115"/>
              <w:jc w:val="center"/>
            </w:pPr>
            <w:r>
              <w:t>713</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6B841585">
            <w:pPr>
              <w:pStyle w:val="115"/>
              <w:jc w:val="center"/>
            </w:pPr>
            <w:r>
              <w:t>13</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317A01FE">
            <w:pPr>
              <w:pStyle w:val="115"/>
              <w:jc w:val="center"/>
            </w:pPr>
            <w:r>
              <w:rPr>
                <w:rFonts w:hint="eastAsia"/>
              </w:rPr>
              <w:t>白云鄂博大街</w:t>
            </w:r>
            <w:r>
              <w:t>-</w:t>
            </w:r>
            <w:r>
              <w:rPr>
                <w:rFonts w:hint="eastAsia"/>
              </w:rPr>
              <w:t>丁道衡路</w:t>
            </w:r>
          </w:p>
        </w:tc>
        <w:tc>
          <w:tcPr>
            <w:tcW w:w="0" w:type="auto"/>
            <w:tcBorders>
              <w:top w:val="single" w:color="000000" w:sz="4" w:space="0"/>
              <w:left w:val="nil"/>
              <w:bottom w:val="single" w:color="000000" w:sz="4" w:space="0"/>
              <w:right w:val="single" w:color="auto" w:sz="12" w:space="0"/>
            </w:tcBorders>
            <w:shd w:val="clear" w:color="auto" w:fill="FFFFFF"/>
            <w:vAlign w:val="center"/>
          </w:tcPr>
          <w:p w14:paraId="0C2632EA">
            <w:pPr>
              <w:pStyle w:val="115"/>
              <w:jc w:val="center"/>
            </w:pPr>
            <w:r>
              <w:rPr>
                <w:rFonts w:hint="eastAsia"/>
              </w:rPr>
              <w:t>弹性</w:t>
            </w:r>
          </w:p>
        </w:tc>
      </w:tr>
      <w:tr w14:paraId="066F7B39">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113" w:hRule="atLeast"/>
        </w:trPr>
        <w:tc>
          <w:tcPr>
            <w:tcW w:w="0" w:type="auto"/>
            <w:tcBorders>
              <w:top w:val="single" w:color="000000" w:sz="4" w:space="0"/>
              <w:left w:val="single" w:color="auto" w:sz="12" w:space="0"/>
              <w:bottom w:val="single" w:color="000000" w:sz="4" w:space="0"/>
              <w:right w:val="single" w:color="000000" w:sz="4" w:space="0"/>
            </w:tcBorders>
            <w:shd w:val="clear" w:color="auto" w:fill="FFFFFF"/>
            <w:vAlign w:val="center"/>
          </w:tcPr>
          <w:p w14:paraId="0968E430">
            <w:pPr>
              <w:pStyle w:val="115"/>
              <w:jc w:val="center"/>
            </w:pPr>
            <w:r>
              <w:t>20</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54F1588A">
            <w:pPr>
              <w:pStyle w:val="115"/>
              <w:jc w:val="center"/>
            </w:pPr>
            <w:r>
              <w:rPr>
                <w:rFonts w:hint="eastAsia"/>
              </w:rPr>
              <w:t>民族路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5AB19583">
            <w:pPr>
              <w:pStyle w:val="115"/>
              <w:jc w:val="center"/>
            </w:pPr>
            <w:r>
              <w:rPr>
                <w:rFonts w:hint="eastAsia"/>
              </w:rPr>
              <w:t>支路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74AFDA52">
            <w:pPr>
              <w:pStyle w:val="115"/>
              <w:jc w:val="center"/>
            </w:pPr>
            <w:r>
              <w:rPr>
                <w:rFonts w:hint="eastAsia"/>
              </w:rPr>
              <w:t>东西</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0E5F2D31">
            <w:pPr>
              <w:pStyle w:val="115"/>
              <w:jc w:val="center"/>
            </w:pPr>
            <w:r>
              <w:t>830</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695C0D87">
            <w:pPr>
              <w:pStyle w:val="115"/>
              <w:jc w:val="center"/>
            </w:pPr>
            <w:r>
              <w:t>15</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03236726">
            <w:pPr>
              <w:pStyle w:val="115"/>
              <w:jc w:val="center"/>
            </w:pPr>
            <w:r>
              <w:rPr>
                <w:rFonts w:hint="eastAsia"/>
              </w:rPr>
              <w:t>丁道衡路</w:t>
            </w:r>
            <w:r>
              <w:t>-</w:t>
            </w:r>
            <w:r>
              <w:rPr>
                <w:rFonts w:hint="eastAsia"/>
              </w:rPr>
              <w:t>广场西路</w:t>
            </w:r>
          </w:p>
        </w:tc>
        <w:tc>
          <w:tcPr>
            <w:tcW w:w="0" w:type="auto"/>
            <w:tcBorders>
              <w:top w:val="single" w:color="000000" w:sz="4" w:space="0"/>
              <w:left w:val="nil"/>
              <w:bottom w:val="single" w:color="000000" w:sz="4" w:space="0"/>
              <w:right w:val="single" w:color="auto" w:sz="12" w:space="0"/>
            </w:tcBorders>
            <w:shd w:val="clear" w:color="auto" w:fill="FFFFFF"/>
            <w:vAlign w:val="center"/>
          </w:tcPr>
          <w:p w14:paraId="22F57384">
            <w:pPr>
              <w:pStyle w:val="115"/>
              <w:jc w:val="center"/>
            </w:pPr>
            <w:r>
              <w:rPr>
                <w:rFonts w:hint="eastAsia"/>
              </w:rPr>
              <w:t>刚性</w:t>
            </w:r>
          </w:p>
        </w:tc>
      </w:tr>
      <w:tr w14:paraId="25558191">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113" w:hRule="atLeast"/>
        </w:trPr>
        <w:tc>
          <w:tcPr>
            <w:tcW w:w="0" w:type="auto"/>
            <w:tcBorders>
              <w:top w:val="single" w:color="000000" w:sz="4" w:space="0"/>
              <w:left w:val="single" w:color="auto" w:sz="12" w:space="0"/>
              <w:bottom w:val="single" w:color="000000" w:sz="4" w:space="0"/>
              <w:right w:val="single" w:color="000000" w:sz="4" w:space="0"/>
            </w:tcBorders>
            <w:shd w:val="clear" w:color="auto" w:fill="FFFFFF"/>
            <w:vAlign w:val="center"/>
          </w:tcPr>
          <w:p w14:paraId="728E0C95">
            <w:pPr>
              <w:pStyle w:val="115"/>
              <w:jc w:val="center"/>
            </w:pPr>
            <w:r>
              <w:t>21</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7D2284D2">
            <w:pPr>
              <w:pStyle w:val="115"/>
              <w:jc w:val="center"/>
            </w:pPr>
            <w:r>
              <w:rPr>
                <w:rFonts w:hint="eastAsia"/>
              </w:rPr>
              <w:t>横八路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109A2655">
            <w:pPr>
              <w:pStyle w:val="115"/>
              <w:jc w:val="center"/>
            </w:pPr>
            <w:r>
              <w:rPr>
                <w:rFonts w:hint="eastAsia"/>
              </w:rPr>
              <w:t>支路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006AC73B">
            <w:pPr>
              <w:pStyle w:val="115"/>
              <w:jc w:val="center"/>
            </w:pPr>
            <w:r>
              <w:rPr>
                <w:rFonts w:hint="eastAsia"/>
              </w:rPr>
              <w:t>东西</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3FF63825">
            <w:pPr>
              <w:pStyle w:val="115"/>
              <w:jc w:val="center"/>
            </w:pPr>
            <w:r>
              <w:t>350</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378A3F20">
            <w:pPr>
              <w:pStyle w:val="115"/>
              <w:jc w:val="center"/>
            </w:pPr>
            <w:r>
              <w:t>13</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728A8C70">
            <w:pPr>
              <w:pStyle w:val="115"/>
              <w:jc w:val="center"/>
            </w:pPr>
            <w:r>
              <w:rPr>
                <w:rFonts w:hint="eastAsia"/>
              </w:rPr>
              <w:t>通阳道</w:t>
            </w:r>
            <w:r>
              <w:t>-</w:t>
            </w:r>
            <w:r>
              <w:rPr>
                <w:rFonts w:hint="eastAsia"/>
              </w:rPr>
              <w:t>广场西路</w:t>
            </w:r>
          </w:p>
        </w:tc>
        <w:tc>
          <w:tcPr>
            <w:tcW w:w="0" w:type="auto"/>
            <w:tcBorders>
              <w:top w:val="single" w:color="000000" w:sz="4" w:space="0"/>
              <w:left w:val="nil"/>
              <w:bottom w:val="single" w:color="000000" w:sz="4" w:space="0"/>
              <w:right w:val="single" w:color="auto" w:sz="12" w:space="0"/>
            </w:tcBorders>
            <w:shd w:val="clear" w:color="auto" w:fill="FFFFFF"/>
            <w:vAlign w:val="center"/>
          </w:tcPr>
          <w:p w14:paraId="5046D99C">
            <w:pPr>
              <w:pStyle w:val="115"/>
              <w:jc w:val="center"/>
            </w:pPr>
            <w:r>
              <w:rPr>
                <w:rFonts w:hint="eastAsia"/>
              </w:rPr>
              <w:t>刚性</w:t>
            </w:r>
          </w:p>
        </w:tc>
      </w:tr>
      <w:tr w14:paraId="243DF743">
        <w:tblPrEx>
          <w:tblCellMar>
            <w:top w:w="0" w:type="dxa"/>
            <w:left w:w="108" w:type="dxa"/>
            <w:bottom w:w="0" w:type="dxa"/>
            <w:right w:w="108" w:type="dxa"/>
          </w:tblCellMar>
        </w:tblPrEx>
        <w:trPr>
          <w:trHeight w:val="113" w:hRule="atLeast"/>
        </w:trPr>
        <w:tc>
          <w:tcPr>
            <w:tcW w:w="0" w:type="auto"/>
            <w:tcBorders>
              <w:top w:val="single" w:color="000000" w:sz="4" w:space="0"/>
              <w:left w:val="single" w:color="auto" w:sz="12" w:space="0"/>
              <w:bottom w:val="single" w:color="000000" w:sz="4" w:space="0"/>
              <w:right w:val="single" w:color="000000" w:sz="4" w:space="0"/>
            </w:tcBorders>
            <w:shd w:val="clear" w:color="auto" w:fill="FFFFFF"/>
            <w:vAlign w:val="center"/>
          </w:tcPr>
          <w:p w14:paraId="34F5B6A6">
            <w:pPr>
              <w:pStyle w:val="115"/>
              <w:jc w:val="center"/>
            </w:pPr>
            <w:r>
              <w:t>22</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3C030663">
            <w:pPr>
              <w:pStyle w:val="115"/>
              <w:jc w:val="center"/>
            </w:pPr>
            <w:r>
              <w:rPr>
                <w:rFonts w:hint="eastAsia"/>
              </w:rPr>
              <w:t>横九路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6339584D">
            <w:pPr>
              <w:pStyle w:val="115"/>
              <w:jc w:val="center"/>
            </w:pPr>
            <w:r>
              <w:rPr>
                <w:rFonts w:hint="eastAsia"/>
              </w:rPr>
              <w:t>支路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04E4C1D8">
            <w:pPr>
              <w:pStyle w:val="115"/>
              <w:jc w:val="center"/>
            </w:pPr>
            <w:r>
              <w:rPr>
                <w:rFonts w:hint="eastAsia"/>
              </w:rPr>
              <w:t>东西</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0942AEC9">
            <w:pPr>
              <w:pStyle w:val="115"/>
              <w:jc w:val="center"/>
            </w:pPr>
            <w:r>
              <w:t>786</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1C4FA6BA">
            <w:pPr>
              <w:pStyle w:val="115"/>
              <w:jc w:val="center"/>
            </w:pPr>
            <w:r>
              <w:t>15</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7C2B1AAE">
            <w:pPr>
              <w:pStyle w:val="115"/>
              <w:jc w:val="center"/>
            </w:pPr>
            <w:r>
              <w:rPr>
                <w:rFonts w:hint="eastAsia"/>
              </w:rPr>
              <w:t>纵九路</w:t>
            </w:r>
            <w:r>
              <w:t>-</w:t>
            </w:r>
            <w:r>
              <w:rPr>
                <w:rFonts w:hint="eastAsia"/>
              </w:rPr>
              <w:t>地质道</w:t>
            </w:r>
          </w:p>
        </w:tc>
        <w:tc>
          <w:tcPr>
            <w:tcW w:w="0" w:type="auto"/>
            <w:tcBorders>
              <w:top w:val="single" w:color="000000" w:sz="4" w:space="0"/>
              <w:left w:val="nil"/>
              <w:bottom w:val="single" w:color="000000" w:sz="4" w:space="0"/>
              <w:right w:val="single" w:color="auto" w:sz="12" w:space="0"/>
            </w:tcBorders>
            <w:shd w:val="clear" w:color="auto" w:fill="FFFFFF"/>
            <w:vAlign w:val="center"/>
          </w:tcPr>
          <w:p w14:paraId="4B0E16FD">
            <w:pPr>
              <w:pStyle w:val="115"/>
              <w:jc w:val="center"/>
            </w:pPr>
            <w:r>
              <w:rPr>
                <w:rFonts w:hint="eastAsia"/>
              </w:rPr>
              <w:t>刚性</w:t>
            </w:r>
          </w:p>
        </w:tc>
      </w:tr>
      <w:tr w14:paraId="3BDA6872">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113" w:hRule="atLeast"/>
        </w:trPr>
        <w:tc>
          <w:tcPr>
            <w:tcW w:w="0" w:type="auto"/>
            <w:tcBorders>
              <w:top w:val="single" w:color="000000" w:sz="4" w:space="0"/>
              <w:left w:val="single" w:color="auto" w:sz="12" w:space="0"/>
              <w:bottom w:val="single" w:color="000000" w:sz="4" w:space="0"/>
              <w:right w:val="single" w:color="000000" w:sz="4" w:space="0"/>
            </w:tcBorders>
            <w:shd w:val="clear" w:color="auto" w:fill="FFFFFF"/>
            <w:vAlign w:val="center"/>
          </w:tcPr>
          <w:p w14:paraId="639A634A">
            <w:pPr>
              <w:pStyle w:val="115"/>
              <w:jc w:val="center"/>
            </w:pPr>
            <w:r>
              <w:t>23</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20B57C94">
            <w:pPr>
              <w:pStyle w:val="115"/>
              <w:jc w:val="center"/>
            </w:pPr>
            <w:r>
              <w:rPr>
                <w:rFonts w:hint="eastAsia"/>
              </w:rPr>
              <w:t>横十路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4D49D6E4">
            <w:pPr>
              <w:pStyle w:val="115"/>
              <w:jc w:val="center"/>
            </w:pPr>
            <w:r>
              <w:rPr>
                <w:rFonts w:hint="eastAsia"/>
              </w:rPr>
              <w:t>支路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36D93131">
            <w:pPr>
              <w:pStyle w:val="115"/>
              <w:jc w:val="center"/>
            </w:pPr>
            <w:r>
              <w:rPr>
                <w:rFonts w:hint="eastAsia"/>
              </w:rPr>
              <w:t>东西</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37847D76">
            <w:pPr>
              <w:pStyle w:val="115"/>
              <w:jc w:val="center"/>
            </w:pPr>
            <w:r>
              <w:t>684</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785A67C0">
            <w:pPr>
              <w:pStyle w:val="115"/>
              <w:jc w:val="center"/>
            </w:pPr>
            <w:r>
              <w:t>15</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7F4DCA57">
            <w:pPr>
              <w:pStyle w:val="115"/>
              <w:jc w:val="center"/>
            </w:pPr>
            <w:r>
              <w:rPr>
                <w:rFonts w:hint="eastAsia"/>
              </w:rPr>
              <w:t>白云鄂博大街</w:t>
            </w:r>
            <w:r>
              <w:t>-</w:t>
            </w:r>
            <w:r>
              <w:rPr>
                <w:rFonts w:hint="eastAsia"/>
              </w:rPr>
              <w:t>百灵道</w:t>
            </w:r>
          </w:p>
        </w:tc>
        <w:tc>
          <w:tcPr>
            <w:tcW w:w="0" w:type="auto"/>
            <w:tcBorders>
              <w:top w:val="single" w:color="000000" w:sz="4" w:space="0"/>
              <w:left w:val="nil"/>
              <w:bottom w:val="single" w:color="000000" w:sz="4" w:space="0"/>
              <w:right w:val="single" w:color="auto" w:sz="12" w:space="0"/>
            </w:tcBorders>
            <w:shd w:val="clear" w:color="auto" w:fill="FFFFFF"/>
            <w:vAlign w:val="center"/>
          </w:tcPr>
          <w:p w14:paraId="42D5F29E">
            <w:pPr>
              <w:pStyle w:val="115"/>
              <w:jc w:val="center"/>
            </w:pPr>
            <w:r>
              <w:rPr>
                <w:rFonts w:hint="eastAsia"/>
              </w:rPr>
              <w:t>弹性</w:t>
            </w:r>
          </w:p>
        </w:tc>
      </w:tr>
      <w:tr w14:paraId="7762CDA1">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113" w:hRule="atLeast"/>
        </w:trPr>
        <w:tc>
          <w:tcPr>
            <w:tcW w:w="0" w:type="auto"/>
            <w:tcBorders>
              <w:top w:val="single" w:color="000000" w:sz="4" w:space="0"/>
              <w:left w:val="single" w:color="auto" w:sz="12" w:space="0"/>
              <w:bottom w:val="single" w:color="000000" w:sz="4" w:space="0"/>
              <w:right w:val="single" w:color="000000" w:sz="4" w:space="0"/>
            </w:tcBorders>
            <w:shd w:val="clear" w:color="auto" w:fill="FFFFFF"/>
            <w:vAlign w:val="center"/>
          </w:tcPr>
          <w:p w14:paraId="7FFDA20A">
            <w:pPr>
              <w:pStyle w:val="115"/>
              <w:jc w:val="center"/>
            </w:pPr>
            <w:r>
              <w:t>24</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065A52B0">
            <w:pPr>
              <w:pStyle w:val="115"/>
              <w:jc w:val="center"/>
            </w:pPr>
            <w:r>
              <w:rPr>
                <w:rFonts w:hint="eastAsia"/>
              </w:rPr>
              <w:t>横十一路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41880E12">
            <w:pPr>
              <w:pStyle w:val="115"/>
              <w:jc w:val="center"/>
            </w:pPr>
            <w:r>
              <w:rPr>
                <w:rFonts w:hint="eastAsia"/>
              </w:rPr>
              <w:t>支路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5F3AAA21">
            <w:pPr>
              <w:pStyle w:val="115"/>
              <w:jc w:val="center"/>
            </w:pPr>
            <w:r>
              <w:rPr>
                <w:rFonts w:hint="eastAsia"/>
              </w:rPr>
              <w:t>东西</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724F3254">
            <w:pPr>
              <w:pStyle w:val="115"/>
              <w:jc w:val="center"/>
            </w:pPr>
            <w:r>
              <w:t>2007</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1BA17B27">
            <w:pPr>
              <w:pStyle w:val="115"/>
              <w:jc w:val="center"/>
            </w:pPr>
            <w:r>
              <w:t>15</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1872F94F">
            <w:pPr>
              <w:pStyle w:val="115"/>
              <w:jc w:val="center"/>
            </w:pPr>
            <w:r>
              <w:rPr>
                <w:rFonts w:hint="eastAsia"/>
              </w:rPr>
              <w:t>纵二路</w:t>
            </w:r>
            <w:r>
              <w:t>-</w:t>
            </w:r>
            <w:r>
              <w:rPr>
                <w:rFonts w:hint="eastAsia"/>
              </w:rPr>
              <w:t>白云鄂博大街</w:t>
            </w:r>
          </w:p>
        </w:tc>
        <w:tc>
          <w:tcPr>
            <w:tcW w:w="0" w:type="auto"/>
            <w:tcBorders>
              <w:top w:val="single" w:color="000000" w:sz="4" w:space="0"/>
              <w:left w:val="nil"/>
              <w:bottom w:val="single" w:color="000000" w:sz="4" w:space="0"/>
              <w:right w:val="single" w:color="auto" w:sz="12" w:space="0"/>
            </w:tcBorders>
            <w:shd w:val="clear" w:color="auto" w:fill="FFFFFF"/>
            <w:vAlign w:val="center"/>
          </w:tcPr>
          <w:p w14:paraId="208B99B1">
            <w:pPr>
              <w:pStyle w:val="115"/>
              <w:jc w:val="center"/>
            </w:pPr>
            <w:r>
              <w:rPr>
                <w:rFonts w:hint="eastAsia"/>
              </w:rPr>
              <w:t>局部弹性</w:t>
            </w:r>
          </w:p>
        </w:tc>
      </w:tr>
      <w:tr w14:paraId="65E31AA1">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113" w:hRule="atLeast"/>
        </w:trPr>
        <w:tc>
          <w:tcPr>
            <w:tcW w:w="0" w:type="auto"/>
            <w:tcBorders>
              <w:top w:val="single" w:color="000000" w:sz="4" w:space="0"/>
              <w:left w:val="single" w:color="auto" w:sz="12" w:space="0"/>
              <w:bottom w:val="single" w:color="000000" w:sz="4" w:space="0"/>
              <w:right w:val="single" w:color="000000" w:sz="4" w:space="0"/>
            </w:tcBorders>
            <w:shd w:val="clear" w:color="auto" w:fill="FFFFFF"/>
            <w:vAlign w:val="center"/>
          </w:tcPr>
          <w:p w14:paraId="36C38C64">
            <w:pPr>
              <w:pStyle w:val="115"/>
              <w:jc w:val="center"/>
            </w:pPr>
            <w:r>
              <w:t>25</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7B7BCE23">
            <w:pPr>
              <w:pStyle w:val="115"/>
              <w:jc w:val="center"/>
            </w:pPr>
            <w:r>
              <w:rPr>
                <w:rFonts w:hint="eastAsia"/>
              </w:rPr>
              <w:t>纵三路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2FB566F0">
            <w:pPr>
              <w:pStyle w:val="115"/>
              <w:jc w:val="center"/>
            </w:pPr>
            <w:r>
              <w:rPr>
                <w:rFonts w:hint="eastAsia"/>
              </w:rPr>
              <w:t>支路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45218D48">
            <w:pPr>
              <w:pStyle w:val="115"/>
              <w:jc w:val="center"/>
            </w:pPr>
            <w:r>
              <w:rPr>
                <w:rFonts w:hint="eastAsia"/>
              </w:rPr>
              <w:t>南北</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4E98F423">
            <w:pPr>
              <w:pStyle w:val="115"/>
              <w:jc w:val="center"/>
            </w:pPr>
            <w:r>
              <w:t>1345</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114A2682">
            <w:pPr>
              <w:pStyle w:val="115"/>
              <w:jc w:val="center"/>
            </w:pPr>
            <w:r>
              <w:t>15</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152281AC">
            <w:pPr>
              <w:pStyle w:val="115"/>
              <w:jc w:val="center"/>
            </w:pPr>
            <w:r>
              <w:rPr>
                <w:rFonts w:hint="eastAsia"/>
              </w:rPr>
              <w:t>横二路</w:t>
            </w:r>
            <w:r>
              <w:t>-</w:t>
            </w:r>
            <w:r>
              <w:rPr>
                <w:rFonts w:hint="eastAsia"/>
              </w:rPr>
              <w:t>横十二路</w:t>
            </w:r>
          </w:p>
        </w:tc>
        <w:tc>
          <w:tcPr>
            <w:tcW w:w="0" w:type="auto"/>
            <w:tcBorders>
              <w:top w:val="single" w:color="000000" w:sz="4" w:space="0"/>
              <w:left w:val="nil"/>
              <w:bottom w:val="single" w:color="000000" w:sz="4" w:space="0"/>
              <w:right w:val="single" w:color="auto" w:sz="12" w:space="0"/>
            </w:tcBorders>
            <w:shd w:val="clear" w:color="auto" w:fill="FFFFFF"/>
            <w:vAlign w:val="center"/>
          </w:tcPr>
          <w:p w14:paraId="5D38CE8F">
            <w:pPr>
              <w:pStyle w:val="115"/>
              <w:jc w:val="center"/>
            </w:pPr>
            <w:r>
              <w:rPr>
                <w:rFonts w:hint="eastAsia"/>
              </w:rPr>
              <w:t>弹性</w:t>
            </w:r>
          </w:p>
        </w:tc>
      </w:tr>
      <w:tr w14:paraId="51EF1C3E">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113" w:hRule="atLeast"/>
        </w:trPr>
        <w:tc>
          <w:tcPr>
            <w:tcW w:w="0" w:type="auto"/>
            <w:tcBorders>
              <w:top w:val="single" w:color="000000" w:sz="4" w:space="0"/>
              <w:left w:val="single" w:color="auto" w:sz="12" w:space="0"/>
              <w:bottom w:val="single" w:color="000000" w:sz="4" w:space="0"/>
              <w:right w:val="single" w:color="000000" w:sz="4" w:space="0"/>
            </w:tcBorders>
            <w:shd w:val="clear" w:color="auto" w:fill="FFFFFF"/>
            <w:vAlign w:val="center"/>
          </w:tcPr>
          <w:p w14:paraId="7B7B24ED">
            <w:pPr>
              <w:pStyle w:val="115"/>
              <w:jc w:val="center"/>
            </w:pPr>
            <w:r>
              <w:t>26</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52459E05">
            <w:pPr>
              <w:pStyle w:val="115"/>
              <w:jc w:val="center"/>
            </w:pPr>
            <w:r>
              <w:rPr>
                <w:rFonts w:hint="eastAsia"/>
              </w:rPr>
              <w:t>纵四路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41A0C34D">
            <w:pPr>
              <w:pStyle w:val="115"/>
              <w:jc w:val="center"/>
            </w:pPr>
            <w:r>
              <w:rPr>
                <w:rFonts w:hint="eastAsia"/>
              </w:rPr>
              <w:t>支路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6AC31A9B">
            <w:pPr>
              <w:pStyle w:val="115"/>
              <w:jc w:val="center"/>
            </w:pPr>
            <w:r>
              <w:rPr>
                <w:rFonts w:hint="eastAsia"/>
              </w:rPr>
              <w:t>南北</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327D83B4">
            <w:pPr>
              <w:pStyle w:val="115"/>
              <w:jc w:val="center"/>
            </w:pPr>
            <w:r>
              <w:t>162</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5CA2AFC3">
            <w:pPr>
              <w:pStyle w:val="115"/>
              <w:jc w:val="center"/>
            </w:pPr>
            <w:r>
              <w:t>15</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098764AB">
            <w:pPr>
              <w:pStyle w:val="115"/>
              <w:jc w:val="center"/>
            </w:pPr>
            <w:r>
              <w:rPr>
                <w:rFonts w:hint="eastAsia"/>
              </w:rPr>
              <w:t>横一路</w:t>
            </w:r>
            <w:r>
              <w:t>-</w:t>
            </w:r>
            <w:r>
              <w:rPr>
                <w:rFonts w:hint="eastAsia"/>
              </w:rPr>
              <w:t>矿山路</w:t>
            </w:r>
          </w:p>
        </w:tc>
        <w:tc>
          <w:tcPr>
            <w:tcW w:w="0" w:type="auto"/>
            <w:tcBorders>
              <w:top w:val="single" w:color="000000" w:sz="4" w:space="0"/>
              <w:left w:val="nil"/>
              <w:bottom w:val="single" w:color="000000" w:sz="4" w:space="0"/>
              <w:right w:val="single" w:color="auto" w:sz="12" w:space="0"/>
            </w:tcBorders>
            <w:shd w:val="clear" w:color="auto" w:fill="FFFFFF"/>
            <w:vAlign w:val="center"/>
          </w:tcPr>
          <w:p w14:paraId="6819125D">
            <w:pPr>
              <w:pStyle w:val="115"/>
              <w:jc w:val="center"/>
            </w:pPr>
            <w:r>
              <w:rPr>
                <w:rFonts w:hint="eastAsia"/>
              </w:rPr>
              <w:t>刚性</w:t>
            </w:r>
          </w:p>
        </w:tc>
      </w:tr>
      <w:tr w14:paraId="00EFAE9D">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113" w:hRule="atLeast"/>
        </w:trPr>
        <w:tc>
          <w:tcPr>
            <w:tcW w:w="0" w:type="auto"/>
            <w:tcBorders>
              <w:top w:val="single" w:color="000000" w:sz="4" w:space="0"/>
              <w:left w:val="single" w:color="auto" w:sz="12" w:space="0"/>
              <w:bottom w:val="single" w:color="000000" w:sz="4" w:space="0"/>
              <w:right w:val="single" w:color="000000" w:sz="4" w:space="0"/>
            </w:tcBorders>
            <w:shd w:val="clear" w:color="auto" w:fill="FFFFFF"/>
            <w:vAlign w:val="center"/>
          </w:tcPr>
          <w:p w14:paraId="201C3E77">
            <w:pPr>
              <w:pStyle w:val="115"/>
              <w:jc w:val="center"/>
            </w:pPr>
            <w:r>
              <w:t>27</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54EF18C1">
            <w:pPr>
              <w:pStyle w:val="115"/>
              <w:jc w:val="center"/>
            </w:pPr>
            <w:r>
              <w:rPr>
                <w:rFonts w:hint="eastAsia"/>
              </w:rPr>
              <w:t>纵五路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60DDBD85">
            <w:pPr>
              <w:pStyle w:val="115"/>
              <w:jc w:val="center"/>
            </w:pPr>
            <w:r>
              <w:rPr>
                <w:rFonts w:hint="eastAsia"/>
              </w:rPr>
              <w:t>支路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081564FA">
            <w:pPr>
              <w:pStyle w:val="115"/>
              <w:jc w:val="center"/>
            </w:pPr>
            <w:r>
              <w:rPr>
                <w:rFonts w:hint="eastAsia"/>
              </w:rPr>
              <w:t>南北</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206D3AE1">
            <w:pPr>
              <w:pStyle w:val="115"/>
              <w:jc w:val="center"/>
            </w:pPr>
            <w:r>
              <w:t>486</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3D869EE1">
            <w:pPr>
              <w:pStyle w:val="115"/>
              <w:jc w:val="center"/>
            </w:pPr>
            <w:r>
              <w:t>13</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1B42150F">
            <w:pPr>
              <w:pStyle w:val="115"/>
              <w:jc w:val="center"/>
            </w:pPr>
            <w:r>
              <w:rPr>
                <w:rFonts w:hint="eastAsia"/>
              </w:rPr>
              <w:t>矿山路</w:t>
            </w:r>
            <w:r>
              <w:t>-</w:t>
            </w:r>
            <w:r>
              <w:rPr>
                <w:rFonts w:hint="eastAsia"/>
              </w:rPr>
              <w:t>稀土大街</w:t>
            </w:r>
          </w:p>
        </w:tc>
        <w:tc>
          <w:tcPr>
            <w:tcW w:w="0" w:type="auto"/>
            <w:tcBorders>
              <w:top w:val="single" w:color="000000" w:sz="4" w:space="0"/>
              <w:left w:val="nil"/>
              <w:bottom w:val="single" w:color="000000" w:sz="4" w:space="0"/>
              <w:right w:val="single" w:color="auto" w:sz="12" w:space="0"/>
            </w:tcBorders>
            <w:shd w:val="clear" w:color="auto" w:fill="FFFFFF"/>
            <w:vAlign w:val="center"/>
          </w:tcPr>
          <w:p w14:paraId="79AFB80C">
            <w:pPr>
              <w:pStyle w:val="115"/>
              <w:jc w:val="center"/>
            </w:pPr>
            <w:r>
              <w:rPr>
                <w:rFonts w:hint="eastAsia"/>
              </w:rPr>
              <w:t>刚性</w:t>
            </w:r>
          </w:p>
        </w:tc>
      </w:tr>
      <w:tr w14:paraId="3E8E44B0">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113" w:hRule="atLeast"/>
        </w:trPr>
        <w:tc>
          <w:tcPr>
            <w:tcW w:w="0" w:type="auto"/>
            <w:tcBorders>
              <w:top w:val="single" w:color="000000" w:sz="4" w:space="0"/>
              <w:left w:val="single" w:color="auto" w:sz="12" w:space="0"/>
              <w:bottom w:val="single" w:color="000000" w:sz="4" w:space="0"/>
              <w:right w:val="single" w:color="000000" w:sz="4" w:space="0"/>
            </w:tcBorders>
            <w:shd w:val="clear" w:color="auto" w:fill="FFFFFF"/>
            <w:vAlign w:val="center"/>
          </w:tcPr>
          <w:p w14:paraId="09BDA3B2">
            <w:pPr>
              <w:pStyle w:val="115"/>
              <w:jc w:val="center"/>
            </w:pPr>
            <w:r>
              <w:t>28</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71D6B630">
            <w:pPr>
              <w:pStyle w:val="115"/>
              <w:jc w:val="center"/>
            </w:pPr>
            <w:r>
              <w:rPr>
                <w:rFonts w:hint="eastAsia"/>
              </w:rPr>
              <w:t>纵六路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28E7E860">
            <w:pPr>
              <w:pStyle w:val="115"/>
              <w:jc w:val="center"/>
            </w:pPr>
            <w:r>
              <w:rPr>
                <w:rFonts w:hint="eastAsia"/>
              </w:rPr>
              <w:t>支路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5883618A">
            <w:pPr>
              <w:pStyle w:val="115"/>
              <w:jc w:val="center"/>
            </w:pPr>
            <w:r>
              <w:rPr>
                <w:rFonts w:hint="eastAsia"/>
              </w:rPr>
              <w:t>南北</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734911BE">
            <w:pPr>
              <w:pStyle w:val="115"/>
              <w:jc w:val="center"/>
            </w:pPr>
            <w:r>
              <w:t>280</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465ED583">
            <w:pPr>
              <w:pStyle w:val="115"/>
              <w:jc w:val="center"/>
            </w:pPr>
            <w:r>
              <w:t>10</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635A1C67">
            <w:pPr>
              <w:pStyle w:val="115"/>
              <w:jc w:val="center"/>
            </w:pPr>
            <w:r>
              <w:rPr>
                <w:rFonts w:hint="eastAsia"/>
              </w:rPr>
              <w:t>横四路</w:t>
            </w:r>
            <w:r>
              <w:t>-</w:t>
            </w:r>
            <w:r>
              <w:rPr>
                <w:rFonts w:hint="eastAsia"/>
              </w:rPr>
              <w:t>稀土大街</w:t>
            </w:r>
          </w:p>
        </w:tc>
        <w:tc>
          <w:tcPr>
            <w:tcW w:w="0" w:type="auto"/>
            <w:tcBorders>
              <w:top w:val="single" w:color="000000" w:sz="4" w:space="0"/>
              <w:left w:val="nil"/>
              <w:bottom w:val="single" w:color="000000" w:sz="4" w:space="0"/>
              <w:right w:val="single" w:color="auto" w:sz="12" w:space="0"/>
            </w:tcBorders>
            <w:shd w:val="clear" w:color="auto" w:fill="FFFFFF"/>
            <w:vAlign w:val="center"/>
          </w:tcPr>
          <w:p w14:paraId="46A8BCFF">
            <w:pPr>
              <w:pStyle w:val="115"/>
              <w:jc w:val="center"/>
            </w:pPr>
            <w:r>
              <w:rPr>
                <w:rFonts w:hint="eastAsia"/>
              </w:rPr>
              <w:t>刚性</w:t>
            </w:r>
          </w:p>
        </w:tc>
      </w:tr>
      <w:tr w14:paraId="69BEC700">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113" w:hRule="atLeast"/>
        </w:trPr>
        <w:tc>
          <w:tcPr>
            <w:tcW w:w="0" w:type="auto"/>
            <w:tcBorders>
              <w:top w:val="single" w:color="000000" w:sz="4" w:space="0"/>
              <w:left w:val="single" w:color="auto" w:sz="12" w:space="0"/>
              <w:bottom w:val="single" w:color="000000" w:sz="4" w:space="0"/>
              <w:right w:val="single" w:color="000000" w:sz="4" w:space="0"/>
            </w:tcBorders>
            <w:shd w:val="clear" w:color="auto" w:fill="FFFFFF"/>
            <w:vAlign w:val="center"/>
          </w:tcPr>
          <w:p w14:paraId="4F7EC100">
            <w:pPr>
              <w:pStyle w:val="115"/>
              <w:jc w:val="center"/>
            </w:pPr>
            <w:r>
              <w:t>29</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59655C6C">
            <w:pPr>
              <w:pStyle w:val="115"/>
              <w:jc w:val="center"/>
            </w:pPr>
            <w:r>
              <w:rPr>
                <w:rFonts w:hint="eastAsia"/>
              </w:rPr>
              <w:t>纵七路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74E0FC8E">
            <w:pPr>
              <w:pStyle w:val="115"/>
              <w:jc w:val="center"/>
            </w:pPr>
            <w:r>
              <w:rPr>
                <w:rFonts w:hint="eastAsia"/>
              </w:rPr>
              <w:t>支路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7E93695A">
            <w:pPr>
              <w:pStyle w:val="115"/>
              <w:jc w:val="center"/>
            </w:pPr>
            <w:r>
              <w:rPr>
                <w:rFonts w:hint="eastAsia"/>
              </w:rPr>
              <w:t>南北</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7C9269AF">
            <w:pPr>
              <w:pStyle w:val="115"/>
              <w:jc w:val="center"/>
            </w:pPr>
            <w:r>
              <w:t>252</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30414FA9">
            <w:pPr>
              <w:pStyle w:val="115"/>
              <w:jc w:val="center"/>
            </w:pPr>
            <w:r>
              <w:t>15</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54B0DA74">
            <w:pPr>
              <w:pStyle w:val="115"/>
              <w:jc w:val="center"/>
            </w:pPr>
            <w:r>
              <w:rPr>
                <w:rFonts w:hint="eastAsia"/>
              </w:rPr>
              <w:t>矿山路</w:t>
            </w:r>
            <w:r>
              <w:t>-</w:t>
            </w:r>
            <w:r>
              <w:rPr>
                <w:rFonts w:hint="eastAsia"/>
              </w:rPr>
              <w:t>横四路</w:t>
            </w:r>
          </w:p>
        </w:tc>
        <w:tc>
          <w:tcPr>
            <w:tcW w:w="0" w:type="auto"/>
            <w:tcBorders>
              <w:top w:val="single" w:color="000000" w:sz="4" w:space="0"/>
              <w:left w:val="nil"/>
              <w:bottom w:val="single" w:color="000000" w:sz="4" w:space="0"/>
              <w:right w:val="single" w:color="auto" w:sz="12" w:space="0"/>
            </w:tcBorders>
            <w:shd w:val="clear" w:color="auto" w:fill="FFFFFF"/>
            <w:vAlign w:val="center"/>
          </w:tcPr>
          <w:p w14:paraId="4C032CD3">
            <w:pPr>
              <w:pStyle w:val="115"/>
              <w:jc w:val="center"/>
            </w:pPr>
            <w:r>
              <w:rPr>
                <w:rFonts w:hint="eastAsia"/>
              </w:rPr>
              <w:t>刚性</w:t>
            </w:r>
          </w:p>
        </w:tc>
      </w:tr>
      <w:tr w14:paraId="61861796">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113" w:hRule="atLeast"/>
        </w:trPr>
        <w:tc>
          <w:tcPr>
            <w:tcW w:w="0" w:type="auto"/>
            <w:tcBorders>
              <w:top w:val="single" w:color="000000" w:sz="4" w:space="0"/>
              <w:left w:val="single" w:color="auto" w:sz="12" w:space="0"/>
              <w:bottom w:val="single" w:color="000000" w:sz="4" w:space="0"/>
              <w:right w:val="single" w:color="000000" w:sz="4" w:space="0"/>
            </w:tcBorders>
            <w:shd w:val="clear" w:color="auto" w:fill="FFFFFF"/>
            <w:vAlign w:val="center"/>
          </w:tcPr>
          <w:p w14:paraId="3FCF1D3C">
            <w:pPr>
              <w:pStyle w:val="115"/>
              <w:jc w:val="center"/>
            </w:pPr>
            <w:r>
              <w:t>30</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4D0483F7">
            <w:pPr>
              <w:pStyle w:val="115"/>
              <w:jc w:val="center"/>
            </w:pPr>
            <w:r>
              <w:rPr>
                <w:rFonts w:hint="eastAsia"/>
              </w:rPr>
              <w:t>纵八路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1553C11F">
            <w:pPr>
              <w:pStyle w:val="115"/>
              <w:jc w:val="center"/>
            </w:pPr>
            <w:r>
              <w:rPr>
                <w:rFonts w:hint="eastAsia"/>
              </w:rPr>
              <w:t>支路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5E5FFBFD">
            <w:pPr>
              <w:pStyle w:val="115"/>
              <w:jc w:val="center"/>
            </w:pPr>
            <w:r>
              <w:rPr>
                <w:rFonts w:hint="eastAsia"/>
              </w:rPr>
              <w:t>南北</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4CBF75C7">
            <w:pPr>
              <w:pStyle w:val="115"/>
              <w:jc w:val="center"/>
            </w:pPr>
            <w:r>
              <w:t>230</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7DDDE48D">
            <w:pPr>
              <w:pStyle w:val="115"/>
              <w:jc w:val="center"/>
            </w:pPr>
            <w:r>
              <w:t>10</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6101E460">
            <w:pPr>
              <w:pStyle w:val="115"/>
              <w:jc w:val="center"/>
            </w:pPr>
            <w:r>
              <w:rPr>
                <w:rFonts w:hint="eastAsia"/>
              </w:rPr>
              <w:t>横一路</w:t>
            </w:r>
            <w:r>
              <w:t>-</w:t>
            </w:r>
            <w:r>
              <w:rPr>
                <w:rFonts w:hint="eastAsia"/>
              </w:rPr>
              <w:t>矿山路</w:t>
            </w:r>
          </w:p>
        </w:tc>
        <w:tc>
          <w:tcPr>
            <w:tcW w:w="0" w:type="auto"/>
            <w:tcBorders>
              <w:top w:val="single" w:color="000000" w:sz="4" w:space="0"/>
              <w:left w:val="nil"/>
              <w:bottom w:val="single" w:color="000000" w:sz="4" w:space="0"/>
              <w:right w:val="single" w:color="auto" w:sz="12" w:space="0"/>
            </w:tcBorders>
            <w:shd w:val="clear" w:color="auto" w:fill="FFFFFF"/>
            <w:vAlign w:val="center"/>
          </w:tcPr>
          <w:p w14:paraId="4B458620">
            <w:pPr>
              <w:pStyle w:val="115"/>
              <w:jc w:val="center"/>
            </w:pPr>
            <w:r>
              <w:rPr>
                <w:rFonts w:hint="eastAsia"/>
              </w:rPr>
              <w:t>弹性</w:t>
            </w:r>
          </w:p>
        </w:tc>
      </w:tr>
      <w:tr w14:paraId="4E939585">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113" w:hRule="atLeast"/>
        </w:trPr>
        <w:tc>
          <w:tcPr>
            <w:tcW w:w="0" w:type="auto"/>
            <w:tcBorders>
              <w:top w:val="single" w:color="000000" w:sz="4" w:space="0"/>
              <w:left w:val="single" w:color="auto" w:sz="12" w:space="0"/>
              <w:bottom w:val="single" w:color="000000" w:sz="4" w:space="0"/>
              <w:right w:val="single" w:color="000000" w:sz="4" w:space="0"/>
            </w:tcBorders>
            <w:shd w:val="clear" w:color="auto" w:fill="FFFFFF"/>
            <w:vAlign w:val="center"/>
          </w:tcPr>
          <w:p w14:paraId="35CB7DC2">
            <w:pPr>
              <w:pStyle w:val="115"/>
              <w:jc w:val="center"/>
            </w:pPr>
            <w:r>
              <w:t>31</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731B8C38">
            <w:pPr>
              <w:pStyle w:val="115"/>
              <w:jc w:val="center"/>
            </w:pPr>
            <w:r>
              <w:rPr>
                <w:rFonts w:hint="eastAsia"/>
              </w:rPr>
              <w:t>纵九路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0FC9C134">
            <w:pPr>
              <w:pStyle w:val="115"/>
              <w:jc w:val="center"/>
            </w:pPr>
            <w:r>
              <w:rPr>
                <w:rFonts w:hint="eastAsia"/>
              </w:rPr>
              <w:t>支路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68F4970F">
            <w:pPr>
              <w:pStyle w:val="115"/>
              <w:jc w:val="center"/>
            </w:pPr>
            <w:r>
              <w:rPr>
                <w:rFonts w:hint="eastAsia"/>
              </w:rPr>
              <w:t>南北</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7E1288A4">
            <w:pPr>
              <w:pStyle w:val="115"/>
              <w:jc w:val="center"/>
            </w:pPr>
            <w:r>
              <w:t>590</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37A3D1D8">
            <w:pPr>
              <w:pStyle w:val="115"/>
              <w:jc w:val="center"/>
            </w:pPr>
            <w:r>
              <w:t>15</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6378D410">
            <w:pPr>
              <w:pStyle w:val="115"/>
              <w:jc w:val="center"/>
            </w:pPr>
            <w:r>
              <w:rPr>
                <w:rFonts w:hint="eastAsia"/>
              </w:rPr>
              <w:t>矿山路</w:t>
            </w:r>
            <w:r>
              <w:t>-</w:t>
            </w:r>
            <w:r>
              <w:rPr>
                <w:rFonts w:hint="eastAsia"/>
              </w:rPr>
              <w:t>稀土大街</w:t>
            </w:r>
          </w:p>
        </w:tc>
        <w:tc>
          <w:tcPr>
            <w:tcW w:w="0" w:type="auto"/>
            <w:tcBorders>
              <w:top w:val="single" w:color="000000" w:sz="4" w:space="0"/>
              <w:left w:val="nil"/>
              <w:bottom w:val="single" w:color="000000" w:sz="4" w:space="0"/>
              <w:right w:val="single" w:color="auto" w:sz="12" w:space="0"/>
            </w:tcBorders>
            <w:shd w:val="clear" w:color="auto" w:fill="FFFFFF"/>
            <w:vAlign w:val="center"/>
          </w:tcPr>
          <w:p w14:paraId="7047D75B">
            <w:pPr>
              <w:pStyle w:val="115"/>
              <w:jc w:val="center"/>
            </w:pPr>
            <w:r>
              <w:rPr>
                <w:rFonts w:hint="eastAsia"/>
              </w:rPr>
              <w:t>刚性</w:t>
            </w:r>
          </w:p>
        </w:tc>
      </w:tr>
      <w:tr w14:paraId="0EE063E2">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113" w:hRule="atLeast"/>
        </w:trPr>
        <w:tc>
          <w:tcPr>
            <w:tcW w:w="0" w:type="auto"/>
            <w:tcBorders>
              <w:top w:val="single" w:color="000000" w:sz="4" w:space="0"/>
              <w:left w:val="single" w:color="auto" w:sz="12" w:space="0"/>
              <w:bottom w:val="single" w:color="000000" w:sz="4" w:space="0"/>
              <w:right w:val="single" w:color="000000" w:sz="4" w:space="0"/>
            </w:tcBorders>
            <w:shd w:val="clear" w:color="auto" w:fill="FFFFFF"/>
            <w:vAlign w:val="center"/>
          </w:tcPr>
          <w:p w14:paraId="2F7DDEE4">
            <w:pPr>
              <w:pStyle w:val="115"/>
              <w:jc w:val="center"/>
            </w:pPr>
            <w:r>
              <w:t>32</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558CDFF9">
            <w:pPr>
              <w:pStyle w:val="115"/>
              <w:jc w:val="center"/>
            </w:pPr>
            <w:r>
              <w:rPr>
                <w:rFonts w:hint="eastAsia"/>
              </w:rPr>
              <w:t>纵十路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13F010C3">
            <w:pPr>
              <w:pStyle w:val="115"/>
              <w:jc w:val="center"/>
            </w:pPr>
            <w:r>
              <w:rPr>
                <w:rFonts w:hint="eastAsia"/>
              </w:rPr>
              <w:t>支路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28527E0D">
            <w:pPr>
              <w:pStyle w:val="115"/>
              <w:jc w:val="center"/>
            </w:pPr>
            <w:r>
              <w:rPr>
                <w:rFonts w:hint="eastAsia"/>
              </w:rPr>
              <w:t>南北</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096A6F4E">
            <w:pPr>
              <w:pStyle w:val="115"/>
              <w:jc w:val="center"/>
            </w:pPr>
            <w:r>
              <w:t>270</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6850C55E">
            <w:pPr>
              <w:pStyle w:val="115"/>
              <w:jc w:val="center"/>
            </w:pPr>
            <w:r>
              <w:t>10</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18C9644F">
            <w:pPr>
              <w:pStyle w:val="115"/>
              <w:jc w:val="center"/>
            </w:pPr>
            <w:r>
              <w:rPr>
                <w:rFonts w:hint="eastAsia"/>
              </w:rPr>
              <w:t>横一路</w:t>
            </w:r>
            <w:r>
              <w:t>-</w:t>
            </w:r>
            <w:r>
              <w:rPr>
                <w:rFonts w:hint="eastAsia"/>
              </w:rPr>
              <w:t>矿山路</w:t>
            </w:r>
          </w:p>
        </w:tc>
        <w:tc>
          <w:tcPr>
            <w:tcW w:w="0" w:type="auto"/>
            <w:tcBorders>
              <w:top w:val="single" w:color="000000" w:sz="4" w:space="0"/>
              <w:left w:val="nil"/>
              <w:bottom w:val="single" w:color="000000" w:sz="4" w:space="0"/>
              <w:right w:val="single" w:color="auto" w:sz="12" w:space="0"/>
            </w:tcBorders>
            <w:shd w:val="clear" w:color="auto" w:fill="FFFFFF"/>
            <w:vAlign w:val="center"/>
          </w:tcPr>
          <w:p w14:paraId="34A921DE">
            <w:pPr>
              <w:pStyle w:val="115"/>
              <w:jc w:val="center"/>
            </w:pPr>
            <w:r>
              <w:rPr>
                <w:rFonts w:hint="eastAsia"/>
              </w:rPr>
              <w:t>弹性</w:t>
            </w:r>
          </w:p>
        </w:tc>
      </w:tr>
      <w:tr w14:paraId="52E077F8">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113" w:hRule="atLeast"/>
        </w:trPr>
        <w:tc>
          <w:tcPr>
            <w:tcW w:w="0" w:type="auto"/>
            <w:tcBorders>
              <w:top w:val="single" w:color="000000" w:sz="4" w:space="0"/>
              <w:left w:val="single" w:color="auto" w:sz="12" w:space="0"/>
              <w:bottom w:val="single" w:color="000000" w:sz="4" w:space="0"/>
              <w:right w:val="single" w:color="000000" w:sz="4" w:space="0"/>
            </w:tcBorders>
            <w:shd w:val="clear" w:color="auto" w:fill="FFFFFF"/>
            <w:vAlign w:val="center"/>
          </w:tcPr>
          <w:p w14:paraId="31E44EC8">
            <w:pPr>
              <w:pStyle w:val="115"/>
              <w:jc w:val="center"/>
            </w:pPr>
            <w:r>
              <w:t>33</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317444B5">
            <w:pPr>
              <w:pStyle w:val="115"/>
              <w:jc w:val="center"/>
            </w:pPr>
            <w:r>
              <w:rPr>
                <w:rFonts w:hint="eastAsia"/>
              </w:rPr>
              <w:t>纵十一路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6821AE7F">
            <w:pPr>
              <w:pStyle w:val="115"/>
              <w:jc w:val="center"/>
            </w:pPr>
            <w:r>
              <w:rPr>
                <w:rFonts w:hint="eastAsia"/>
              </w:rPr>
              <w:t>支路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7D467477">
            <w:pPr>
              <w:pStyle w:val="115"/>
              <w:jc w:val="center"/>
            </w:pPr>
            <w:r>
              <w:rPr>
                <w:rFonts w:hint="eastAsia"/>
              </w:rPr>
              <w:t>南北</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58FAD4A0">
            <w:pPr>
              <w:pStyle w:val="115"/>
              <w:jc w:val="center"/>
            </w:pPr>
            <w:r>
              <w:t>545</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01B4BA92">
            <w:pPr>
              <w:pStyle w:val="115"/>
              <w:jc w:val="center"/>
            </w:pPr>
            <w:r>
              <w:t>13</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13E565A2">
            <w:pPr>
              <w:pStyle w:val="115"/>
              <w:jc w:val="center"/>
            </w:pPr>
            <w:r>
              <w:rPr>
                <w:rFonts w:hint="eastAsia"/>
              </w:rPr>
              <w:t>北环路</w:t>
            </w:r>
            <w:r>
              <w:t>-</w:t>
            </w:r>
            <w:r>
              <w:rPr>
                <w:rFonts w:hint="eastAsia"/>
              </w:rPr>
              <w:t>矿山路</w:t>
            </w:r>
          </w:p>
        </w:tc>
        <w:tc>
          <w:tcPr>
            <w:tcW w:w="0" w:type="auto"/>
            <w:tcBorders>
              <w:top w:val="single" w:color="000000" w:sz="4" w:space="0"/>
              <w:left w:val="nil"/>
              <w:bottom w:val="single" w:color="000000" w:sz="4" w:space="0"/>
              <w:right w:val="single" w:color="auto" w:sz="12" w:space="0"/>
            </w:tcBorders>
            <w:shd w:val="clear" w:color="auto" w:fill="FFFFFF"/>
            <w:vAlign w:val="center"/>
          </w:tcPr>
          <w:p w14:paraId="38776784">
            <w:pPr>
              <w:pStyle w:val="115"/>
              <w:jc w:val="center"/>
            </w:pPr>
            <w:r>
              <w:rPr>
                <w:rFonts w:hint="eastAsia"/>
              </w:rPr>
              <w:t>刚性</w:t>
            </w:r>
          </w:p>
        </w:tc>
      </w:tr>
      <w:tr w14:paraId="1A81D419">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113" w:hRule="atLeast"/>
        </w:trPr>
        <w:tc>
          <w:tcPr>
            <w:tcW w:w="0" w:type="auto"/>
            <w:tcBorders>
              <w:top w:val="single" w:color="000000" w:sz="4" w:space="0"/>
              <w:left w:val="single" w:color="auto" w:sz="12" w:space="0"/>
              <w:bottom w:val="single" w:color="000000" w:sz="4" w:space="0"/>
              <w:right w:val="single" w:color="000000" w:sz="4" w:space="0"/>
            </w:tcBorders>
            <w:shd w:val="clear" w:color="auto" w:fill="FFFFFF"/>
            <w:vAlign w:val="center"/>
          </w:tcPr>
          <w:p w14:paraId="03506E64">
            <w:pPr>
              <w:pStyle w:val="115"/>
              <w:jc w:val="center"/>
            </w:pPr>
            <w:r>
              <w:t>34</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17621359">
            <w:pPr>
              <w:pStyle w:val="115"/>
              <w:jc w:val="center"/>
            </w:pPr>
            <w:r>
              <w:rPr>
                <w:rFonts w:hint="eastAsia"/>
              </w:rPr>
              <w:t>纵十二路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14FBDC19">
            <w:pPr>
              <w:pStyle w:val="115"/>
              <w:jc w:val="center"/>
            </w:pPr>
            <w:r>
              <w:rPr>
                <w:rFonts w:hint="eastAsia"/>
              </w:rPr>
              <w:t>支路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4E002BEA">
            <w:pPr>
              <w:pStyle w:val="115"/>
              <w:jc w:val="center"/>
            </w:pPr>
            <w:r>
              <w:rPr>
                <w:rFonts w:hint="eastAsia"/>
              </w:rPr>
              <w:t>南北</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6BAF4C72">
            <w:pPr>
              <w:pStyle w:val="115"/>
              <w:jc w:val="center"/>
            </w:pPr>
            <w:r>
              <w:t>660</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58B524F2">
            <w:pPr>
              <w:pStyle w:val="115"/>
              <w:jc w:val="center"/>
            </w:pPr>
            <w:r>
              <w:t>13</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28E15FB7">
            <w:pPr>
              <w:pStyle w:val="115"/>
              <w:jc w:val="center"/>
            </w:pPr>
            <w:r>
              <w:rPr>
                <w:rFonts w:hint="eastAsia"/>
              </w:rPr>
              <w:t>矿山路</w:t>
            </w:r>
            <w:r>
              <w:t>-</w:t>
            </w:r>
            <w:r>
              <w:rPr>
                <w:rFonts w:hint="eastAsia"/>
              </w:rPr>
              <w:t>横九路</w:t>
            </w:r>
          </w:p>
        </w:tc>
        <w:tc>
          <w:tcPr>
            <w:tcW w:w="0" w:type="auto"/>
            <w:tcBorders>
              <w:top w:val="single" w:color="000000" w:sz="4" w:space="0"/>
              <w:left w:val="nil"/>
              <w:bottom w:val="single" w:color="000000" w:sz="4" w:space="0"/>
              <w:right w:val="single" w:color="auto" w:sz="12" w:space="0"/>
            </w:tcBorders>
            <w:shd w:val="clear" w:color="auto" w:fill="FFFFFF"/>
            <w:vAlign w:val="center"/>
          </w:tcPr>
          <w:p w14:paraId="76B034C2">
            <w:pPr>
              <w:pStyle w:val="115"/>
              <w:jc w:val="center"/>
            </w:pPr>
            <w:r>
              <w:rPr>
                <w:rFonts w:hint="eastAsia"/>
              </w:rPr>
              <w:t>刚性</w:t>
            </w:r>
          </w:p>
        </w:tc>
      </w:tr>
      <w:tr w14:paraId="719DB4CB">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113" w:hRule="atLeast"/>
        </w:trPr>
        <w:tc>
          <w:tcPr>
            <w:tcW w:w="0" w:type="auto"/>
            <w:tcBorders>
              <w:top w:val="single" w:color="000000" w:sz="4" w:space="0"/>
              <w:left w:val="single" w:color="auto" w:sz="12" w:space="0"/>
              <w:bottom w:val="single" w:color="000000" w:sz="4" w:space="0"/>
              <w:right w:val="single" w:color="000000" w:sz="4" w:space="0"/>
            </w:tcBorders>
            <w:shd w:val="clear" w:color="auto" w:fill="FFFFFF"/>
            <w:vAlign w:val="center"/>
          </w:tcPr>
          <w:p w14:paraId="58554B0F">
            <w:pPr>
              <w:pStyle w:val="115"/>
              <w:jc w:val="center"/>
            </w:pPr>
            <w:r>
              <w:t>35</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0CD377D1">
            <w:pPr>
              <w:pStyle w:val="115"/>
              <w:jc w:val="center"/>
            </w:pPr>
            <w:r>
              <w:rPr>
                <w:rFonts w:hint="eastAsia"/>
              </w:rPr>
              <w:t>纵十三路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43A3C9B1">
            <w:pPr>
              <w:pStyle w:val="115"/>
              <w:jc w:val="center"/>
            </w:pPr>
            <w:r>
              <w:rPr>
                <w:rFonts w:hint="eastAsia"/>
              </w:rPr>
              <w:t>支路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433AC45D">
            <w:pPr>
              <w:pStyle w:val="115"/>
              <w:jc w:val="center"/>
            </w:pPr>
            <w:r>
              <w:rPr>
                <w:rFonts w:hint="eastAsia"/>
              </w:rPr>
              <w:t>南北</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515037CE">
            <w:pPr>
              <w:pStyle w:val="115"/>
              <w:jc w:val="center"/>
            </w:pPr>
            <w:r>
              <w:t>325</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1C23D05F">
            <w:pPr>
              <w:pStyle w:val="115"/>
              <w:jc w:val="center"/>
            </w:pPr>
            <w:r>
              <w:t>13</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13417C59">
            <w:pPr>
              <w:pStyle w:val="115"/>
              <w:jc w:val="center"/>
            </w:pPr>
            <w:r>
              <w:rPr>
                <w:rFonts w:hint="eastAsia"/>
              </w:rPr>
              <w:t>北环路</w:t>
            </w:r>
            <w:r>
              <w:t>-</w:t>
            </w:r>
            <w:r>
              <w:rPr>
                <w:rFonts w:hint="eastAsia"/>
              </w:rPr>
              <w:t>矿山路</w:t>
            </w:r>
          </w:p>
        </w:tc>
        <w:tc>
          <w:tcPr>
            <w:tcW w:w="0" w:type="auto"/>
            <w:tcBorders>
              <w:top w:val="single" w:color="000000" w:sz="4" w:space="0"/>
              <w:left w:val="nil"/>
              <w:bottom w:val="single" w:color="000000" w:sz="4" w:space="0"/>
              <w:right w:val="single" w:color="auto" w:sz="12" w:space="0"/>
            </w:tcBorders>
            <w:shd w:val="clear" w:color="auto" w:fill="FFFFFF"/>
            <w:vAlign w:val="center"/>
          </w:tcPr>
          <w:p w14:paraId="697EA14D">
            <w:pPr>
              <w:pStyle w:val="115"/>
              <w:jc w:val="center"/>
            </w:pPr>
            <w:r>
              <w:rPr>
                <w:rFonts w:hint="eastAsia"/>
              </w:rPr>
              <w:t>刚性</w:t>
            </w:r>
          </w:p>
        </w:tc>
      </w:tr>
      <w:tr w14:paraId="46E69873">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113" w:hRule="atLeast"/>
        </w:trPr>
        <w:tc>
          <w:tcPr>
            <w:tcW w:w="0" w:type="auto"/>
            <w:tcBorders>
              <w:top w:val="single" w:color="000000" w:sz="4" w:space="0"/>
              <w:left w:val="single" w:color="auto" w:sz="12" w:space="0"/>
              <w:bottom w:val="single" w:color="000000" w:sz="4" w:space="0"/>
              <w:right w:val="single" w:color="000000" w:sz="4" w:space="0"/>
            </w:tcBorders>
            <w:shd w:val="clear" w:color="auto" w:fill="FFFFFF"/>
            <w:vAlign w:val="center"/>
          </w:tcPr>
          <w:p w14:paraId="2AA609FE">
            <w:pPr>
              <w:pStyle w:val="115"/>
              <w:jc w:val="center"/>
            </w:pPr>
            <w:r>
              <w:t>36</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560381BE">
            <w:pPr>
              <w:pStyle w:val="115"/>
              <w:jc w:val="center"/>
            </w:pPr>
            <w:r>
              <w:rPr>
                <w:rFonts w:hint="eastAsia"/>
              </w:rPr>
              <w:t>纵十四路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397B35AC">
            <w:pPr>
              <w:pStyle w:val="115"/>
              <w:jc w:val="center"/>
            </w:pPr>
            <w:r>
              <w:rPr>
                <w:rFonts w:hint="eastAsia"/>
              </w:rPr>
              <w:t>支路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4DE4E030">
            <w:pPr>
              <w:pStyle w:val="115"/>
              <w:jc w:val="center"/>
            </w:pPr>
            <w:r>
              <w:rPr>
                <w:rFonts w:hint="eastAsia"/>
              </w:rPr>
              <w:t>南北</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116AC95A">
            <w:pPr>
              <w:pStyle w:val="115"/>
              <w:jc w:val="center"/>
            </w:pPr>
            <w:r>
              <w:t>213</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4851444C">
            <w:pPr>
              <w:pStyle w:val="115"/>
              <w:jc w:val="center"/>
            </w:pPr>
            <w:r>
              <w:t>13</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72B3F4BF">
            <w:pPr>
              <w:pStyle w:val="115"/>
              <w:jc w:val="center"/>
            </w:pPr>
            <w:r>
              <w:rPr>
                <w:rFonts w:hint="eastAsia"/>
              </w:rPr>
              <w:t>北环路</w:t>
            </w:r>
            <w:r>
              <w:t>-</w:t>
            </w:r>
            <w:r>
              <w:rPr>
                <w:rFonts w:hint="eastAsia"/>
              </w:rPr>
              <w:t>矿山路</w:t>
            </w:r>
          </w:p>
        </w:tc>
        <w:tc>
          <w:tcPr>
            <w:tcW w:w="0" w:type="auto"/>
            <w:tcBorders>
              <w:top w:val="single" w:color="000000" w:sz="4" w:space="0"/>
              <w:left w:val="nil"/>
              <w:bottom w:val="single" w:color="000000" w:sz="4" w:space="0"/>
              <w:right w:val="single" w:color="auto" w:sz="12" w:space="0"/>
            </w:tcBorders>
            <w:shd w:val="clear" w:color="auto" w:fill="FFFFFF"/>
            <w:vAlign w:val="center"/>
          </w:tcPr>
          <w:p w14:paraId="4EDB7E8F">
            <w:pPr>
              <w:pStyle w:val="115"/>
              <w:jc w:val="center"/>
            </w:pPr>
            <w:r>
              <w:rPr>
                <w:rFonts w:hint="eastAsia"/>
              </w:rPr>
              <w:t>刚性</w:t>
            </w:r>
          </w:p>
        </w:tc>
      </w:tr>
      <w:tr w14:paraId="7BCF3EF3">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113" w:hRule="atLeast"/>
        </w:trPr>
        <w:tc>
          <w:tcPr>
            <w:tcW w:w="0" w:type="auto"/>
            <w:tcBorders>
              <w:top w:val="single" w:color="000000" w:sz="4" w:space="0"/>
              <w:left w:val="single" w:color="auto" w:sz="12" w:space="0"/>
              <w:bottom w:val="single" w:color="000000" w:sz="4" w:space="0"/>
              <w:right w:val="single" w:color="000000" w:sz="4" w:space="0"/>
            </w:tcBorders>
            <w:shd w:val="clear" w:color="auto" w:fill="FFFFFF"/>
            <w:vAlign w:val="center"/>
          </w:tcPr>
          <w:p w14:paraId="5F5BF0F8">
            <w:pPr>
              <w:pStyle w:val="115"/>
              <w:jc w:val="center"/>
            </w:pPr>
            <w:r>
              <w:t>37</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0401A091">
            <w:pPr>
              <w:pStyle w:val="115"/>
              <w:jc w:val="center"/>
            </w:pPr>
            <w:r>
              <w:rPr>
                <w:rFonts w:hint="eastAsia"/>
              </w:rPr>
              <w:t>纵十五路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7440075E">
            <w:pPr>
              <w:pStyle w:val="115"/>
              <w:jc w:val="center"/>
            </w:pPr>
            <w:r>
              <w:rPr>
                <w:rFonts w:hint="eastAsia"/>
              </w:rPr>
              <w:t>支路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7BEE8EBB">
            <w:pPr>
              <w:pStyle w:val="115"/>
              <w:jc w:val="center"/>
            </w:pPr>
            <w:r>
              <w:rPr>
                <w:rFonts w:hint="eastAsia"/>
              </w:rPr>
              <w:t>南北</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1013D79A">
            <w:pPr>
              <w:pStyle w:val="115"/>
              <w:jc w:val="center"/>
            </w:pPr>
            <w:r>
              <w:t>356</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19EFE776">
            <w:pPr>
              <w:pStyle w:val="115"/>
              <w:jc w:val="center"/>
            </w:pPr>
            <w:r>
              <w:t>13</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6ED65F35">
            <w:pPr>
              <w:pStyle w:val="115"/>
              <w:jc w:val="center"/>
            </w:pPr>
            <w:r>
              <w:rPr>
                <w:rFonts w:hint="eastAsia"/>
              </w:rPr>
              <w:t>横十一路</w:t>
            </w:r>
            <w:r>
              <w:t>-</w:t>
            </w:r>
            <w:r>
              <w:rPr>
                <w:rFonts w:hint="eastAsia"/>
              </w:rPr>
              <w:t>横十二路</w:t>
            </w:r>
          </w:p>
        </w:tc>
        <w:tc>
          <w:tcPr>
            <w:tcW w:w="0" w:type="auto"/>
            <w:tcBorders>
              <w:top w:val="single" w:color="000000" w:sz="4" w:space="0"/>
              <w:left w:val="nil"/>
              <w:bottom w:val="single" w:color="000000" w:sz="4" w:space="0"/>
              <w:right w:val="single" w:color="auto" w:sz="12" w:space="0"/>
            </w:tcBorders>
            <w:shd w:val="clear" w:color="auto" w:fill="FFFFFF"/>
            <w:vAlign w:val="center"/>
          </w:tcPr>
          <w:p w14:paraId="66916232">
            <w:pPr>
              <w:pStyle w:val="115"/>
              <w:jc w:val="center"/>
            </w:pPr>
            <w:r>
              <w:rPr>
                <w:rFonts w:hint="eastAsia"/>
              </w:rPr>
              <w:t>刚性</w:t>
            </w:r>
          </w:p>
        </w:tc>
      </w:tr>
      <w:tr w14:paraId="71F3B5D7">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113" w:hRule="atLeast"/>
        </w:trPr>
        <w:tc>
          <w:tcPr>
            <w:tcW w:w="0" w:type="auto"/>
            <w:tcBorders>
              <w:top w:val="single" w:color="000000" w:sz="4" w:space="0"/>
              <w:left w:val="single" w:color="auto" w:sz="12" w:space="0"/>
              <w:bottom w:val="single" w:color="000000" w:sz="4" w:space="0"/>
              <w:right w:val="single" w:color="000000" w:sz="4" w:space="0"/>
            </w:tcBorders>
            <w:shd w:val="clear" w:color="auto" w:fill="FFFFFF"/>
            <w:vAlign w:val="center"/>
          </w:tcPr>
          <w:p w14:paraId="1C407017">
            <w:pPr>
              <w:pStyle w:val="115"/>
              <w:jc w:val="center"/>
            </w:pPr>
            <w:r>
              <w:t>38</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750D9589">
            <w:pPr>
              <w:pStyle w:val="115"/>
              <w:jc w:val="center"/>
            </w:pPr>
            <w:r>
              <w:rPr>
                <w:rFonts w:hint="eastAsia"/>
              </w:rPr>
              <w:t>纵十六路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180E11E3">
            <w:pPr>
              <w:pStyle w:val="115"/>
              <w:jc w:val="center"/>
            </w:pPr>
            <w:r>
              <w:rPr>
                <w:rFonts w:hint="eastAsia"/>
              </w:rPr>
              <w:t>支路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67EDB47D">
            <w:pPr>
              <w:pStyle w:val="115"/>
              <w:jc w:val="center"/>
            </w:pPr>
            <w:r>
              <w:rPr>
                <w:rFonts w:hint="eastAsia"/>
              </w:rPr>
              <w:t>南北</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1E6A427D">
            <w:pPr>
              <w:pStyle w:val="115"/>
              <w:jc w:val="center"/>
            </w:pPr>
            <w:r>
              <w:t>365</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4DAA552F">
            <w:pPr>
              <w:pStyle w:val="115"/>
              <w:jc w:val="center"/>
            </w:pPr>
            <w:r>
              <w:t>13</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7ADAEC5D">
            <w:pPr>
              <w:pStyle w:val="115"/>
              <w:jc w:val="center"/>
            </w:pPr>
            <w:r>
              <w:rPr>
                <w:rFonts w:hint="eastAsia"/>
              </w:rPr>
              <w:t>横十一路</w:t>
            </w:r>
            <w:r>
              <w:t>-</w:t>
            </w:r>
            <w:r>
              <w:rPr>
                <w:rFonts w:hint="eastAsia"/>
              </w:rPr>
              <w:t>横十二路</w:t>
            </w:r>
          </w:p>
        </w:tc>
        <w:tc>
          <w:tcPr>
            <w:tcW w:w="0" w:type="auto"/>
            <w:tcBorders>
              <w:top w:val="single" w:color="000000" w:sz="4" w:space="0"/>
              <w:left w:val="nil"/>
              <w:bottom w:val="single" w:color="000000" w:sz="4" w:space="0"/>
              <w:right w:val="single" w:color="auto" w:sz="12" w:space="0"/>
            </w:tcBorders>
            <w:shd w:val="clear" w:color="auto" w:fill="FFFFFF"/>
            <w:vAlign w:val="center"/>
          </w:tcPr>
          <w:p w14:paraId="3566BB06">
            <w:pPr>
              <w:pStyle w:val="115"/>
              <w:jc w:val="center"/>
            </w:pPr>
            <w:r>
              <w:rPr>
                <w:rFonts w:hint="eastAsia"/>
              </w:rPr>
              <w:t>刚性</w:t>
            </w:r>
          </w:p>
        </w:tc>
      </w:tr>
      <w:tr w14:paraId="56C50444">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113" w:hRule="atLeast"/>
        </w:trPr>
        <w:tc>
          <w:tcPr>
            <w:tcW w:w="0" w:type="auto"/>
            <w:tcBorders>
              <w:top w:val="single" w:color="000000" w:sz="4" w:space="0"/>
              <w:left w:val="single" w:color="auto" w:sz="12" w:space="0"/>
              <w:bottom w:val="single" w:color="000000" w:sz="4" w:space="0"/>
              <w:right w:val="single" w:color="000000" w:sz="4" w:space="0"/>
            </w:tcBorders>
            <w:shd w:val="clear" w:color="auto" w:fill="FFFFFF"/>
            <w:vAlign w:val="center"/>
          </w:tcPr>
          <w:p w14:paraId="458F614C">
            <w:pPr>
              <w:pStyle w:val="115"/>
              <w:jc w:val="center"/>
            </w:pPr>
            <w:r>
              <w:t>39</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5201FE5E">
            <w:pPr>
              <w:pStyle w:val="115"/>
              <w:jc w:val="center"/>
            </w:pPr>
            <w:r>
              <w:rPr>
                <w:rFonts w:hint="eastAsia"/>
              </w:rPr>
              <w:t>纵十七路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67CFCB84">
            <w:pPr>
              <w:pStyle w:val="115"/>
              <w:jc w:val="center"/>
            </w:pPr>
            <w:r>
              <w:rPr>
                <w:rFonts w:hint="eastAsia"/>
              </w:rPr>
              <w:t>支路</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73F4EDF6">
            <w:pPr>
              <w:pStyle w:val="115"/>
              <w:jc w:val="center"/>
            </w:pPr>
            <w:r>
              <w:rPr>
                <w:rFonts w:hint="eastAsia"/>
              </w:rPr>
              <w:t>南北</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747C104D">
            <w:pPr>
              <w:pStyle w:val="115"/>
              <w:jc w:val="center"/>
            </w:pPr>
            <w:r>
              <w:t>386</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31551678">
            <w:pPr>
              <w:pStyle w:val="115"/>
              <w:jc w:val="center"/>
            </w:pPr>
            <w:r>
              <w:t>13</w:t>
            </w:r>
          </w:p>
        </w:tc>
        <w:tc>
          <w:tcPr>
            <w:tcW w:w="0" w:type="auto"/>
            <w:tcBorders>
              <w:top w:val="single" w:color="000000" w:sz="4" w:space="0"/>
              <w:left w:val="nil"/>
              <w:bottom w:val="single" w:color="000000" w:sz="4" w:space="0"/>
              <w:right w:val="single" w:color="000000" w:sz="4" w:space="0"/>
            </w:tcBorders>
            <w:shd w:val="clear" w:color="auto" w:fill="FFFFFF"/>
            <w:vAlign w:val="center"/>
          </w:tcPr>
          <w:p w14:paraId="5D37C146">
            <w:pPr>
              <w:pStyle w:val="115"/>
              <w:jc w:val="center"/>
            </w:pPr>
            <w:r>
              <w:rPr>
                <w:rFonts w:hint="eastAsia"/>
              </w:rPr>
              <w:t>横八路</w:t>
            </w:r>
            <w:r>
              <w:t>-</w:t>
            </w:r>
            <w:r>
              <w:rPr>
                <w:rFonts w:hint="eastAsia"/>
              </w:rPr>
              <w:t>广场西路</w:t>
            </w:r>
          </w:p>
        </w:tc>
        <w:tc>
          <w:tcPr>
            <w:tcW w:w="0" w:type="auto"/>
            <w:tcBorders>
              <w:top w:val="single" w:color="000000" w:sz="4" w:space="0"/>
              <w:left w:val="nil"/>
              <w:bottom w:val="single" w:color="000000" w:sz="4" w:space="0"/>
              <w:right w:val="single" w:color="auto" w:sz="12" w:space="0"/>
            </w:tcBorders>
            <w:shd w:val="clear" w:color="auto" w:fill="FFFFFF"/>
            <w:vAlign w:val="center"/>
          </w:tcPr>
          <w:p w14:paraId="774A07D2">
            <w:pPr>
              <w:pStyle w:val="115"/>
              <w:jc w:val="center"/>
            </w:pPr>
            <w:r>
              <w:rPr>
                <w:rFonts w:hint="eastAsia"/>
              </w:rPr>
              <w:t>刚性</w:t>
            </w:r>
          </w:p>
        </w:tc>
      </w:tr>
    </w:tbl>
    <w:p w14:paraId="16AD06B3">
      <w:pPr>
        <w:pStyle w:val="3"/>
        <w:numPr>
          <w:ilvl w:val="1"/>
          <w:numId w:val="5"/>
        </w:numPr>
        <w:spacing w:before="332" w:after="166"/>
        <w:rPr>
          <w:rFonts w:hint="eastAsia"/>
        </w:rPr>
      </w:pPr>
      <w:r>
        <w:t>道路横断面</w:t>
      </w:r>
    </w:p>
    <w:p w14:paraId="00126A93">
      <w:pPr>
        <w:spacing w:after="166"/>
        <w:ind w:firstLine="500"/>
      </w:pPr>
      <w:r>
        <w:rPr>
          <w:rFonts w:hint="eastAsia"/>
          <w:lang w:val="en-US"/>
        </w:rPr>
        <w:t>道路横断面主要根据各交通流的特征，通过相应隔离措施进行板块划分，实现各行其道，减小相互之间干扰。</w:t>
      </w:r>
    </w:p>
    <w:p w14:paraId="7306A6DA">
      <w:pPr>
        <w:pStyle w:val="4"/>
        <w:numPr>
          <w:ilvl w:val="2"/>
          <w:numId w:val="5"/>
        </w:numPr>
        <w:spacing w:before="332" w:after="166"/>
        <w:rPr>
          <w:rFonts w:hint="eastAsia"/>
          <w:lang w:val="en-US"/>
        </w:rPr>
      </w:pPr>
      <w:r>
        <w:rPr>
          <w:rFonts w:hint="eastAsia"/>
          <w:lang w:val="en-US"/>
        </w:rPr>
        <w:t>主干路</w:t>
      </w:r>
    </w:p>
    <w:p w14:paraId="3DD703C6">
      <w:pPr>
        <w:spacing w:after="166"/>
        <w:ind w:firstLine="500"/>
      </w:pPr>
      <w:r>
        <w:rPr>
          <w:rFonts w:hint="eastAsia"/>
          <w:lang w:val="en-US"/>
        </w:rPr>
        <w:t>主干路规划红线宽度26-40m，规划横断面主要为三块板或四块板形式。</w:t>
      </w:r>
    </w:p>
    <w:p w14:paraId="5D9B0438">
      <w:pPr>
        <w:widowControl/>
        <w:spacing w:beforeAutospacing="1" w:after="166"/>
        <w:ind w:firstLine="0" w:firstLineChars="0"/>
        <w:jc w:val="center"/>
        <w:rPr>
          <w:rFonts w:hint="eastAsia" w:ascii="宋体" w:hAnsi="宋体" w:cs="宋体"/>
        </w:rPr>
      </w:pPr>
      <w:r>
        <w:rPr>
          <w:rFonts w:ascii="宋体" w:hAnsi="宋体" w:cs="宋体"/>
        </w:rPr>
        <w:drawing>
          <wp:inline distT="0" distB="0" distL="114300" distR="114300">
            <wp:extent cx="2955925" cy="1381760"/>
            <wp:effectExtent l="0" t="0" r="15875" b="889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88"/>
                    <a:stretch>
                      <a:fillRect/>
                    </a:stretch>
                  </pic:blipFill>
                  <pic:spPr>
                    <a:xfrm>
                      <a:off x="0" y="0"/>
                      <a:ext cx="2955925" cy="1381760"/>
                    </a:xfrm>
                    <a:prstGeom prst="rect">
                      <a:avLst/>
                    </a:prstGeom>
                  </pic:spPr>
                </pic:pic>
              </a:graphicData>
            </a:graphic>
          </wp:inline>
        </w:drawing>
      </w:r>
    </w:p>
    <w:p w14:paraId="3DEF83D7">
      <w:pPr>
        <w:widowControl/>
        <w:spacing w:beforeAutospacing="1" w:after="166"/>
        <w:ind w:firstLine="0" w:firstLineChars="0"/>
        <w:jc w:val="center"/>
        <w:rPr>
          <w:rFonts w:hint="eastAsia" w:ascii="宋体" w:hAnsi="宋体" w:cs="宋体"/>
        </w:rPr>
      </w:pPr>
      <w:r>
        <w:rPr>
          <w:rFonts w:ascii="宋体" w:hAnsi="宋体" w:cs="宋体"/>
        </w:rPr>
        <w:drawing>
          <wp:inline distT="0" distB="0" distL="114300" distR="114300">
            <wp:extent cx="2941320" cy="1320165"/>
            <wp:effectExtent l="0" t="0" r="11430" b="1333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89"/>
                    <a:stretch>
                      <a:fillRect/>
                    </a:stretch>
                  </pic:blipFill>
                  <pic:spPr>
                    <a:xfrm>
                      <a:off x="0" y="0"/>
                      <a:ext cx="2941320" cy="1320165"/>
                    </a:xfrm>
                    <a:prstGeom prst="rect">
                      <a:avLst/>
                    </a:prstGeom>
                  </pic:spPr>
                </pic:pic>
              </a:graphicData>
            </a:graphic>
          </wp:inline>
        </w:drawing>
      </w:r>
    </w:p>
    <w:p w14:paraId="14FA1628">
      <w:pPr>
        <w:widowControl/>
        <w:spacing w:beforeAutospacing="1" w:after="166"/>
        <w:ind w:firstLine="0" w:firstLineChars="0"/>
        <w:jc w:val="center"/>
        <w:rPr>
          <w:rFonts w:hint="eastAsia" w:ascii="宋体" w:hAnsi="宋体" w:cs="宋体"/>
        </w:rPr>
      </w:pPr>
      <w:r>
        <w:rPr>
          <w:rFonts w:ascii="宋体" w:hAnsi="宋体" w:cs="宋体"/>
        </w:rPr>
        <w:drawing>
          <wp:inline distT="0" distB="0" distL="114300" distR="114300">
            <wp:extent cx="2985135" cy="1353185"/>
            <wp:effectExtent l="0" t="0" r="5715" b="18415"/>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90"/>
                    <a:stretch>
                      <a:fillRect/>
                    </a:stretch>
                  </pic:blipFill>
                  <pic:spPr>
                    <a:xfrm>
                      <a:off x="0" y="0"/>
                      <a:ext cx="2985135" cy="1353185"/>
                    </a:xfrm>
                    <a:prstGeom prst="rect">
                      <a:avLst/>
                    </a:prstGeom>
                  </pic:spPr>
                </pic:pic>
              </a:graphicData>
            </a:graphic>
          </wp:inline>
        </w:drawing>
      </w:r>
    </w:p>
    <w:p w14:paraId="6A06F4A8">
      <w:pPr>
        <w:widowControl/>
        <w:spacing w:beforeAutospacing="1" w:after="166"/>
        <w:ind w:firstLine="0" w:firstLineChars="0"/>
        <w:jc w:val="center"/>
        <w:rPr>
          <w:rFonts w:hint="eastAsia" w:ascii="宋体" w:hAnsi="宋体" w:cs="宋体"/>
        </w:rPr>
      </w:pPr>
      <w:r>
        <w:rPr>
          <w:rFonts w:ascii="宋体" w:hAnsi="宋体" w:cs="宋体"/>
        </w:rPr>
        <w:drawing>
          <wp:inline distT="0" distB="0" distL="114300" distR="114300">
            <wp:extent cx="2665095" cy="1304925"/>
            <wp:effectExtent l="0" t="0" r="1905" b="9525"/>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91"/>
                    <a:stretch>
                      <a:fillRect/>
                    </a:stretch>
                  </pic:blipFill>
                  <pic:spPr>
                    <a:xfrm>
                      <a:off x="0" y="0"/>
                      <a:ext cx="2665095" cy="1304925"/>
                    </a:xfrm>
                    <a:prstGeom prst="rect">
                      <a:avLst/>
                    </a:prstGeom>
                  </pic:spPr>
                </pic:pic>
              </a:graphicData>
            </a:graphic>
          </wp:inline>
        </w:drawing>
      </w:r>
      <w:r>
        <w:rPr>
          <w:rFonts w:ascii="宋体" w:hAnsi="宋体" w:cs="宋体"/>
        </w:rPr>
        <w:drawing>
          <wp:inline distT="0" distB="0" distL="114300" distR="114300">
            <wp:extent cx="2268855" cy="1367790"/>
            <wp:effectExtent l="0" t="0" r="17145" b="381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92"/>
                    <a:stretch>
                      <a:fillRect/>
                    </a:stretch>
                  </pic:blipFill>
                  <pic:spPr>
                    <a:xfrm>
                      <a:off x="0" y="0"/>
                      <a:ext cx="2268855" cy="1367790"/>
                    </a:xfrm>
                    <a:prstGeom prst="rect">
                      <a:avLst/>
                    </a:prstGeom>
                  </pic:spPr>
                </pic:pic>
              </a:graphicData>
            </a:graphic>
          </wp:inline>
        </w:drawing>
      </w:r>
    </w:p>
    <w:p w14:paraId="5FF6F81E">
      <w:pPr>
        <w:pStyle w:val="117"/>
        <w:rPr>
          <w:rFonts w:hint="eastAsia" w:cs="宋体"/>
          <w:sz w:val="25"/>
        </w:rPr>
      </w:pPr>
      <w:r>
        <w:rPr>
          <w:rFonts w:hint="eastAsia"/>
        </w:rPr>
        <w:t>图10-7 主干路断面规划图</w:t>
      </w:r>
    </w:p>
    <w:p w14:paraId="25E43C18">
      <w:pPr>
        <w:pStyle w:val="4"/>
        <w:numPr>
          <w:ilvl w:val="2"/>
          <w:numId w:val="5"/>
        </w:numPr>
        <w:spacing w:before="332" w:after="166"/>
        <w:rPr>
          <w:rFonts w:hint="eastAsia"/>
          <w:lang w:val="en-US"/>
        </w:rPr>
      </w:pPr>
      <w:r>
        <w:rPr>
          <w:rFonts w:hint="eastAsia"/>
          <w:lang w:val="en-US"/>
        </w:rPr>
        <w:t>次干路</w:t>
      </w:r>
    </w:p>
    <w:p w14:paraId="7439385D">
      <w:pPr>
        <w:spacing w:after="166"/>
        <w:ind w:firstLine="500"/>
        <w:rPr>
          <w:lang w:val="en-US"/>
        </w:rPr>
      </w:pPr>
      <w:r>
        <w:rPr>
          <w:rFonts w:hint="eastAsia"/>
          <w:lang w:val="en-US"/>
        </w:rPr>
        <w:t>次干路规划红线宽度24-36m，规划横断面主要为两块板形式。36m断面与主干路B-B类型一致。</w:t>
      </w:r>
    </w:p>
    <w:p w14:paraId="580C27C8">
      <w:pPr>
        <w:spacing w:after="166"/>
        <w:ind w:firstLine="0" w:firstLineChars="0"/>
        <w:jc w:val="center"/>
        <w:rPr>
          <w:lang w:val="en-US"/>
        </w:rPr>
      </w:pPr>
      <w:r>
        <w:rPr>
          <w:rFonts w:ascii="宋体" w:hAnsi="宋体" w:cs="宋体"/>
        </w:rPr>
        <w:drawing>
          <wp:inline distT="0" distB="0" distL="114300" distR="114300">
            <wp:extent cx="2941320" cy="1320165"/>
            <wp:effectExtent l="0" t="0" r="11430" b="1333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89"/>
                    <a:stretch>
                      <a:fillRect/>
                    </a:stretch>
                  </pic:blipFill>
                  <pic:spPr>
                    <a:xfrm>
                      <a:off x="0" y="0"/>
                      <a:ext cx="2941320" cy="1320165"/>
                    </a:xfrm>
                    <a:prstGeom prst="rect">
                      <a:avLst/>
                    </a:prstGeom>
                  </pic:spPr>
                </pic:pic>
              </a:graphicData>
            </a:graphic>
          </wp:inline>
        </w:drawing>
      </w:r>
    </w:p>
    <w:p w14:paraId="61F22BB5">
      <w:pPr>
        <w:widowControl/>
        <w:spacing w:beforeAutospacing="1" w:after="166"/>
        <w:ind w:firstLine="0" w:firstLineChars="0"/>
        <w:jc w:val="center"/>
        <w:rPr>
          <w:rFonts w:hint="eastAsia" w:ascii="宋体" w:hAnsi="宋体" w:cs="宋体"/>
        </w:rPr>
      </w:pPr>
      <w:r>
        <w:rPr>
          <w:rFonts w:ascii="宋体" w:hAnsi="宋体" w:cs="宋体"/>
        </w:rPr>
        <w:drawing>
          <wp:inline distT="0" distB="0" distL="114300" distR="114300">
            <wp:extent cx="2239645" cy="1370965"/>
            <wp:effectExtent l="0" t="0" r="8255" b="635"/>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93"/>
                    <a:stretch>
                      <a:fillRect/>
                    </a:stretch>
                  </pic:blipFill>
                  <pic:spPr>
                    <a:xfrm>
                      <a:off x="0" y="0"/>
                      <a:ext cx="2239645" cy="1370965"/>
                    </a:xfrm>
                    <a:prstGeom prst="rect">
                      <a:avLst/>
                    </a:prstGeom>
                  </pic:spPr>
                </pic:pic>
              </a:graphicData>
            </a:graphic>
          </wp:inline>
        </w:drawing>
      </w:r>
      <w:r>
        <w:rPr>
          <w:rFonts w:ascii="宋体" w:hAnsi="宋体" w:cs="宋体"/>
        </w:rPr>
        <w:drawing>
          <wp:inline distT="0" distB="0" distL="114300" distR="114300">
            <wp:extent cx="2159635" cy="1266825"/>
            <wp:effectExtent l="0" t="0" r="12065" b="952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94"/>
                    <a:stretch>
                      <a:fillRect/>
                    </a:stretch>
                  </pic:blipFill>
                  <pic:spPr>
                    <a:xfrm>
                      <a:off x="0" y="0"/>
                      <a:ext cx="2159635" cy="1266825"/>
                    </a:xfrm>
                    <a:prstGeom prst="rect">
                      <a:avLst/>
                    </a:prstGeom>
                  </pic:spPr>
                </pic:pic>
              </a:graphicData>
            </a:graphic>
          </wp:inline>
        </w:drawing>
      </w:r>
    </w:p>
    <w:p w14:paraId="491F5ED2">
      <w:pPr>
        <w:pStyle w:val="117"/>
      </w:pPr>
      <w:r>
        <w:rPr>
          <w:rFonts w:hint="eastAsia"/>
        </w:rPr>
        <w:t>图10-8 次干路断面规划图</w:t>
      </w:r>
    </w:p>
    <w:p w14:paraId="3F2C43BC">
      <w:pPr>
        <w:pStyle w:val="4"/>
        <w:numPr>
          <w:ilvl w:val="2"/>
          <w:numId w:val="5"/>
        </w:numPr>
        <w:spacing w:before="332" w:after="166"/>
        <w:rPr>
          <w:rFonts w:hint="eastAsia"/>
          <w:lang w:val="en-US"/>
        </w:rPr>
      </w:pPr>
      <w:r>
        <w:rPr>
          <w:rFonts w:hint="eastAsia"/>
          <w:lang w:val="en-US"/>
        </w:rPr>
        <w:t>支路</w:t>
      </w:r>
    </w:p>
    <w:p w14:paraId="5F624F79">
      <w:pPr>
        <w:spacing w:after="166"/>
        <w:ind w:firstLine="500"/>
      </w:pPr>
      <w:r>
        <w:rPr>
          <w:rFonts w:hint="eastAsia"/>
          <w:lang w:val="en-US"/>
        </w:rPr>
        <w:t>支路规划红线宽度10-15m，规划横断面主要为一块板形式。</w:t>
      </w:r>
    </w:p>
    <w:p w14:paraId="07B1CEBB">
      <w:pPr>
        <w:widowControl/>
        <w:spacing w:beforeAutospacing="1" w:after="166"/>
        <w:ind w:firstLine="500"/>
        <w:jc w:val="left"/>
        <w:rPr>
          <w:rFonts w:hint="eastAsia" w:ascii="宋体" w:hAnsi="宋体" w:cs="宋体"/>
        </w:rPr>
      </w:pPr>
      <w:r>
        <w:rPr>
          <w:rFonts w:hint="eastAsia" w:ascii="宋体" w:hAnsi="宋体" w:cs="宋体"/>
          <w:lang w:val="en-US" w:bidi="ar"/>
        </w:rPr>
        <w:t xml:space="preserve"> </w:t>
      </w:r>
      <w:r>
        <w:rPr>
          <w:rFonts w:ascii="宋体" w:hAnsi="宋体" w:cs="宋体"/>
        </w:rPr>
        <w:drawing>
          <wp:inline distT="0" distB="0" distL="114300" distR="114300">
            <wp:extent cx="2037715" cy="1619885"/>
            <wp:effectExtent l="0" t="0" r="635" b="1841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95"/>
                    <a:stretch>
                      <a:fillRect/>
                    </a:stretch>
                  </pic:blipFill>
                  <pic:spPr>
                    <a:xfrm>
                      <a:off x="0" y="0"/>
                      <a:ext cx="2037715" cy="1619885"/>
                    </a:xfrm>
                    <a:prstGeom prst="rect">
                      <a:avLst/>
                    </a:prstGeom>
                  </pic:spPr>
                </pic:pic>
              </a:graphicData>
            </a:graphic>
          </wp:inline>
        </w:drawing>
      </w:r>
      <w:r>
        <w:rPr>
          <w:rFonts w:ascii="宋体" w:hAnsi="宋体" w:cs="宋体"/>
        </w:rPr>
        <w:drawing>
          <wp:inline distT="0" distB="0" distL="114300" distR="114300">
            <wp:extent cx="2065655" cy="1619885"/>
            <wp:effectExtent l="0" t="0" r="10795" b="18415"/>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96"/>
                    <a:stretch>
                      <a:fillRect/>
                    </a:stretch>
                  </pic:blipFill>
                  <pic:spPr>
                    <a:xfrm>
                      <a:off x="0" y="0"/>
                      <a:ext cx="2065655" cy="1619885"/>
                    </a:xfrm>
                    <a:prstGeom prst="rect">
                      <a:avLst/>
                    </a:prstGeom>
                  </pic:spPr>
                </pic:pic>
              </a:graphicData>
            </a:graphic>
          </wp:inline>
        </w:drawing>
      </w:r>
      <w:r>
        <w:rPr>
          <w:rFonts w:ascii="宋体" w:hAnsi="宋体" w:cs="宋体"/>
        </w:rPr>
        <w:drawing>
          <wp:inline distT="0" distB="0" distL="114300" distR="114300">
            <wp:extent cx="1839595" cy="1619885"/>
            <wp:effectExtent l="0" t="0" r="8255" b="1841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97"/>
                    <a:stretch>
                      <a:fillRect/>
                    </a:stretch>
                  </pic:blipFill>
                  <pic:spPr>
                    <a:xfrm>
                      <a:off x="0" y="0"/>
                      <a:ext cx="1839595" cy="1619885"/>
                    </a:xfrm>
                    <a:prstGeom prst="rect">
                      <a:avLst/>
                    </a:prstGeom>
                  </pic:spPr>
                </pic:pic>
              </a:graphicData>
            </a:graphic>
          </wp:inline>
        </w:drawing>
      </w:r>
      <w:r>
        <w:rPr>
          <w:rFonts w:ascii="宋体" w:hAnsi="宋体" w:cs="宋体"/>
        </w:rPr>
        <w:drawing>
          <wp:inline distT="0" distB="0" distL="114300" distR="114300">
            <wp:extent cx="1640205" cy="1619885"/>
            <wp:effectExtent l="0" t="0" r="17145" b="18415"/>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98"/>
                    <a:stretch>
                      <a:fillRect/>
                    </a:stretch>
                  </pic:blipFill>
                  <pic:spPr>
                    <a:xfrm>
                      <a:off x="0" y="0"/>
                      <a:ext cx="1640205" cy="1619885"/>
                    </a:xfrm>
                    <a:prstGeom prst="rect">
                      <a:avLst/>
                    </a:prstGeom>
                  </pic:spPr>
                </pic:pic>
              </a:graphicData>
            </a:graphic>
          </wp:inline>
        </w:drawing>
      </w:r>
      <w:r>
        <w:rPr>
          <w:rFonts w:ascii="宋体" w:hAnsi="宋体" w:cs="宋体"/>
        </w:rPr>
        <w:drawing>
          <wp:inline distT="0" distB="0" distL="114300" distR="114300">
            <wp:extent cx="1576705" cy="1548130"/>
            <wp:effectExtent l="0" t="0" r="4445" b="1397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99"/>
                    <a:stretch>
                      <a:fillRect/>
                    </a:stretch>
                  </pic:blipFill>
                  <pic:spPr>
                    <a:xfrm>
                      <a:off x="0" y="0"/>
                      <a:ext cx="1576705" cy="1548130"/>
                    </a:xfrm>
                    <a:prstGeom prst="rect">
                      <a:avLst/>
                    </a:prstGeom>
                  </pic:spPr>
                </pic:pic>
              </a:graphicData>
            </a:graphic>
          </wp:inline>
        </w:drawing>
      </w:r>
    </w:p>
    <w:p w14:paraId="155AAE68">
      <w:pPr>
        <w:pStyle w:val="117"/>
        <w:rPr>
          <w:rFonts w:hint="eastAsia" w:cstheme="majorBidi"/>
        </w:rPr>
      </w:pPr>
      <w:r>
        <w:rPr>
          <w:rFonts w:hint="eastAsia"/>
        </w:rPr>
        <w:t>图10-9 支路断面规划图</w:t>
      </w:r>
    </w:p>
    <w:p w14:paraId="47207852">
      <w:pPr>
        <w:pStyle w:val="3"/>
        <w:numPr>
          <w:ilvl w:val="1"/>
          <w:numId w:val="5"/>
        </w:numPr>
        <w:spacing w:before="332" w:after="166"/>
        <w:rPr>
          <w:rFonts w:hint="eastAsia"/>
        </w:rPr>
      </w:pPr>
      <w:r>
        <w:t>道路交叉口控制</w:t>
      </w:r>
    </w:p>
    <w:p w14:paraId="371EDC07">
      <w:pPr>
        <w:spacing w:after="166"/>
        <w:ind w:firstLine="500"/>
        <w:rPr>
          <w:lang w:val="en-US"/>
        </w:rPr>
      </w:pPr>
      <w:r>
        <w:rPr>
          <w:rFonts w:hint="eastAsia"/>
          <w:lang w:val="en-US"/>
        </w:rPr>
        <w:t xml:space="preserve">规划范围交叉口均为平面交叉。平面交叉口路缘石半径一般按以下要求控制：主干路 10-15 米，次干路 8-10 米，支路 5-8 米。各道路交叉口路缘石转弯半径应根据相交道路性质、行车速度要求、现状周边建设情况等综合确定，应尽量选取小转角半径，以节约土地，同时可限制车辆转弯速度，避免车速过快。除支路与支路相交可不设信号灯外，其他道路相交均采用信号交叉口，交通量较大时 可采用路内拓宽机动车道方式，必要时拓宽交叉口路段红线增加进口和出口车道数，提高通行能力；交通量较小的支路相交路口采用无控交叉口，以交通标志线合理划分路权，保障交通安全。 </w:t>
      </w:r>
    </w:p>
    <w:p w14:paraId="71EBA17D">
      <w:pPr>
        <w:pStyle w:val="117"/>
        <w:bidi w:val="0"/>
      </w:pPr>
      <w:r>
        <w:rPr>
          <w:rFonts w:hint="eastAsia"/>
        </w:rPr>
        <w:t>表10-2 道路红线转弯半径控制表（m）</w:t>
      </w:r>
    </w:p>
    <w:tbl>
      <w:tblPr>
        <w:tblStyle w:val="37"/>
        <w:tblpPr w:leftFromText="180" w:rightFromText="180" w:vertAnchor="text" w:horzAnchor="margin" w:tblpY="-52"/>
        <w:tblOverlap w:val="neve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88"/>
        <w:gridCol w:w="2170"/>
        <w:gridCol w:w="2937"/>
        <w:gridCol w:w="1427"/>
      </w:tblGrid>
      <w:tr w14:paraId="239D2F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66" w:type="pct"/>
            <w:tcBorders>
              <w:top w:val="single" w:color="000000" w:sz="12" w:space="0"/>
              <w:left w:val="single" w:color="000000" w:sz="12" w:space="0"/>
              <w:bottom w:val="single" w:color="000000" w:sz="4" w:space="0"/>
              <w:right w:val="single" w:color="000000" w:sz="4" w:space="0"/>
              <w:tl2br w:val="nil"/>
            </w:tcBorders>
            <w:shd w:val="clear" w:color="auto" w:fill="FFFFFF"/>
            <w:vAlign w:val="center"/>
          </w:tcPr>
          <w:p w14:paraId="5A63E998">
            <w:pPr>
              <w:pStyle w:val="115"/>
              <w:jc w:val="center"/>
              <w:rPr>
                <w:b w:val="0"/>
                <w:color w:val="000000"/>
              </w:rPr>
            </w:pPr>
            <w:r>
              <w:rPr>
                <w:rFonts w:hint="eastAsia"/>
                <w:b w:val="0"/>
                <w:color w:val="000000"/>
              </w:rPr>
              <w:t>相交道路等级</w:t>
            </w:r>
          </w:p>
        </w:tc>
        <w:tc>
          <w:tcPr>
            <w:tcW w:w="1273"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1BDC7AC9">
            <w:pPr>
              <w:pStyle w:val="115"/>
              <w:jc w:val="center"/>
              <w:rPr>
                <w:b w:val="0"/>
                <w:color w:val="000000"/>
              </w:rPr>
            </w:pPr>
            <w:r>
              <w:rPr>
                <w:rFonts w:hint="eastAsia"/>
                <w:b w:val="0"/>
                <w:color w:val="000000"/>
              </w:rPr>
              <w:t>主干路</w:t>
            </w:r>
          </w:p>
        </w:tc>
        <w:tc>
          <w:tcPr>
            <w:tcW w:w="1723"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5420F8EF">
            <w:pPr>
              <w:pStyle w:val="115"/>
              <w:jc w:val="center"/>
              <w:rPr>
                <w:b w:val="0"/>
                <w:color w:val="000000"/>
              </w:rPr>
            </w:pPr>
            <w:r>
              <w:rPr>
                <w:rFonts w:hint="eastAsia"/>
                <w:b w:val="0"/>
                <w:color w:val="000000"/>
              </w:rPr>
              <w:t>次干路</w:t>
            </w:r>
          </w:p>
        </w:tc>
        <w:tc>
          <w:tcPr>
            <w:tcW w:w="837" w:type="pct"/>
            <w:tcBorders>
              <w:top w:val="single" w:color="000000" w:sz="12" w:space="0"/>
              <w:left w:val="single" w:color="000000" w:sz="4" w:space="0"/>
              <w:bottom w:val="single" w:color="000000" w:sz="4" w:space="0"/>
              <w:right w:val="single" w:color="000000" w:sz="12" w:space="0"/>
            </w:tcBorders>
            <w:shd w:val="clear" w:color="auto" w:fill="FFFFFF"/>
            <w:vAlign w:val="center"/>
          </w:tcPr>
          <w:p w14:paraId="7A636F50">
            <w:pPr>
              <w:pStyle w:val="115"/>
              <w:jc w:val="center"/>
              <w:rPr>
                <w:b w:val="0"/>
                <w:color w:val="000000"/>
              </w:rPr>
            </w:pPr>
            <w:r>
              <w:rPr>
                <w:rFonts w:hint="eastAsia"/>
                <w:b w:val="0"/>
                <w:color w:val="000000"/>
              </w:rPr>
              <w:t>支路</w:t>
            </w:r>
          </w:p>
        </w:tc>
      </w:tr>
      <w:tr w14:paraId="4B2775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66"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2303258D">
            <w:pPr>
              <w:pStyle w:val="115"/>
              <w:jc w:val="center"/>
              <w:rPr>
                <w:b w:val="0"/>
                <w:color w:val="000000"/>
              </w:rPr>
            </w:pPr>
            <w:r>
              <w:rPr>
                <w:rFonts w:hint="eastAsia"/>
                <w:b w:val="0"/>
                <w:color w:val="000000"/>
              </w:rPr>
              <w:t>主干路</w:t>
            </w:r>
          </w:p>
        </w:tc>
        <w:tc>
          <w:tcPr>
            <w:tcW w:w="127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8A7CE82">
            <w:pPr>
              <w:pStyle w:val="115"/>
              <w:jc w:val="center"/>
              <w:rPr>
                <w:b w:val="0"/>
                <w:color w:val="000000"/>
              </w:rPr>
            </w:pPr>
            <w:r>
              <w:rPr>
                <w:rFonts w:hint="eastAsia"/>
                <w:b w:val="0"/>
                <w:color w:val="000000"/>
              </w:rPr>
              <w:t>10-15</w:t>
            </w:r>
          </w:p>
        </w:tc>
        <w:tc>
          <w:tcPr>
            <w:tcW w:w="172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E3E9ADC">
            <w:pPr>
              <w:pStyle w:val="115"/>
              <w:jc w:val="center"/>
              <w:rPr>
                <w:b w:val="0"/>
                <w:color w:val="000000"/>
              </w:rPr>
            </w:pPr>
            <w:r>
              <w:rPr>
                <w:rFonts w:hint="eastAsia"/>
                <w:b w:val="0"/>
                <w:color w:val="000000"/>
              </w:rPr>
              <w:t>8-10</w:t>
            </w:r>
          </w:p>
        </w:tc>
        <w:tc>
          <w:tcPr>
            <w:tcW w:w="83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2EB936F5">
            <w:pPr>
              <w:pStyle w:val="115"/>
              <w:jc w:val="center"/>
              <w:rPr>
                <w:b w:val="0"/>
                <w:color w:val="000000"/>
              </w:rPr>
            </w:pPr>
            <w:r>
              <w:rPr>
                <w:rFonts w:hint="eastAsia"/>
                <w:b w:val="0"/>
                <w:color w:val="000000"/>
              </w:rPr>
              <w:t>5-8</w:t>
            </w:r>
          </w:p>
        </w:tc>
      </w:tr>
      <w:tr w14:paraId="1A76CD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66"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42A4624B">
            <w:pPr>
              <w:pStyle w:val="115"/>
              <w:jc w:val="center"/>
              <w:rPr>
                <w:b w:val="0"/>
                <w:color w:val="000000"/>
              </w:rPr>
            </w:pPr>
            <w:r>
              <w:rPr>
                <w:rFonts w:hint="eastAsia"/>
                <w:b w:val="0"/>
                <w:color w:val="000000"/>
              </w:rPr>
              <w:t>次干路</w:t>
            </w:r>
          </w:p>
        </w:tc>
        <w:tc>
          <w:tcPr>
            <w:tcW w:w="127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8B8ED59">
            <w:pPr>
              <w:pStyle w:val="115"/>
              <w:jc w:val="center"/>
              <w:rPr>
                <w:b w:val="0"/>
                <w:color w:val="000000"/>
              </w:rPr>
            </w:pPr>
            <w:r>
              <w:rPr>
                <w:rFonts w:hint="eastAsia"/>
                <w:b w:val="0"/>
                <w:color w:val="000000"/>
              </w:rPr>
              <w:t>8-10</w:t>
            </w:r>
          </w:p>
        </w:tc>
        <w:tc>
          <w:tcPr>
            <w:tcW w:w="172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4503C17">
            <w:pPr>
              <w:pStyle w:val="115"/>
              <w:jc w:val="center"/>
              <w:rPr>
                <w:b w:val="0"/>
                <w:color w:val="000000"/>
              </w:rPr>
            </w:pPr>
            <w:r>
              <w:rPr>
                <w:rFonts w:hint="eastAsia"/>
                <w:b w:val="0"/>
                <w:color w:val="000000"/>
              </w:rPr>
              <w:t>8-10</w:t>
            </w:r>
          </w:p>
        </w:tc>
        <w:tc>
          <w:tcPr>
            <w:tcW w:w="837"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3AFB7272">
            <w:pPr>
              <w:pStyle w:val="115"/>
              <w:jc w:val="center"/>
              <w:rPr>
                <w:b w:val="0"/>
                <w:color w:val="000000"/>
              </w:rPr>
            </w:pPr>
            <w:r>
              <w:rPr>
                <w:rFonts w:hint="eastAsia"/>
                <w:b w:val="0"/>
                <w:color w:val="000000"/>
              </w:rPr>
              <w:t>5-8</w:t>
            </w:r>
          </w:p>
        </w:tc>
      </w:tr>
      <w:tr w14:paraId="571F2E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66" w:type="pct"/>
            <w:tcBorders>
              <w:top w:val="single" w:color="000000" w:sz="4" w:space="0"/>
              <w:left w:val="single" w:color="000000" w:sz="12" w:space="0"/>
              <w:bottom w:val="single" w:color="000000" w:sz="12" w:space="0"/>
              <w:right w:val="single" w:color="000000" w:sz="4" w:space="0"/>
            </w:tcBorders>
            <w:shd w:val="clear" w:color="auto" w:fill="FFFFFF"/>
            <w:vAlign w:val="center"/>
          </w:tcPr>
          <w:p w14:paraId="1D31CAD6">
            <w:pPr>
              <w:pStyle w:val="115"/>
              <w:jc w:val="center"/>
              <w:rPr>
                <w:b w:val="0"/>
                <w:color w:val="000000"/>
              </w:rPr>
            </w:pPr>
            <w:r>
              <w:rPr>
                <w:rFonts w:hint="eastAsia"/>
                <w:b w:val="0"/>
                <w:color w:val="000000"/>
              </w:rPr>
              <w:t>支路</w:t>
            </w:r>
          </w:p>
        </w:tc>
        <w:tc>
          <w:tcPr>
            <w:tcW w:w="1273"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5F8CC634">
            <w:pPr>
              <w:pStyle w:val="115"/>
              <w:jc w:val="center"/>
              <w:rPr>
                <w:b w:val="0"/>
                <w:color w:val="000000"/>
              </w:rPr>
            </w:pPr>
            <w:r>
              <w:rPr>
                <w:rFonts w:hint="eastAsia"/>
                <w:b w:val="0"/>
                <w:color w:val="000000"/>
              </w:rPr>
              <w:t>5-8</w:t>
            </w:r>
          </w:p>
        </w:tc>
        <w:tc>
          <w:tcPr>
            <w:tcW w:w="1723"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0AF441B5">
            <w:pPr>
              <w:pStyle w:val="115"/>
              <w:jc w:val="center"/>
              <w:rPr>
                <w:b w:val="0"/>
                <w:color w:val="000000"/>
              </w:rPr>
            </w:pPr>
            <w:r>
              <w:rPr>
                <w:rFonts w:hint="eastAsia"/>
                <w:b w:val="0"/>
                <w:color w:val="000000"/>
              </w:rPr>
              <w:t>5-8</w:t>
            </w:r>
          </w:p>
        </w:tc>
        <w:tc>
          <w:tcPr>
            <w:tcW w:w="837" w:type="pct"/>
            <w:tcBorders>
              <w:top w:val="single" w:color="000000" w:sz="4" w:space="0"/>
              <w:left w:val="single" w:color="000000" w:sz="4" w:space="0"/>
              <w:bottom w:val="single" w:color="000000" w:sz="12" w:space="0"/>
              <w:right w:val="single" w:color="000000" w:sz="12" w:space="0"/>
            </w:tcBorders>
            <w:shd w:val="clear" w:color="auto" w:fill="FFFFFF"/>
            <w:vAlign w:val="center"/>
          </w:tcPr>
          <w:p w14:paraId="7FED9FF1">
            <w:pPr>
              <w:pStyle w:val="115"/>
              <w:jc w:val="center"/>
              <w:rPr>
                <w:b w:val="0"/>
                <w:color w:val="000000"/>
              </w:rPr>
            </w:pPr>
            <w:r>
              <w:rPr>
                <w:rFonts w:hint="eastAsia"/>
                <w:b w:val="0"/>
                <w:color w:val="000000"/>
              </w:rPr>
              <w:t>5-8</w:t>
            </w:r>
          </w:p>
        </w:tc>
      </w:tr>
    </w:tbl>
    <w:p w14:paraId="4DF9D303">
      <w:pPr>
        <w:pStyle w:val="3"/>
        <w:numPr>
          <w:ilvl w:val="1"/>
          <w:numId w:val="5"/>
        </w:numPr>
        <w:spacing w:before="332" w:after="166"/>
        <w:rPr>
          <w:rFonts w:hint="eastAsia"/>
        </w:rPr>
      </w:pPr>
      <w:r>
        <w:t>机动车开口控制</w:t>
      </w:r>
    </w:p>
    <w:p w14:paraId="657E2C55">
      <w:pPr>
        <w:spacing w:after="166"/>
        <w:ind w:firstLine="500"/>
      </w:pPr>
      <w:r>
        <w:rPr>
          <w:rFonts w:hint="eastAsia"/>
          <w:lang w:val="en-US"/>
        </w:rPr>
        <w:t xml:space="preserve">城市道路上机动车开口应符合下列规定： 交叉口有展宽段时，不得在交叉口展宽段和展宽渐变段范围内设置机动车开口；交叉口无展宽段时，主干路上距离平面交叉口不应小于 80 米、次干路上不应小于 50 米、支路上不宜小于 30 米；建设项目用地相邻道路为两条或两条以上时，开口应选择较低一级城市道路，宜远离交叉口；相邻建设用地的建筑宜共建机动车出入口通道。 </w:t>
      </w:r>
    </w:p>
    <w:p w14:paraId="046C507C">
      <w:pPr>
        <w:pStyle w:val="3"/>
        <w:numPr>
          <w:ilvl w:val="1"/>
          <w:numId w:val="5"/>
        </w:numPr>
        <w:spacing w:before="332" w:after="166"/>
        <w:rPr>
          <w:rFonts w:hint="eastAsia"/>
        </w:rPr>
      </w:pPr>
      <w:r>
        <w:t>慢行交通</w:t>
      </w:r>
    </w:p>
    <w:p w14:paraId="733DF384">
      <w:pPr>
        <w:widowControl/>
        <w:spacing w:beforeAutospacing="1" w:after="166"/>
        <w:ind w:firstLine="500"/>
        <w:jc w:val="left"/>
        <w:rPr>
          <w:rFonts w:hint="eastAsia" w:ascii="宋体" w:hAnsi="宋体" w:cs="宋体"/>
          <w:lang w:val="en-US" w:bidi="ar"/>
        </w:rPr>
      </w:pPr>
      <w:r>
        <w:rPr>
          <w:rFonts w:hint="eastAsia" w:ascii="宋体" w:hAnsi="宋体" w:cs="宋体"/>
          <w:lang w:val="en-US" w:bidi="ar"/>
        </w:rPr>
        <w:t>规划以慢行路网串联片区公共服务设施和公园绿地，满足居民日常出行、休闲和其他功能需求，沿城市道路成网络状布置。</w:t>
      </w:r>
    </w:p>
    <w:p w14:paraId="111B6540">
      <w:pPr>
        <w:pStyle w:val="3"/>
        <w:numPr>
          <w:ilvl w:val="1"/>
          <w:numId w:val="5"/>
        </w:numPr>
        <w:spacing w:before="332" w:after="166"/>
        <w:rPr>
          <w:rFonts w:hint="eastAsia"/>
        </w:rPr>
      </w:pPr>
      <w:r>
        <w:t>停车管控</w:t>
      </w:r>
    </w:p>
    <w:p w14:paraId="47AF60D4">
      <w:pPr>
        <w:pStyle w:val="4"/>
        <w:numPr>
          <w:ilvl w:val="2"/>
          <w:numId w:val="5"/>
        </w:numPr>
        <w:spacing w:before="332" w:after="166"/>
        <w:rPr>
          <w:rFonts w:hint="eastAsia"/>
          <w:lang w:val="en-US"/>
        </w:rPr>
      </w:pPr>
      <w:r>
        <w:rPr>
          <w:rFonts w:hint="eastAsia"/>
          <w:lang w:val="en-US"/>
        </w:rPr>
        <w:t>公共停车场</w:t>
      </w:r>
    </w:p>
    <w:p w14:paraId="013B4204">
      <w:pPr>
        <w:spacing w:after="166"/>
        <w:ind w:firstLine="500"/>
        <w:rPr>
          <w:rFonts w:hint="eastAsia"/>
          <w:lang w:val="en-US"/>
        </w:rPr>
      </w:pPr>
      <w:r>
        <w:rPr>
          <w:rFonts w:hint="eastAsia"/>
          <w:lang w:val="en-US"/>
        </w:rPr>
        <w:t>片区常住人口为</w:t>
      </w:r>
      <w:r>
        <w:rPr>
          <w:lang w:val="en-US"/>
        </w:rPr>
        <w:t>3.0</w:t>
      </w:r>
      <w:r>
        <w:rPr>
          <w:rFonts w:hint="eastAsia"/>
          <w:lang w:val="en-US"/>
        </w:rPr>
        <w:t xml:space="preserve">万人，根据根据《城市综合交通体系规划标准》，机动车公共停车面积按人均 </w:t>
      </w:r>
      <w:r>
        <w:rPr>
          <w:lang w:val="en-US"/>
        </w:rPr>
        <w:t xml:space="preserve">0.5 </w:t>
      </w:r>
      <w:r>
        <w:rPr>
          <w:rFonts w:hint="eastAsia"/>
          <w:lang w:val="en-US"/>
        </w:rPr>
        <w:t>㎡至</w:t>
      </w:r>
      <w:r>
        <w:rPr>
          <w:lang w:val="en-US"/>
        </w:rPr>
        <w:t xml:space="preserve">1.0 </w:t>
      </w:r>
      <w:r>
        <w:rPr>
          <w:rFonts w:hint="eastAsia"/>
          <w:lang w:val="en-US"/>
        </w:rPr>
        <w:t>㎡计算，考虑片区实际需求，规划取上限标准。</w:t>
      </w:r>
    </w:p>
    <w:p w14:paraId="0736D7A7">
      <w:pPr>
        <w:pStyle w:val="268"/>
        <w:rPr>
          <w:rFonts w:hint="eastAsia"/>
        </w:rPr>
      </w:pPr>
      <w:r>
        <w:drawing>
          <wp:anchor distT="0" distB="0" distL="114300" distR="114300" simplePos="0" relativeHeight="251659264" behindDoc="0" locked="0" layoutInCell="1" allowOverlap="1">
            <wp:simplePos x="0" y="0"/>
            <wp:positionH relativeFrom="column">
              <wp:posOffset>452120</wp:posOffset>
            </wp:positionH>
            <wp:positionV relativeFrom="paragraph">
              <wp:posOffset>141605</wp:posOffset>
            </wp:positionV>
            <wp:extent cx="4408170" cy="3771900"/>
            <wp:effectExtent l="0" t="0" r="0" b="0"/>
            <wp:wrapTopAndBottom/>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100"/>
                    <a:srcRect r="899"/>
                    <a:stretch>
                      <a:fillRect/>
                    </a:stretch>
                  </pic:blipFill>
                  <pic:spPr>
                    <a:xfrm>
                      <a:off x="0" y="0"/>
                      <a:ext cx="4408170" cy="3771900"/>
                    </a:xfrm>
                    <a:prstGeom prst="rect">
                      <a:avLst/>
                    </a:prstGeom>
                  </pic:spPr>
                </pic:pic>
              </a:graphicData>
            </a:graphic>
          </wp:anchor>
        </w:drawing>
      </w:r>
      <w:r>
        <w:rPr>
          <w:rFonts w:hint="eastAsia"/>
          <w:lang w:bidi="ar"/>
        </w:rPr>
        <w:t>图10-11 停车设施规划图</w:t>
      </w:r>
    </w:p>
    <w:p w14:paraId="5153981B">
      <w:pPr>
        <w:spacing w:after="166"/>
        <w:ind w:firstLine="500"/>
        <w:rPr>
          <w:lang w:val="en-US"/>
        </w:rPr>
      </w:pPr>
      <w:r>
        <w:rPr>
          <w:rFonts w:hint="eastAsia"/>
          <w:lang w:val="en-US"/>
        </w:rPr>
        <w:t xml:space="preserve">公共停车场的布局应符合“小型、分散、就近服务”的原则。规划设置规划 </w:t>
      </w:r>
      <w:r>
        <w:rPr>
          <w:lang w:val="en-US"/>
        </w:rPr>
        <w:t>9</w:t>
      </w:r>
      <w:r>
        <w:rPr>
          <w:rFonts w:hint="eastAsia"/>
          <w:lang w:val="en-US"/>
        </w:rPr>
        <w:t>处独立占地停车场，每处停车面积在</w:t>
      </w:r>
      <w:r>
        <w:rPr>
          <w:lang w:val="en-US"/>
        </w:rPr>
        <w:t>1500-5200</w:t>
      </w:r>
      <w:r>
        <w:rPr>
          <w:rFonts w:hint="eastAsia"/>
          <w:lang w:val="en-US"/>
        </w:rPr>
        <w:t>m</w:t>
      </w:r>
      <w:r>
        <w:rPr>
          <w:rFonts w:hint="eastAsia"/>
          <w:vertAlign w:val="superscript"/>
          <w:lang w:val="en-US"/>
        </w:rPr>
        <w:t>2</w:t>
      </w:r>
      <w:r>
        <w:rPr>
          <w:rFonts w:hint="eastAsia"/>
          <w:lang w:val="en-US"/>
        </w:rPr>
        <w:t>，总面积 约</w:t>
      </w:r>
      <w:r>
        <w:rPr>
          <w:lang w:val="en-US"/>
        </w:rPr>
        <w:t>3.07</w:t>
      </w:r>
      <w:r>
        <w:rPr>
          <w:rFonts w:hint="eastAsia"/>
          <w:lang w:val="en-US"/>
        </w:rPr>
        <w:t>公顷，共计提供公共停车位约</w:t>
      </w:r>
      <w:r>
        <w:rPr>
          <w:lang w:val="en-US"/>
        </w:rPr>
        <w:t>1200</w:t>
      </w:r>
      <w:r>
        <w:rPr>
          <w:rFonts w:hint="eastAsia"/>
          <w:lang w:val="en-US"/>
        </w:rPr>
        <w:t>个。</w:t>
      </w:r>
    </w:p>
    <w:p w14:paraId="0FA45217">
      <w:pPr>
        <w:pStyle w:val="117"/>
        <w:rPr>
          <w:lang w:eastAsia="zh"/>
        </w:rPr>
      </w:pPr>
      <w:r>
        <w:rPr>
          <w:rFonts w:hint="eastAsia"/>
          <w:lang w:eastAsia="zh"/>
        </w:rPr>
        <w:t>表</w:t>
      </w:r>
      <w:r>
        <w:rPr>
          <w:rFonts w:hint="eastAsia"/>
        </w:rPr>
        <w:t>10-3</w:t>
      </w:r>
      <w:r>
        <w:rPr>
          <w:rFonts w:hint="eastAsia"/>
          <w:lang w:eastAsia="zh"/>
        </w:rPr>
        <w:t xml:space="preserve"> 交通设施配置一览表</w:t>
      </w:r>
    </w:p>
    <w:tbl>
      <w:tblPr>
        <w:tblStyle w:val="36"/>
        <w:tblW w:w="0" w:type="auto"/>
        <w:tblInd w:w="0" w:type="dxa"/>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Layout w:type="fixed"/>
        <w:tblCellMar>
          <w:top w:w="0" w:type="dxa"/>
          <w:left w:w="108" w:type="dxa"/>
          <w:bottom w:w="0" w:type="dxa"/>
          <w:right w:w="108" w:type="dxa"/>
        </w:tblCellMar>
      </w:tblPr>
      <w:tblGrid>
        <w:gridCol w:w="558"/>
        <w:gridCol w:w="1199"/>
        <w:gridCol w:w="934"/>
        <w:gridCol w:w="1465"/>
        <w:gridCol w:w="520"/>
        <w:gridCol w:w="1414"/>
        <w:gridCol w:w="1189"/>
        <w:gridCol w:w="1187"/>
      </w:tblGrid>
      <w:tr w14:paraId="0734D0F9">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23" w:hRule="atLeast"/>
        </w:trPr>
        <w:tc>
          <w:tcPr>
            <w:tcW w:w="558" w:type="dxa"/>
            <w:tcBorders>
              <w:bottom w:val="single" w:color="000000" w:sz="4" w:space="0"/>
              <w:right w:val="single" w:color="000000" w:sz="4" w:space="0"/>
            </w:tcBorders>
            <w:shd w:val="clear" w:color="auto" w:fill="auto"/>
            <w:vAlign w:val="center"/>
          </w:tcPr>
          <w:p w14:paraId="0A96223B">
            <w:pPr>
              <w:pStyle w:val="115"/>
              <w:jc w:val="center"/>
            </w:pPr>
            <w:r>
              <w:rPr>
                <w:rFonts w:hint="eastAsia"/>
              </w:rPr>
              <w:t>序号</w:t>
            </w:r>
          </w:p>
        </w:tc>
        <w:tc>
          <w:tcPr>
            <w:tcW w:w="1199" w:type="dxa"/>
            <w:tcBorders>
              <w:left w:val="nil"/>
              <w:bottom w:val="single" w:color="000000" w:sz="4" w:space="0"/>
              <w:right w:val="single" w:color="000000" w:sz="4" w:space="0"/>
            </w:tcBorders>
            <w:shd w:val="clear" w:color="auto" w:fill="auto"/>
            <w:vAlign w:val="center"/>
          </w:tcPr>
          <w:p w14:paraId="720ADE70">
            <w:pPr>
              <w:pStyle w:val="115"/>
              <w:jc w:val="center"/>
            </w:pPr>
            <w:r>
              <w:rPr>
                <w:rFonts w:hint="eastAsia"/>
              </w:rPr>
              <w:t>交通配套设施类型</w:t>
            </w:r>
          </w:p>
        </w:tc>
        <w:tc>
          <w:tcPr>
            <w:tcW w:w="934" w:type="dxa"/>
            <w:tcBorders>
              <w:left w:val="nil"/>
              <w:bottom w:val="single" w:color="000000" w:sz="4" w:space="0"/>
              <w:right w:val="single" w:color="000000" w:sz="4" w:space="0"/>
            </w:tcBorders>
            <w:shd w:val="clear" w:color="auto" w:fill="auto"/>
            <w:vAlign w:val="center"/>
          </w:tcPr>
          <w:p w14:paraId="3EB939E9">
            <w:pPr>
              <w:pStyle w:val="115"/>
              <w:jc w:val="center"/>
            </w:pPr>
            <w:r>
              <w:rPr>
                <w:rFonts w:hint="eastAsia"/>
              </w:rPr>
              <w:t>占地形式</w:t>
            </w:r>
          </w:p>
        </w:tc>
        <w:tc>
          <w:tcPr>
            <w:tcW w:w="1465" w:type="dxa"/>
            <w:tcBorders>
              <w:left w:val="nil"/>
              <w:bottom w:val="single" w:color="000000" w:sz="4" w:space="0"/>
              <w:right w:val="single" w:color="000000" w:sz="4" w:space="0"/>
            </w:tcBorders>
            <w:shd w:val="clear" w:color="auto" w:fill="auto"/>
            <w:vAlign w:val="center"/>
          </w:tcPr>
          <w:p w14:paraId="5338B6F7">
            <w:pPr>
              <w:pStyle w:val="115"/>
              <w:jc w:val="center"/>
            </w:pPr>
            <w:r>
              <w:rPr>
                <w:rFonts w:hint="eastAsia"/>
              </w:rPr>
              <w:t>交通配套设施名称</w:t>
            </w:r>
          </w:p>
        </w:tc>
        <w:tc>
          <w:tcPr>
            <w:tcW w:w="520" w:type="dxa"/>
            <w:tcBorders>
              <w:left w:val="nil"/>
              <w:bottom w:val="single" w:color="000000" w:sz="4" w:space="0"/>
              <w:right w:val="single" w:color="000000" w:sz="4" w:space="0"/>
            </w:tcBorders>
            <w:shd w:val="clear" w:color="auto" w:fill="auto"/>
            <w:vAlign w:val="center"/>
          </w:tcPr>
          <w:p w14:paraId="6B7AB7DF">
            <w:pPr>
              <w:pStyle w:val="115"/>
              <w:jc w:val="center"/>
            </w:pPr>
            <w:r>
              <w:rPr>
                <w:rFonts w:hint="eastAsia"/>
              </w:rPr>
              <w:t>级别</w:t>
            </w:r>
          </w:p>
        </w:tc>
        <w:tc>
          <w:tcPr>
            <w:tcW w:w="1414" w:type="dxa"/>
            <w:tcBorders>
              <w:left w:val="nil"/>
              <w:bottom w:val="single" w:color="000000" w:sz="4" w:space="0"/>
              <w:right w:val="single" w:color="000000" w:sz="4" w:space="0"/>
            </w:tcBorders>
            <w:shd w:val="clear" w:color="auto" w:fill="auto"/>
            <w:vAlign w:val="center"/>
          </w:tcPr>
          <w:p w14:paraId="5E5232CB">
            <w:pPr>
              <w:pStyle w:val="115"/>
              <w:jc w:val="center"/>
            </w:pPr>
            <w:r>
              <w:rPr>
                <w:rFonts w:hint="eastAsia"/>
              </w:rPr>
              <w:t>用地面积</w:t>
            </w:r>
            <w:r>
              <w:t>(m²)</w:t>
            </w:r>
          </w:p>
        </w:tc>
        <w:tc>
          <w:tcPr>
            <w:tcW w:w="1189" w:type="dxa"/>
            <w:tcBorders>
              <w:left w:val="nil"/>
              <w:bottom w:val="single" w:color="000000" w:sz="4" w:space="0"/>
              <w:right w:val="single" w:color="000000" w:sz="4" w:space="0"/>
            </w:tcBorders>
            <w:shd w:val="clear" w:color="auto" w:fill="auto"/>
            <w:vAlign w:val="center"/>
          </w:tcPr>
          <w:p w14:paraId="572A2E1D">
            <w:pPr>
              <w:pStyle w:val="115"/>
              <w:jc w:val="center"/>
            </w:pPr>
            <w:r>
              <w:rPr>
                <w:rFonts w:hint="eastAsia"/>
              </w:rPr>
              <w:t>建筑面积</w:t>
            </w:r>
            <w:r>
              <w:t>(m²)</w:t>
            </w:r>
          </w:p>
        </w:tc>
        <w:tc>
          <w:tcPr>
            <w:tcW w:w="1187" w:type="dxa"/>
            <w:tcBorders>
              <w:left w:val="nil"/>
              <w:bottom w:val="single" w:color="000000" w:sz="4" w:space="0"/>
            </w:tcBorders>
            <w:shd w:val="clear" w:color="auto" w:fill="auto"/>
            <w:vAlign w:val="center"/>
          </w:tcPr>
          <w:p w14:paraId="28F1A18E">
            <w:pPr>
              <w:pStyle w:val="115"/>
              <w:jc w:val="center"/>
            </w:pPr>
            <w:r>
              <w:rPr>
                <w:rFonts w:hint="eastAsia"/>
              </w:rPr>
              <w:t>规划状态</w:t>
            </w:r>
          </w:p>
        </w:tc>
      </w:tr>
      <w:tr w14:paraId="24616788">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23" w:hRule="atLeast"/>
        </w:trPr>
        <w:tc>
          <w:tcPr>
            <w:tcW w:w="558" w:type="dxa"/>
            <w:tcBorders>
              <w:top w:val="single" w:color="000000" w:sz="4" w:space="0"/>
              <w:bottom w:val="single" w:color="000000" w:sz="4" w:space="0"/>
              <w:right w:val="single" w:color="000000" w:sz="4" w:space="0"/>
            </w:tcBorders>
            <w:shd w:val="clear" w:color="auto" w:fill="auto"/>
            <w:vAlign w:val="center"/>
          </w:tcPr>
          <w:p w14:paraId="5C313C65">
            <w:pPr>
              <w:pStyle w:val="115"/>
              <w:jc w:val="center"/>
            </w:pPr>
            <w:r>
              <w:t>1</w:t>
            </w:r>
          </w:p>
        </w:tc>
        <w:tc>
          <w:tcPr>
            <w:tcW w:w="1199" w:type="dxa"/>
            <w:tcBorders>
              <w:top w:val="single" w:color="000000" w:sz="4" w:space="0"/>
              <w:left w:val="nil"/>
              <w:bottom w:val="single" w:color="000000" w:sz="4" w:space="0"/>
              <w:right w:val="single" w:color="000000" w:sz="4" w:space="0"/>
            </w:tcBorders>
            <w:shd w:val="clear" w:color="auto" w:fill="auto"/>
            <w:vAlign w:val="center"/>
          </w:tcPr>
          <w:p w14:paraId="545BE2EE">
            <w:pPr>
              <w:pStyle w:val="115"/>
              <w:jc w:val="center"/>
            </w:pPr>
            <w:r>
              <w:rPr>
                <w:rFonts w:hint="eastAsia"/>
              </w:rPr>
              <w:t>社会停车场</w:t>
            </w:r>
          </w:p>
        </w:tc>
        <w:tc>
          <w:tcPr>
            <w:tcW w:w="934" w:type="dxa"/>
            <w:tcBorders>
              <w:top w:val="single" w:color="000000" w:sz="4" w:space="0"/>
              <w:left w:val="nil"/>
              <w:bottom w:val="single" w:color="000000" w:sz="4" w:space="0"/>
              <w:right w:val="single" w:color="000000" w:sz="4" w:space="0"/>
            </w:tcBorders>
            <w:shd w:val="clear" w:color="auto" w:fill="auto"/>
            <w:vAlign w:val="center"/>
          </w:tcPr>
          <w:p w14:paraId="35E205E1">
            <w:pPr>
              <w:pStyle w:val="115"/>
              <w:jc w:val="center"/>
            </w:pPr>
            <w:r>
              <w:rPr>
                <w:rFonts w:hint="eastAsia"/>
              </w:rPr>
              <w:t>独立</w:t>
            </w:r>
          </w:p>
        </w:tc>
        <w:tc>
          <w:tcPr>
            <w:tcW w:w="1465" w:type="dxa"/>
            <w:tcBorders>
              <w:top w:val="single" w:color="000000" w:sz="4" w:space="0"/>
              <w:left w:val="nil"/>
              <w:bottom w:val="single" w:color="000000" w:sz="4" w:space="0"/>
              <w:right w:val="single" w:color="000000" w:sz="4" w:space="0"/>
            </w:tcBorders>
            <w:shd w:val="clear" w:color="auto" w:fill="auto"/>
            <w:vAlign w:val="center"/>
          </w:tcPr>
          <w:p w14:paraId="715A1E41">
            <w:pPr>
              <w:pStyle w:val="115"/>
              <w:jc w:val="center"/>
            </w:pPr>
            <w:r>
              <w:rPr>
                <w:rFonts w:hint="eastAsia"/>
              </w:rPr>
              <w:t>停车场</w:t>
            </w:r>
            <w:r>
              <w:t>1</w:t>
            </w:r>
          </w:p>
        </w:tc>
        <w:tc>
          <w:tcPr>
            <w:tcW w:w="520" w:type="dxa"/>
            <w:tcBorders>
              <w:top w:val="single" w:color="000000" w:sz="4" w:space="0"/>
              <w:left w:val="nil"/>
              <w:bottom w:val="single" w:color="000000" w:sz="4" w:space="0"/>
              <w:right w:val="single" w:color="000000" w:sz="4" w:space="0"/>
            </w:tcBorders>
            <w:shd w:val="clear" w:color="auto" w:fill="auto"/>
            <w:vAlign w:val="center"/>
          </w:tcPr>
          <w:p w14:paraId="7E0FB779">
            <w:pPr>
              <w:pStyle w:val="115"/>
              <w:jc w:val="center"/>
            </w:pPr>
            <w:r>
              <w:rPr>
                <w:rFonts w:hint="eastAsia"/>
              </w:rPr>
              <w:t>—</w:t>
            </w:r>
          </w:p>
        </w:tc>
        <w:tc>
          <w:tcPr>
            <w:tcW w:w="1414" w:type="dxa"/>
            <w:tcBorders>
              <w:top w:val="single" w:color="000000" w:sz="4" w:space="0"/>
              <w:left w:val="nil"/>
              <w:bottom w:val="single" w:color="000000" w:sz="4" w:space="0"/>
              <w:right w:val="single" w:color="000000" w:sz="4" w:space="0"/>
            </w:tcBorders>
            <w:shd w:val="clear" w:color="auto" w:fill="auto"/>
            <w:vAlign w:val="center"/>
          </w:tcPr>
          <w:p w14:paraId="5BD6C186">
            <w:pPr>
              <w:pStyle w:val="115"/>
              <w:jc w:val="center"/>
            </w:pPr>
            <w:r>
              <w:t>5216</w:t>
            </w:r>
          </w:p>
        </w:tc>
        <w:tc>
          <w:tcPr>
            <w:tcW w:w="1189" w:type="dxa"/>
            <w:tcBorders>
              <w:top w:val="single" w:color="000000" w:sz="4" w:space="0"/>
              <w:left w:val="nil"/>
              <w:bottom w:val="single" w:color="000000" w:sz="4" w:space="0"/>
              <w:right w:val="single" w:color="000000" w:sz="4" w:space="0"/>
            </w:tcBorders>
            <w:shd w:val="clear" w:color="auto" w:fill="auto"/>
            <w:vAlign w:val="center"/>
          </w:tcPr>
          <w:p w14:paraId="1E2C841A">
            <w:pPr>
              <w:pStyle w:val="115"/>
              <w:jc w:val="center"/>
            </w:pPr>
            <w:r>
              <w:rPr>
                <w:rFonts w:hint="eastAsia"/>
              </w:rPr>
              <w:t>——</w:t>
            </w:r>
          </w:p>
        </w:tc>
        <w:tc>
          <w:tcPr>
            <w:tcW w:w="1187" w:type="dxa"/>
            <w:tcBorders>
              <w:top w:val="single" w:color="000000" w:sz="4" w:space="0"/>
              <w:left w:val="nil"/>
              <w:bottom w:val="single" w:color="000000" w:sz="4" w:space="0"/>
            </w:tcBorders>
            <w:shd w:val="clear" w:color="auto" w:fill="auto"/>
            <w:vAlign w:val="center"/>
          </w:tcPr>
          <w:p w14:paraId="70552B68">
            <w:pPr>
              <w:pStyle w:val="115"/>
              <w:jc w:val="center"/>
            </w:pPr>
            <w:r>
              <w:rPr>
                <w:rFonts w:hint="eastAsia"/>
              </w:rPr>
              <w:t>规划</w:t>
            </w:r>
          </w:p>
        </w:tc>
      </w:tr>
      <w:tr w14:paraId="5CA52BA8">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23" w:hRule="atLeast"/>
        </w:trPr>
        <w:tc>
          <w:tcPr>
            <w:tcW w:w="558" w:type="dxa"/>
            <w:tcBorders>
              <w:top w:val="single" w:color="000000" w:sz="4" w:space="0"/>
              <w:bottom w:val="single" w:color="000000" w:sz="4" w:space="0"/>
              <w:right w:val="single" w:color="000000" w:sz="4" w:space="0"/>
            </w:tcBorders>
            <w:shd w:val="clear" w:color="auto" w:fill="auto"/>
            <w:vAlign w:val="center"/>
          </w:tcPr>
          <w:p w14:paraId="6763118E">
            <w:pPr>
              <w:pStyle w:val="115"/>
              <w:jc w:val="center"/>
            </w:pPr>
            <w:r>
              <w:t>2</w:t>
            </w:r>
          </w:p>
        </w:tc>
        <w:tc>
          <w:tcPr>
            <w:tcW w:w="1199" w:type="dxa"/>
            <w:tcBorders>
              <w:top w:val="single" w:color="000000" w:sz="4" w:space="0"/>
              <w:left w:val="nil"/>
              <w:bottom w:val="single" w:color="000000" w:sz="4" w:space="0"/>
              <w:right w:val="single" w:color="000000" w:sz="4" w:space="0"/>
            </w:tcBorders>
            <w:shd w:val="clear" w:color="auto" w:fill="auto"/>
            <w:vAlign w:val="center"/>
          </w:tcPr>
          <w:p w14:paraId="314F6F5D">
            <w:pPr>
              <w:pStyle w:val="115"/>
              <w:jc w:val="center"/>
            </w:pPr>
            <w:r>
              <w:rPr>
                <w:rFonts w:hint="eastAsia"/>
              </w:rPr>
              <w:t>社会停车场</w:t>
            </w:r>
          </w:p>
        </w:tc>
        <w:tc>
          <w:tcPr>
            <w:tcW w:w="934" w:type="dxa"/>
            <w:tcBorders>
              <w:top w:val="single" w:color="000000" w:sz="4" w:space="0"/>
              <w:left w:val="nil"/>
              <w:bottom w:val="single" w:color="000000" w:sz="4" w:space="0"/>
              <w:right w:val="single" w:color="000000" w:sz="4" w:space="0"/>
            </w:tcBorders>
            <w:shd w:val="clear" w:color="auto" w:fill="auto"/>
            <w:vAlign w:val="center"/>
          </w:tcPr>
          <w:p w14:paraId="269B1F8F">
            <w:pPr>
              <w:pStyle w:val="115"/>
              <w:jc w:val="center"/>
            </w:pPr>
            <w:r>
              <w:rPr>
                <w:rFonts w:hint="eastAsia"/>
              </w:rPr>
              <w:t>独立</w:t>
            </w:r>
          </w:p>
        </w:tc>
        <w:tc>
          <w:tcPr>
            <w:tcW w:w="1465" w:type="dxa"/>
            <w:tcBorders>
              <w:top w:val="single" w:color="000000" w:sz="4" w:space="0"/>
              <w:left w:val="nil"/>
              <w:bottom w:val="single" w:color="000000" w:sz="4" w:space="0"/>
              <w:right w:val="single" w:color="000000" w:sz="4" w:space="0"/>
            </w:tcBorders>
            <w:shd w:val="clear" w:color="auto" w:fill="auto"/>
            <w:vAlign w:val="center"/>
          </w:tcPr>
          <w:p w14:paraId="679A740D">
            <w:pPr>
              <w:pStyle w:val="115"/>
              <w:jc w:val="center"/>
            </w:pPr>
            <w:r>
              <w:rPr>
                <w:rFonts w:hint="eastAsia"/>
              </w:rPr>
              <w:t>停车场</w:t>
            </w:r>
            <w:r>
              <w:t>2</w:t>
            </w:r>
          </w:p>
        </w:tc>
        <w:tc>
          <w:tcPr>
            <w:tcW w:w="520" w:type="dxa"/>
            <w:tcBorders>
              <w:top w:val="single" w:color="000000" w:sz="4" w:space="0"/>
              <w:left w:val="nil"/>
              <w:bottom w:val="single" w:color="000000" w:sz="4" w:space="0"/>
              <w:right w:val="single" w:color="000000" w:sz="4" w:space="0"/>
            </w:tcBorders>
            <w:shd w:val="clear" w:color="auto" w:fill="auto"/>
            <w:vAlign w:val="center"/>
          </w:tcPr>
          <w:p w14:paraId="3577390E">
            <w:pPr>
              <w:pStyle w:val="115"/>
              <w:jc w:val="center"/>
            </w:pPr>
            <w:r>
              <w:rPr>
                <w:rFonts w:hint="eastAsia"/>
              </w:rPr>
              <w:t>—</w:t>
            </w:r>
          </w:p>
        </w:tc>
        <w:tc>
          <w:tcPr>
            <w:tcW w:w="1414" w:type="dxa"/>
            <w:tcBorders>
              <w:top w:val="single" w:color="000000" w:sz="4" w:space="0"/>
              <w:left w:val="nil"/>
              <w:bottom w:val="single" w:color="000000" w:sz="4" w:space="0"/>
              <w:right w:val="single" w:color="000000" w:sz="4" w:space="0"/>
            </w:tcBorders>
            <w:shd w:val="clear" w:color="auto" w:fill="auto"/>
            <w:vAlign w:val="center"/>
          </w:tcPr>
          <w:p w14:paraId="3073A6AC">
            <w:pPr>
              <w:pStyle w:val="115"/>
              <w:jc w:val="center"/>
            </w:pPr>
            <w:r>
              <w:t>3927</w:t>
            </w:r>
          </w:p>
        </w:tc>
        <w:tc>
          <w:tcPr>
            <w:tcW w:w="1189" w:type="dxa"/>
            <w:tcBorders>
              <w:top w:val="single" w:color="000000" w:sz="4" w:space="0"/>
              <w:left w:val="nil"/>
              <w:bottom w:val="single" w:color="000000" w:sz="4" w:space="0"/>
              <w:right w:val="single" w:color="000000" w:sz="4" w:space="0"/>
            </w:tcBorders>
            <w:shd w:val="clear" w:color="auto" w:fill="auto"/>
            <w:vAlign w:val="center"/>
          </w:tcPr>
          <w:p w14:paraId="4368D414">
            <w:pPr>
              <w:pStyle w:val="115"/>
              <w:jc w:val="center"/>
            </w:pPr>
            <w:r>
              <w:rPr>
                <w:rFonts w:hint="eastAsia"/>
              </w:rPr>
              <w:t>——</w:t>
            </w:r>
          </w:p>
        </w:tc>
        <w:tc>
          <w:tcPr>
            <w:tcW w:w="1187" w:type="dxa"/>
            <w:tcBorders>
              <w:top w:val="single" w:color="000000" w:sz="4" w:space="0"/>
              <w:left w:val="nil"/>
              <w:bottom w:val="single" w:color="000000" w:sz="4" w:space="0"/>
            </w:tcBorders>
            <w:shd w:val="clear" w:color="auto" w:fill="auto"/>
            <w:vAlign w:val="center"/>
          </w:tcPr>
          <w:p w14:paraId="6E4B1EA0">
            <w:pPr>
              <w:pStyle w:val="115"/>
              <w:jc w:val="center"/>
            </w:pPr>
            <w:r>
              <w:rPr>
                <w:rFonts w:hint="eastAsia"/>
              </w:rPr>
              <w:t>规划</w:t>
            </w:r>
          </w:p>
        </w:tc>
      </w:tr>
      <w:tr w14:paraId="06F2C81B">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23" w:hRule="atLeast"/>
        </w:trPr>
        <w:tc>
          <w:tcPr>
            <w:tcW w:w="558" w:type="dxa"/>
            <w:tcBorders>
              <w:top w:val="single" w:color="000000" w:sz="4" w:space="0"/>
              <w:bottom w:val="single" w:color="000000" w:sz="4" w:space="0"/>
              <w:right w:val="single" w:color="000000" w:sz="4" w:space="0"/>
            </w:tcBorders>
            <w:shd w:val="clear" w:color="auto" w:fill="auto"/>
            <w:vAlign w:val="center"/>
          </w:tcPr>
          <w:p w14:paraId="6DF598F3">
            <w:pPr>
              <w:pStyle w:val="115"/>
              <w:jc w:val="center"/>
            </w:pPr>
            <w:r>
              <w:t>3</w:t>
            </w:r>
          </w:p>
        </w:tc>
        <w:tc>
          <w:tcPr>
            <w:tcW w:w="1199" w:type="dxa"/>
            <w:tcBorders>
              <w:top w:val="single" w:color="000000" w:sz="4" w:space="0"/>
              <w:left w:val="nil"/>
              <w:bottom w:val="single" w:color="000000" w:sz="4" w:space="0"/>
              <w:right w:val="single" w:color="000000" w:sz="4" w:space="0"/>
            </w:tcBorders>
            <w:shd w:val="clear" w:color="auto" w:fill="auto"/>
            <w:vAlign w:val="center"/>
          </w:tcPr>
          <w:p w14:paraId="6CFFEC7B">
            <w:pPr>
              <w:pStyle w:val="115"/>
              <w:jc w:val="center"/>
            </w:pPr>
            <w:r>
              <w:rPr>
                <w:rFonts w:hint="eastAsia"/>
              </w:rPr>
              <w:t>社会停车场</w:t>
            </w:r>
          </w:p>
        </w:tc>
        <w:tc>
          <w:tcPr>
            <w:tcW w:w="934" w:type="dxa"/>
            <w:tcBorders>
              <w:top w:val="single" w:color="000000" w:sz="4" w:space="0"/>
              <w:left w:val="nil"/>
              <w:bottom w:val="single" w:color="000000" w:sz="4" w:space="0"/>
              <w:right w:val="single" w:color="000000" w:sz="4" w:space="0"/>
            </w:tcBorders>
            <w:shd w:val="clear" w:color="auto" w:fill="auto"/>
            <w:vAlign w:val="center"/>
          </w:tcPr>
          <w:p w14:paraId="1CB49579">
            <w:pPr>
              <w:pStyle w:val="115"/>
              <w:jc w:val="center"/>
            </w:pPr>
            <w:r>
              <w:rPr>
                <w:rFonts w:hint="eastAsia"/>
              </w:rPr>
              <w:t>独立</w:t>
            </w:r>
          </w:p>
        </w:tc>
        <w:tc>
          <w:tcPr>
            <w:tcW w:w="1465" w:type="dxa"/>
            <w:tcBorders>
              <w:top w:val="single" w:color="000000" w:sz="4" w:space="0"/>
              <w:left w:val="nil"/>
              <w:bottom w:val="single" w:color="000000" w:sz="4" w:space="0"/>
              <w:right w:val="single" w:color="000000" w:sz="4" w:space="0"/>
            </w:tcBorders>
            <w:shd w:val="clear" w:color="auto" w:fill="auto"/>
            <w:vAlign w:val="center"/>
          </w:tcPr>
          <w:p w14:paraId="6B3F335C">
            <w:pPr>
              <w:pStyle w:val="115"/>
              <w:jc w:val="center"/>
            </w:pPr>
            <w:r>
              <w:rPr>
                <w:rFonts w:hint="eastAsia"/>
              </w:rPr>
              <w:t>停车场</w:t>
            </w:r>
            <w:r>
              <w:t>3</w:t>
            </w:r>
          </w:p>
        </w:tc>
        <w:tc>
          <w:tcPr>
            <w:tcW w:w="520" w:type="dxa"/>
            <w:tcBorders>
              <w:top w:val="single" w:color="000000" w:sz="4" w:space="0"/>
              <w:left w:val="nil"/>
              <w:bottom w:val="single" w:color="000000" w:sz="4" w:space="0"/>
              <w:right w:val="single" w:color="000000" w:sz="4" w:space="0"/>
            </w:tcBorders>
            <w:shd w:val="clear" w:color="auto" w:fill="auto"/>
            <w:vAlign w:val="center"/>
          </w:tcPr>
          <w:p w14:paraId="3F68E825">
            <w:pPr>
              <w:pStyle w:val="115"/>
              <w:jc w:val="center"/>
            </w:pPr>
            <w:r>
              <w:rPr>
                <w:rFonts w:hint="eastAsia"/>
              </w:rPr>
              <w:t>—</w:t>
            </w:r>
          </w:p>
        </w:tc>
        <w:tc>
          <w:tcPr>
            <w:tcW w:w="1414" w:type="dxa"/>
            <w:tcBorders>
              <w:top w:val="single" w:color="000000" w:sz="4" w:space="0"/>
              <w:left w:val="nil"/>
              <w:bottom w:val="single" w:color="000000" w:sz="4" w:space="0"/>
              <w:right w:val="single" w:color="000000" w:sz="4" w:space="0"/>
            </w:tcBorders>
            <w:shd w:val="clear" w:color="auto" w:fill="auto"/>
            <w:vAlign w:val="center"/>
          </w:tcPr>
          <w:p w14:paraId="3E6B295B">
            <w:pPr>
              <w:pStyle w:val="115"/>
              <w:jc w:val="center"/>
            </w:pPr>
            <w:r>
              <w:t>2455</w:t>
            </w:r>
          </w:p>
        </w:tc>
        <w:tc>
          <w:tcPr>
            <w:tcW w:w="1189" w:type="dxa"/>
            <w:tcBorders>
              <w:top w:val="single" w:color="000000" w:sz="4" w:space="0"/>
              <w:left w:val="nil"/>
              <w:bottom w:val="single" w:color="000000" w:sz="4" w:space="0"/>
              <w:right w:val="single" w:color="000000" w:sz="4" w:space="0"/>
            </w:tcBorders>
            <w:shd w:val="clear" w:color="auto" w:fill="auto"/>
            <w:vAlign w:val="center"/>
          </w:tcPr>
          <w:p w14:paraId="6447158E">
            <w:pPr>
              <w:pStyle w:val="115"/>
              <w:jc w:val="center"/>
            </w:pPr>
            <w:r>
              <w:rPr>
                <w:rFonts w:hint="eastAsia"/>
              </w:rPr>
              <w:t>——</w:t>
            </w:r>
          </w:p>
        </w:tc>
        <w:tc>
          <w:tcPr>
            <w:tcW w:w="1187" w:type="dxa"/>
            <w:tcBorders>
              <w:top w:val="single" w:color="000000" w:sz="4" w:space="0"/>
              <w:left w:val="nil"/>
              <w:bottom w:val="single" w:color="000000" w:sz="4" w:space="0"/>
            </w:tcBorders>
            <w:shd w:val="clear" w:color="auto" w:fill="auto"/>
            <w:vAlign w:val="center"/>
          </w:tcPr>
          <w:p w14:paraId="2FB59D33">
            <w:pPr>
              <w:pStyle w:val="115"/>
              <w:jc w:val="center"/>
            </w:pPr>
            <w:r>
              <w:rPr>
                <w:rFonts w:hint="eastAsia"/>
              </w:rPr>
              <w:t>规划</w:t>
            </w:r>
          </w:p>
        </w:tc>
      </w:tr>
      <w:tr w14:paraId="7C38FBF2">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23" w:hRule="atLeast"/>
        </w:trPr>
        <w:tc>
          <w:tcPr>
            <w:tcW w:w="558" w:type="dxa"/>
            <w:tcBorders>
              <w:top w:val="single" w:color="000000" w:sz="4" w:space="0"/>
              <w:bottom w:val="single" w:color="000000" w:sz="4" w:space="0"/>
              <w:right w:val="single" w:color="000000" w:sz="4" w:space="0"/>
            </w:tcBorders>
            <w:shd w:val="clear" w:color="auto" w:fill="auto"/>
            <w:vAlign w:val="center"/>
          </w:tcPr>
          <w:p w14:paraId="302FD9B6">
            <w:pPr>
              <w:pStyle w:val="115"/>
              <w:jc w:val="center"/>
            </w:pPr>
            <w:r>
              <w:t>4</w:t>
            </w:r>
          </w:p>
        </w:tc>
        <w:tc>
          <w:tcPr>
            <w:tcW w:w="1199" w:type="dxa"/>
            <w:tcBorders>
              <w:top w:val="single" w:color="000000" w:sz="4" w:space="0"/>
              <w:left w:val="nil"/>
              <w:bottom w:val="single" w:color="000000" w:sz="4" w:space="0"/>
              <w:right w:val="single" w:color="000000" w:sz="4" w:space="0"/>
            </w:tcBorders>
            <w:shd w:val="clear" w:color="auto" w:fill="auto"/>
            <w:vAlign w:val="center"/>
          </w:tcPr>
          <w:p w14:paraId="5866D2DF">
            <w:pPr>
              <w:pStyle w:val="115"/>
              <w:jc w:val="center"/>
            </w:pPr>
            <w:r>
              <w:rPr>
                <w:rFonts w:hint="eastAsia"/>
              </w:rPr>
              <w:t>社会停车场</w:t>
            </w:r>
          </w:p>
        </w:tc>
        <w:tc>
          <w:tcPr>
            <w:tcW w:w="934" w:type="dxa"/>
            <w:tcBorders>
              <w:top w:val="single" w:color="000000" w:sz="4" w:space="0"/>
              <w:left w:val="nil"/>
              <w:bottom w:val="single" w:color="000000" w:sz="4" w:space="0"/>
              <w:right w:val="single" w:color="000000" w:sz="4" w:space="0"/>
            </w:tcBorders>
            <w:shd w:val="clear" w:color="auto" w:fill="auto"/>
            <w:vAlign w:val="center"/>
          </w:tcPr>
          <w:p w14:paraId="573AFAD1">
            <w:pPr>
              <w:pStyle w:val="115"/>
              <w:jc w:val="center"/>
            </w:pPr>
            <w:r>
              <w:rPr>
                <w:rFonts w:hint="eastAsia"/>
              </w:rPr>
              <w:t>独立</w:t>
            </w:r>
          </w:p>
        </w:tc>
        <w:tc>
          <w:tcPr>
            <w:tcW w:w="1465" w:type="dxa"/>
            <w:tcBorders>
              <w:top w:val="single" w:color="000000" w:sz="4" w:space="0"/>
              <w:left w:val="nil"/>
              <w:bottom w:val="single" w:color="000000" w:sz="4" w:space="0"/>
              <w:right w:val="single" w:color="000000" w:sz="4" w:space="0"/>
            </w:tcBorders>
            <w:shd w:val="clear" w:color="auto" w:fill="auto"/>
            <w:vAlign w:val="center"/>
          </w:tcPr>
          <w:p w14:paraId="53E5C323">
            <w:pPr>
              <w:pStyle w:val="115"/>
              <w:jc w:val="center"/>
            </w:pPr>
            <w:r>
              <w:rPr>
                <w:rFonts w:hint="eastAsia"/>
              </w:rPr>
              <w:t>停车场</w:t>
            </w:r>
            <w:r>
              <w:t>4</w:t>
            </w:r>
          </w:p>
        </w:tc>
        <w:tc>
          <w:tcPr>
            <w:tcW w:w="520" w:type="dxa"/>
            <w:tcBorders>
              <w:top w:val="single" w:color="000000" w:sz="4" w:space="0"/>
              <w:left w:val="nil"/>
              <w:bottom w:val="single" w:color="000000" w:sz="4" w:space="0"/>
              <w:right w:val="single" w:color="000000" w:sz="4" w:space="0"/>
            </w:tcBorders>
            <w:shd w:val="clear" w:color="auto" w:fill="auto"/>
            <w:vAlign w:val="center"/>
          </w:tcPr>
          <w:p w14:paraId="70BE1302">
            <w:pPr>
              <w:pStyle w:val="115"/>
              <w:jc w:val="center"/>
            </w:pPr>
            <w:r>
              <w:rPr>
                <w:rFonts w:hint="eastAsia"/>
              </w:rPr>
              <w:t>—</w:t>
            </w:r>
          </w:p>
        </w:tc>
        <w:tc>
          <w:tcPr>
            <w:tcW w:w="1414" w:type="dxa"/>
            <w:tcBorders>
              <w:top w:val="single" w:color="000000" w:sz="4" w:space="0"/>
              <w:left w:val="nil"/>
              <w:bottom w:val="single" w:color="000000" w:sz="4" w:space="0"/>
              <w:right w:val="single" w:color="000000" w:sz="4" w:space="0"/>
            </w:tcBorders>
            <w:shd w:val="clear" w:color="auto" w:fill="auto"/>
            <w:vAlign w:val="center"/>
          </w:tcPr>
          <w:p w14:paraId="16927202">
            <w:pPr>
              <w:pStyle w:val="115"/>
              <w:jc w:val="center"/>
            </w:pPr>
            <w:r>
              <w:t>3597</w:t>
            </w:r>
          </w:p>
        </w:tc>
        <w:tc>
          <w:tcPr>
            <w:tcW w:w="1189" w:type="dxa"/>
            <w:tcBorders>
              <w:top w:val="single" w:color="000000" w:sz="4" w:space="0"/>
              <w:left w:val="nil"/>
              <w:bottom w:val="single" w:color="000000" w:sz="4" w:space="0"/>
              <w:right w:val="single" w:color="000000" w:sz="4" w:space="0"/>
            </w:tcBorders>
            <w:shd w:val="clear" w:color="auto" w:fill="auto"/>
            <w:vAlign w:val="center"/>
          </w:tcPr>
          <w:p w14:paraId="5E19D7E2">
            <w:pPr>
              <w:pStyle w:val="115"/>
              <w:jc w:val="center"/>
            </w:pPr>
            <w:r>
              <w:rPr>
                <w:rFonts w:hint="eastAsia"/>
              </w:rPr>
              <w:t>——</w:t>
            </w:r>
          </w:p>
        </w:tc>
        <w:tc>
          <w:tcPr>
            <w:tcW w:w="1187" w:type="dxa"/>
            <w:tcBorders>
              <w:top w:val="single" w:color="000000" w:sz="4" w:space="0"/>
              <w:left w:val="nil"/>
              <w:bottom w:val="single" w:color="000000" w:sz="4" w:space="0"/>
            </w:tcBorders>
            <w:shd w:val="clear" w:color="auto" w:fill="auto"/>
            <w:vAlign w:val="center"/>
          </w:tcPr>
          <w:p w14:paraId="6EAD9E22">
            <w:pPr>
              <w:pStyle w:val="115"/>
              <w:jc w:val="center"/>
            </w:pPr>
            <w:r>
              <w:rPr>
                <w:rFonts w:hint="eastAsia"/>
              </w:rPr>
              <w:t>规划</w:t>
            </w:r>
          </w:p>
        </w:tc>
      </w:tr>
      <w:tr w14:paraId="36C72627">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23" w:hRule="atLeast"/>
        </w:trPr>
        <w:tc>
          <w:tcPr>
            <w:tcW w:w="558" w:type="dxa"/>
            <w:tcBorders>
              <w:top w:val="single" w:color="000000" w:sz="4" w:space="0"/>
              <w:bottom w:val="single" w:color="000000" w:sz="4" w:space="0"/>
              <w:right w:val="single" w:color="000000" w:sz="4" w:space="0"/>
            </w:tcBorders>
            <w:shd w:val="clear" w:color="auto" w:fill="auto"/>
            <w:vAlign w:val="center"/>
          </w:tcPr>
          <w:p w14:paraId="3CA28D51">
            <w:pPr>
              <w:pStyle w:val="115"/>
              <w:jc w:val="center"/>
            </w:pPr>
            <w:r>
              <w:t>5</w:t>
            </w:r>
          </w:p>
        </w:tc>
        <w:tc>
          <w:tcPr>
            <w:tcW w:w="1199" w:type="dxa"/>
            <w:tcBorders>
              <w:top w:val="single" w:color="000000" w:sz="4" w:space="0"/>
              <w:left w:val="nil"/>
              <w:bottom w:val="single" w:color="000000" w:sz="4" w:space="0"/>
              <w:right w:val="single" w:color="000000" w:sz="4" w:space="0"/>
            </w:tcBorders>
            <w:shd w:val="clear" w:color="auto" w:fill="auto"/>
            <w:vAlign w:val="center"/>
          </w:tcPr>
          <w:p w14:paraId="0A25652A">
            <w:pPr>
              <w:pStyle w:val="115"/>
              <w:jc w:val="center"/>
            </w:pPr>
            <w:r>
              <w:rPr>
                <w:rFonts w:hint="eastAsia"/>
              </w:rPr>
              <w:t>社会停车场</w:t>
            </w:r>
          </w:p>
        </w:tc>
        <w:tc>
          <w:tcPr>
            <w:tcW w:w="934" w:type="dxa"/>
            <w:tcBorders>
              <w:top w:val="single" w:color="000000" w:sz="4" w:space="0"/>
              <w:left w:val="nil"/>
              <w:bottom w:val="single" w:color="000000" w:sz="4" w:space="0"/>
              <w:right w:val="single" w:color="000000" w:sz="4" w:space="0"/>
            </w:tcBorders>
            <w:shd w:val="clear" w:color="auto" w:fill="auto"/>
            <w:vAlign w:val="center"/>
          </w:tcPr>
          <w:p w14:paraId="41B31D72">
            <w:pPr>
              <w:pStyle w:val="115"/>
              <w:jc w:val="center"/>
            </w:pPr>
            <w:r>
              <w:rPr>
                <w:rFonts w:hint="eastAsia"/>
              </w:rPr>
              <w:t>独立</w:t>
            </w:r>
          </w:p>
        </w:tc>
        <w:tc>
          <w:tcPr>
            <w:tcW w:w="1465" w:type="dxa"/>
            <w:tcBorders>
              <w:top w:val="single" w:color="000000" w:sz="4" w:space="0"/>
              <w:left w:val="nil"/>
              <w:bottom w:val="single" w:color="000000" w:sz="4" w:space="0"/>
              <w:right w:val="single" w:color="000000" w:sz="4" w:space="0"/>
            </w:tcBorders>
            <w:shd w:val="clear" w:color="auto" w:fill="auto"/>
            <w:vAlign w:val="center"/>
          </w:tcPr>
          <w:p w14:paraId="72E74485">
            <w:pPr>
              <w:pStyle w:val="115"/>
              <w:jc w:val="center"/>
            </w:pPr>
            <w:r>
              <w:rPr>
                <w:rFonts w:hint="eastAsia"/>
              </w:rPr>
              <w:t>停车场</w:t>
            </w:r>
            <w:r>
              <w:t>5</w:t>
            </w:r>
          </w:p>
        </w:tc>
        <w:tc>
          <w:tcPr>
            <w:tcW w:w="520" w:type="dxa"/>
            <w:tcBorders>
              <w:top w:val="single" w:color="000000" w:sz="4" w:space="0"/>
              <w:left w:val="nil"/>
              <w:bottom w:val="single" w:color="000000" w:sz="4" w:space="0"/>
              <w:right w:val="single" w:color="000000" w:sz="4" w:space="0"/>
            </w:tcBorders>
            <w:shd w:val="clear" w:color="auto" w:fill="auto"/>
            <w:vAlign w:val="center"/>
          </w:tcPr>
          <w:p w14:paraId="271E8E62">
            <w:pPr>
              <w:pStyle w:val="115"/>
              <w:jc w:val="center"/>
            </w:pPr>
            <w:r>
              <w:rPr>
                <w:rFonts w:hint="eastAsia"/>
              </w:rPr>
              <w:t>—</w:t>
            </w:r>
          </w:p>
        </w:tc>
        <w:tc>
          <w:tcPr>
            <w:tcW w:w="1414" w:type="dxa"/>
            <w:tcBorders>
              <w:top w:val="single" w:color="000000" w:sz="4" w:space="0"/>
              <w:left w:val="nil"/>
              <w:bottom w:val="single" w:color="000000" w:sz="4" w:space="0"/>
              <w:right w:val="single" w:color="000000" w:sz="4" w:space="0"/>
            </w:tcBorders>
            <w:shd w:val="clear" w:color="auto" w:fill="auto"/>
            <w:vAlign w:val="center"/>
          </w:tcPr>
          <w:p w14:paraId="5026606C">
            <w:pPr>
              <w:pStyle w:val="115"/>
              <w:jc w:val="center"/>
            </w:pPr>
            <w:r>
              <w:t>1551</w:t>
            </w:r>
          </w:p>
        </w:tc>
        <w:tc>
          <w:tcPr>
            <w:tcW w:w="1189" w:type="dxa"/>
            <w:tcBorders>
              <w:top w:val="single" w:color="000000" w:sz="4" w:space="0"/>
              <w:left w:val="nil"/>
              <w:bottom w:val="single" w:color="000000" w:sz="4" w:space="0"/>
              <w:right w:val="single" w:color="000000" w:sz="4" w:space="0"/>
            </w:tcBorders>
            <w:shd w:val="clear" w:color="auto" w:fill="auto"/>
            <w:vAlign w:val="center"/>
          </w:tcPr>
          <w:p w14:paraId="19E15174">
            <w:pPr>
              <w:pStyle w:val="115"/>
              <w:jc w:val="center"/>
            </w:pPr>
            <w:r>
              <w:rPr>
                <w:rFonts w:hint="eastAsia"/>
              </w:rPr>
              <w:t>——</w:t>
            </w:r>
          </w:p>
        </w:tc>
        <w:tc>
          <w:tcPr>
            <w:tcW w:w="1187" w:type="dxa"/>
            <w:tcBorders>
              <w:top w:val="single" w:color="000000" w:sz="4" w:space="0"/>
              <w:left w:val="nil"/>
              <w:bottom w:val="single" w:color="000000" w:sz="4" w:space="0"/>
            </w:tcBorders>
            <w:shd w:val="clear" w:color="auto" w:fill="auto"/>
            <w:vAlign w:val="center"/>
          </w:tcPr>
          <w:p w14:paraId="5A6E74D3">
            <w:pPr>
              <w:pStyle w:val="115"/>
              <w:jc w:val="center"/>
            </w:pPr>
            <w:r>
              <w:rPr>
                <w:rFonts w:hint="eastAsia"/>
              </w:rPr>
              <w:t>规划</w:t>
            </w:r>
          </w:p>
        </w:tc>
      </w:tr>
      <w:tr w14:paraId="6BB1545E">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23" w:hRule="atLeast"/>
        </w:trPr>
        <w:tc>
          <w:tcPr>
            <w:tcW w:w="558" w:type="dxa"/>
            <w:tcBorders>
              <w:top w:val="single" w:color="000000" w:sz="4" w:space="0"/>
              <w:bottom w:val="single" w:color="000000" w:sz="4" w:space="0"/>
              <w:right w:val="single" w:color="000000" w:sz="4" w:space="0"/>
            </w:tcBorders>
            <w:shd w:val="clear" w:color="auto" w:fill="auto"/>
            <w:vAlign w:val="center"/>
          </w:tcPr>
          <w:p w14:paraId="2CDF7624">
            <w:pPr>
              <w:pStyle w:val="115"/>
              <w:jc w:val="center"/>
            </w:pPr>
            <w:r>
              <w:t>6</w:t>
            </w:r>
          </w:p>
        </w:tc>
        <w:tc>
          <w:tcPr>
            <w:tcW w:w="1199" w:type="dxa"/>
            <w:tcBorders>
              <w:top w:val="single" w:color="000000" w:sz="4" w:space="0"/>
              <w:left w:val="nil"/>
              <w:bottom w:val="single" w:color="000000" w:sz="4" w:space="0"/>
              <w:right w:val="single" w:color="000000" w:sz="4" w:space="0"/>
            </w:tcBorders>
            <w:shd w:val="clear" w:color="auto" w:fill="auto"/>
            <w:vAlign w:val="center"/>
          </w:tcPr>
          <w:p w14:paraId="1F2F95F3">
            <w:pPr>
              <w:pStyle w:val="115"/>
              <w:jc w:val="center"/>
            </w:pPr>
            <w:r>
              <w:rPr>
                <w:rFonts w:hint="eastAsia"/>
              </w:rPr>
              <w:t>社会停车场</w:t>
            </w:r>
          </w:p>
        </w:tc>
        <w:tc>
          <w:tcPr>
            <w:tcW w:w="934" w:type="dxa"/>
            <w:tcBorders>
              <w:top w:val="single" w:color="000000" w:sz="4" w:space="0"/>
              <w:left w:val="nil"/>
              <w:bottom w:val="single" w:color="000000" w:sz="4" w:space="0"/>
              <w:right w:val="single" w:color="000000" w:sz="4" w:space="0"/>
            </w:tcBorders>
            <w:shd w:val="clear" w:color="auto" w:fill="auto"/>
            <w:vAlign w:val="center"/>
          </w:tcPr>
          <w:p w14:paraId="59F233A2">
            <w:pPr>
              <w:pStyle w:val="115"/>
              <w:jc w:val="center"/>
            </w:pPr>
            <w:r>
              <w:rPr>
                <w:rFonts w:hint="eastAsia"/>
              </w:rPr>
              <w:t>独立</w:t>
            </w:r>
          </w:p>
        </w:tc>
        <w:tc>
          <w:tcPr>
            <w:tcW w:w="1465" w:type="dxa"/>
            <w:tcBorders>
              <w:top w:val="single" w:color="000000" w:sz="4" w:space="0"/>
              <w:left w:val="nil"/>
              <w:bottom w:val="single" w:color="000000" w:sz="4" w:space="0"/>
              <w:right w:val="single" w:color="000000" w:sz="4" w:space="0"/>
            </w:tcBorders>
            <w:shd w:val="clear" w:color="auto" w:fill="auto"/>
            <w:vAlign w:val="center"/>
          </w:tcPr>
          <w:p w14:paraId="10969D06">
            <w:pPr>
              <w:pStyle w:val="115"/>
              <w:jc w:val="center"/>
            </w:pPr>
            <w:r>
              <w:rPr>
                <w:rFonts w:hint="eastAsia"/>
              </w:rPr>
              <w:t>停车场</w:t>
            </w:r>
            <w:r>
              <w:t>6</w:t>
            </w:r>
          </w:p>
        </w:tc>
        <w:tc>
          <w:tcPr>
            <w:tcW w:w="520" w:type="dxa"/>
            <w:tcBorders>
              <w:top w:val="single" w:color="000000" w:sz="4" w:space="0"/>
              <w:left w:val="nil"/>
              <w:bottom w:val="single" w:color="000000" w:sz="4" w:space="0"/>
              <w:right w:val="single" w:color="000000" w:sz="4" w:space="0"/>
            </w:tcBorders>
            <w:shd w:val="clear" w:color="auto" w:fill="auto"/>
            <w:vAlign w:val="center"/>
          </w:tcPr>
          <w:p w14:paraId="41DA37CF">
            <w:pPr>
              <w:pStyle w:val="115"/>
              <w:jc w:val="center"/>
            </w:pPr>
            <w:r>
              <w:rPr>
                <w:rFonts w:hint="eastAsia"/>
              </w:rPr>
              <w:t>—</w:t>
            </w:r>
          </w:p>
        </w:tc>
        <w:tc>
          <w:tcPr>
            <w:tcW w:w="1414" w:type="dxa"/>
            <w:tcBorders>
              <w:top w:val="single" w:color="000000" w:sz="4" w:space="0"/>
              <w:left w:val="nil"/>
              <w:bottom w:val="single" w:color="000000" w:sz="4" w:space="0"/>
              <w:right w:val="single" w:color="000000" w:sz="4" w:space="0"/>
            </w:tcBorders>
            <w:shd w:val="clear" w:color="auto" w:fill="auto"/>
            <w:vAlign w:val="center"/>
          </w:tcPr>
          <w:p w14:paraId="4F63E378">
            <w:pPr>
              <w:pStyle w:val="115"/>
              <w:jc w:val="center"/>
            </w:pPr>
            <w:r>
              <w:t>2912</w:t>
            </w:r>
          </w:p>
        </w:tc>
        <w:tc>
          <w:tcPr>
            <w:tcW w:w="1189" w:type="dxa"/>
            <w:tcBorders>
              <w:top w:val="single" w:color="000000" w:sz="4" w:space="0"/>
              <w:left w:val="nil"/>
              <w:bottom w:val="single" w:color="000000" w:sz="4" w:space="0"/>
              <w:right w:val="single" w:color="000000" w:sz="4" w:space="0"/>
            </w:tcBorders>
            <w:shd w:val="clear" w:color="auto" w:fill="auto"/>
            <w:vAlign w:val="center"/>
          </w:tcPr>
          <w:p w14:paraId="596FEDD2">
            <w:pPr>
              <w:pStyle w:val="115"/>
              <w:jc w:val="center"/>
            </w:pPr>
            <w:r>
              <w:rPr>
                <w:rFonts w:hint="eastAsia"/>
              </w:rPr>
              <w:t>——</w:t>
            </w:r>
          </w:p>
        </w:tc>
        <w:tc>
          <w:tcPr>
            <w:tcW w:w="1187" w:type="dxa"/>
            <w:tcBorders>
              <w:top w:val="single" w:color="000000" w:sz="4" w:space="0"/>
              <w:left w:val="nil"/>
              <w:bottom w:val="single" w:color="000000" w:sz="4" w:space="0"/>
            </w:tcBorders>
            <w:shd w:val="clear" w:color="auto" w:fill="auto"/>
            <w:vAlign w:val="center"/>
          </w:tcPr>
          <w:p w14:paraId="44BE6B11">
            <w:pPr>
              <w:pStyle w:val="115"/>
              <w:jc w:val="center"/>
            </w:pPr>
            <w:r>
              <w:rPr>
                <w:rFonts w:hint="eastAsia"/>
              </w:rPr>
              <w:t>现状</w:t>
            </w:r>
          </w:p>
        </w:tc>
      </w:tr>
      <w:tr w14:paraId="76E3F0BD">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23" w:hRule="atLeast"/>
        </w:trPr>
        <w:tc>
          <w:tcPr>
            <w:tcW w:w="558" w:type="dxa"/>
            <w:tcBorders>
              <w:top w:val="single" w:color="000000" w:sz="4" w:space="0"/>
              <w:bottom w:val="single" w:color="000000" w:sz="4" w:space="0"/>
              <w:right w:val="single" w:color="000000" w:sz="4" w:space="0"/>
            </w:tcBorders>
            <w:shd w:val="clear" w:color="auto" w:fill="auto"/>
            <w:vAlign w:val="center"/>
          </w:tcPr>
          <w:p w14:paraId="7C266AD9">
            <w:pPr>
              <w:pStyle w:val="115"/>
              <w:jc w:val="center"/>
            </w:pPr>
            <w:r>
              <w:t>7</w:t>
            </w:r>
          </w:p>
        </w:tc>
        <w:tc>
          <w:tcPr>
            <w:tcW w:w="1199" w:type="dxa"/>
            <w:tcBorders>
              <w:top w:val="single" w:color="000000" w:sz="4" w:space="0"/>
              <w:left w:val="nil"/>
              <w:bottom w:val="single" w:color="000000" w:sz="4" w:space="0"/>
              <w:right w:val="single" w:color="000000" w:sz="4" w:space="0"/>
            </w:tcBorders>
            <w:shd w:val="clear" w:color="auto" w:fill="auto"/>
            <w:vAlign w:val="center"/>
          </w:tcPr>
          <w:p w14:paraId="2DB14967">
            <w:pPr>
              <w:pStyle w:val="115"/>
              <w:jc w:val="center"/>
            </w:pPr>
            <w:r>
              <w:rPr>
                <w:rFonts w:hint="eastAsia"/>
              </w:rPr>
              <w:t>社会停车场</w:t>
            </w:r>
          </w:p>
        </w:tc>
        <w:tc>
          <w:tcPr>
            <w:tcW w:w="934" w:type="dxa"/>
            <w:tcBorders>
              <w:top w:val="single" w:color="000000" w:sz="4" w:space="0"/>
              <w:left w:val="nil"/>
              <w:bottom w:val="single" w:color="000000" w:sz="4" w:space="0"/>
              <w:right w:val="single" w:color="000000" w:sz="4" w:space="0"/>
            </w:tcBorders>
            <w:shd w:val="clear" w:color="auto" w:fill="auto"/>
            <w:vAlign w:val="center"/>
          </w:tcPr>
          <w:p w14:paraId="555F568C">
            <w:pPr>
              <w:pStyle w:val="115"/>
              <w:jc w:val="center"/>
            </w:pPr>
            <w:r>
              <w:rPr>
                <w:rFonts w:hint="eastAsia"/>
              </w:rPr>
              <w:t>独立</w:t>
            </w:r>
          </w:p>
        </w:tc>
        <w:tc>
          <w:tcPr>
            <w:tcW w:w="1465" w:type="dxa"/>
            <w:tcBorders>
              <w:top w:val="single" w:color="000000" w:sz="4" w:space="0"/>
              <w:left w:val="nil"/>
              <w:bottom w:val="single" w:color="000000" w:sz="4" w:space="0"/>
              <w:right w:val="single" w:color="000000" w:sz="4" w:space="0"/>
            </w:tcBorders>
            <w:shd w:val="clear" w:color="auto" w:fill="auto"/>
            <w:vAlign w:val="center"/>
          </w:tcPr>
          <w:p w14:paraId="606292CE">
            <w:pPr>
              <w:pStyle w:val="115"/>
              <w:jc w:val="center"/>
            </w:pPr>
            <w:r>
              <w:rPr>
                <w:rFonts w:hint="eastAsia"/>
              </w:rPr>
              <w:t>停车场</w:t>
            </w:r>
            <w:r>
              <w:t>7</w:t>
            </w:r>
          </w:p>
        </w:tc>
        <w:tc>
          <w:tcPr>
            <w:tcW w:w="520" w:type="dxa"/>
            <w:tcBorders>
              <w:top w:val="single" w:color="000000" w:sz="4" w:space="0"/>
              <w:left w:val="nil"/>
              <w:bottom w:val="single" w:color="000000" w:sz="4" w:space="0"/>
              <w:right w:val="single" w:color="000000" w:sz="4" w:space="0"/>
            </w:tcBorders>
            <w:shd w:val="clear" w:color="auto" w:fill="auto"/>
            <w:vAlign w:val="center"/>
          </w:tcPr>
          <w:p w14:paraId="6AE8D6C2">
            <w:pPr>
              <w:pStyle w:val="115"/>
              <w:jc w:val="center"/>
            </w:pPr>
            <w:r>
              <w:rPr>
                <w:rFonts w:hint="eastAsia"/>
              </w:rPr>
              <w:t>—</w:t>
            </w:r>
          </w:p>
        </w:tc>
        <w:tc>
          <w:tcPr>
            <w:tcW w:w="1414" w:type="dxa"/>
            <w:tcBorders>
              <w:top w:val="single" w:color="000000" w:sz="4" w:space="0"/>
              <w:left w:val="nil"/>
              <w:bottom w:val="single" w:color="000000" w:sz="4" w:space="0"/>
              <w:right w:val="single" w:color="000000" w:sz="4" w:space="0"/>
            </w:tcBorders>
            <w:shd w:val="clear" w:color="auto" w:fill="auto"/>
            <w:vAlign w:val="center"/>
          </w:tcPr>
          <w:p w14:paraId="5767938E">
            <w:pPr>
              <w:pStyle w:val="115"/>
              <w:jc w:val="center"/>
            </w:pPr>
            <w:r>
              <w:t>2870</w:t>
            </w:r>
          </w:p>
        </w:tc>
        <w:tc>
          <w:tcPr>
            <w:tcW w:w="1189" w:type="dxa"/>
            <w:tcBorders>
              <w:top w:val="single" w:color="000000" w:sz="4" w:space="0"/>
              <w:left w:val="nil"/>
              <w:bottom w:val="single" w:color="000000" w:sz="4" w:space="0"/>
              <w:right w:val="single" w:color="000000" w:sz="4" w:space="0"/>
            </w:tcBorders>
            <w:shd w:val="clear" w:color="auto" w:fill="auto"/>
            <w:vAlign w:val="center"/>
          </w:tcPr>
          <w:p w14:paraId="723B1459">
            <w:pPr>
              <w:pStyle w:val="115"/>
              <w:jc w:val="center"/>
            </w:pPr>
            <w:r>
              <w:rPr>
                <w:rFonts w:hint="eastAsia"/>
              </w:rPr>
              <w:t>——</w:t>
            </w:r>
          </w:p>
        </w:tc>
        <w:tc>
          <w:tcPr>
            <w:tcW w:w="1187" w:type="dxa"/>
            <w:tcBorders>
              <w:top w:val="single" w:color="000000" w:sz="4" w:space="0"/>
              <w:left w:val="nil"/>
              <w:bottom w:val="single" w:color="000000" w:sz="4" w:space="0"/>
            </w:tcBorders>
            <w:shd w:val="clear" w:color="auto" w:fill="auto"/>
            <w:vAlign w:val="center"/>
          </w:tcPr>
          <w:p w14:paraId="5DB2379D">
            <w:pPr>
              <w:pStyle w:val="115"/>
              <w:jc w:val="center"/>
            </w:pPr>
            <w:r>
              <w:rPr>
                <w:rFonts w:hint="eastAsia"/>
              </w:rPr>
              <w:t>规划</w:t>
            </w:r>
          </w:p>
        </w:tc>
      </w:tr>
      <w:tr w14:paraId="6C907FD1">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23" w:hRule="atLeast"/>
        </w:trPr>
        <w:tc>
          <w:tcPr>
            <w:tcW w:w="558" w:type="dxa"/>
            <w:tcBorders>
              <w:top w:val="single" w:color="000000" w:sz="4" w:space="0"/>
              <w:bottom w:val="single" w:color="000000" w:sz="4" w:space="0"/>
              <w:right w:val="single" w:color="000000" w:sz="4" w:space="0"/>
            </w:tcBorders>
            <w:shd w:val="clear" w:color="auto" w:fill="auto"/>
            <w:vAlign w:val="center"/>
          </w:tcPr>
          <w:p w14:paraId="2B9B14BE">
            <w:pPr>
              <w:pStyle w:val="115"/>
              <w:jc w:val="center"/>
            </w:pPr>
            <w:r>
              <w:t>8</w:t>
            </w:r>
          </w:p>
        </w:tc>
        <w:tc>
          <w:tcPr>
            <w:tcW w:w="1199" w:type="dxa"/>
            <w:tcBorders>
              <w:top w:val="single" w:color="000000" w:sz="4" w:space="0"/>
              <w:left w:val="nil"/>
              <w:bottom w:val="single" w:color="000000" w:sz="4" w:space="0"/>
              <w:right w:val="single" w:color="000000" w:sz="4" w:space="0"/>
            </w:tcBorders>
            <w:shd w:val="clear" w:color="auto" w:fill="auto"/>
            <w:vAlign w:val="center"/>
          </w:tcPr>
          <w:p w14:paraId="4DA365AE">
            <w:pPr>
              <w:pStyle w:val="115"/>
              <w:jc w:val="center"/>
            </w:pPr>
            <w:r>
              <w:rPr>
                <w:rFonts w:hint="eastAsia"/>
              </w:rPr>
              <w:t>社会停车场</w:t>
            </w:r>
          </w:p>
        </w:tc>
        <w:tc>
          <w:tcPr>
            <w:tcW w:w="934" w:type="dxa"/>
            <w:tcBorders>
              <w:top w:val="single" w:color="000000" w:sz="4" w:space="0"/>
              <w:left w:val="nil"/>
              <w:bottom w:val="single" w:color="000000" w:sz="4" w:space="0"/>
              <w:right w:val="single" w:color="000000" w:sz="4" w:space="0"/>
            </w:tcBorders>
            <w:shd w:val="clear" w:color="auto" w:fill="auto"/>
            <w:vAlign w:val="center"/>
          </w:tcPr>
          <w:p w14:paraId="365F23B3">
            <w:pPr>
              <w:pStyle w:val="115"/>
              <w:jc w:val="center"/>
            </w:pPr>
            <w:r>
              <w:rPr>
                <w:rFonts w:hint="eastAsia"/>
              </w:rPr>
              <w:t>独立</w:t>
            </w:r>
          </w:p>
        </w:tc>
        <w:tc>
          <w:tcPr>
            <w:tcW w:w="1465" w:type="dxa"/>
            <w:tcBorders>
              <w:top w:val="single" w:color="000000" w:sz="4" w:space="0"/>
              <w:left w:val="nil"/>
              <w:bottom w:val="single" w:color="000000" w:sz="4" w:space="0"/>
              <w:right w:val="single" w:color="000000" w:sz="4" w:space="0"/>
            </w:tcBorders>
            <w:shd w:val="clear" w:color="auto" w:fill="auto"/>
            <w:vAlign w:val="center"/>
          </w:tcPr>
          <w:p w14:paraId="030026D5">
            <w:pPr>
              <w:pStyle w:val="115"/>
              <w:jc w:val="center"/>
            </w:pPr>
            <w:r>
              <w:rPr>
                <w:rFonts w:hint="eastAsia"/>
              </w:rPr>
              <w:t>停车场</w:t>
            </w:r>
            <w:r>
              <w:t>8</w:t>
            </w:r>
          </w:p>
        </w:tc>
        <w:tc>
          <w:tcPr>
            <w:tcW w:w="520" w:type="dxa"/>
            <w:tcBorders>
              <w:top w:val="single" w:color="000000" w:sz="4" w:space="0"/>
              <w:left w:val="nil"/>
              <w:bottom w:val="single" w:color="000000" w:sz="4" w:space="0"/>
              <w:right w:val="single" w:color="000000" w:sz="4" w:space="0"/>
            </w:tcBorders>
            <w:shd w:val="clear" w:color="auto" w:fill="auto"/>
            <w:vAlign w:val="center"/>
          </w:tcPr>
          <w:p w14:paraId="6639FACB">
            <w:pPr>
              <w:pStyle w:val="115"/>
              <w:jc w:val="center"/>
            </w:pPr>
            <w:r>
              <w:rPr>
                <w:rFonts w:hint="eastAsia"/>
              </w:rPr>
              <w:t>—</w:t>
            </w:r>
          </w:p>
        </w:tc>
        <w:tc>
          <w:tcPr>
            <w:tcW w:w="1414" w:type="dxa"/>
            <w:tcBorders>
              <w:top w:val="single" w:color="000000" w:sz="4" w:space="0"/>
              <w:left w:val="nil"/>
              <w:bottom w:val="single" w:color="000000" w:sz="4" w:space="0"/>
              <w:right w:val="single" w:color="000000" w:sz="4" w:space="0"/>
            </w:tcBorders>
            <w:shd w:val="clear" w:color="auto" w:fill="auto"/>
            <w:vAlign w:val="center"/>
          </w:tcPr>
          <w:p w14:paraId="0F997CAF">
            <w:pPr>
              <w:pStyle w:val="115"/>
              <w:jc w:val="center"/>
            </w:pPr>
            <w:r>
              <w:t>4870</w:t>
            </w:r>
          </w:p>
        </w:tc>
        <w:tc>
          <w:tcPr>
            <w:tcW w:w="1189" w:type="dxa"/>
            <w:tcBorders>
              <w:top w:val="single" w:color="000000" w:sz="4" w:space="0"/>
              <w:left w:val="nil"/>
              <w:bottom w:val="single" w:color="000000" w:sz="4" w:space="0"/>
              <w:right w:val="single" w:color="000000" w:sz="4" w:space="0"/>
            </w:tcBorders>
            <w:shd w:val="clear" w:color="auto" w:fill="auto"/>
            <w:vAlign w:val="center"/>
          </w:tcPr>
          <w:p w14:paraId="16726CC8">
            <w:pPr>
              <w:pStyle w:val="115"/>
              <w:jc w:val="center"/>
            </w:pPr>
            <w:r>
              <w:rPr>
                <w:rFonts w:hint="eastAsia"/>
              </w:rPr>
              <w:t>——</w:t>
            </w:r>
          </w:p>
        </w:tc>
        <w:tc>
          <w:tcPr>
            <w:tcW w:w="1187" w:type="dxa"/>
            <w:tcBorders>
              <w:top w:val="single" w:color="000000" w:sz="4" w:space="0"/>
              <w:left w:val="nil"/>
              <w:bottom w:val="single" w:color="000000" w:sz="4" w:space="0"/>
            </w:tcBorders>
            <w:shd w:val="clear" w:color="auto" w:fill="auto"/>
            <w:vAlign w:val="center"/>
          </w:tcPr>
          <w:p w14:paraId="54FA719D">
            <w:pPr>
              <w:pStyle w:val="115"/>
              <w:jc w:val="center"/>
            </w:pPr>
            <w:r>
              <w:rPr>
                <w:rFonts w:hint="eastAsia"/>
              </w:rPr>
              <w:t>规划</w:t>
            </w:r>
          </w:p>
        </w:tc>
      </w:tr>
      <w:tr w14:paraId="05BB2B9A">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23" w:hRule="atLeast"/>
        </w:trPr>
        <w:tc>
          <w:tcPr>
            <w:tcW w:w="558" w:type="dxa"/>
            <w:tcBorders>
              <w:top w:val="single" w:color="000000" w:sz="4" w:space="0"/>
              <w:right w:val="single" w:color="000000" w:sz="4" w:space="0"/>
            </w:tcBorders>
            <w:shd w:val="clear" w:color="auto" w:fill="auto"/>
            <w:vAlign w:val="center"/>
          </w:tcPr>
          <w:p w14:paraId="627D38D4">
            <w:pPr>
              <w:pStyle w:val="115"/>
              <w:jc w:val="center"/>
            </w:pPr>
            <w:r>
              <w:t>9</w:t>
            </w:r>
          </w:p>
        </w:tc>
        <w:tc>
          <w:tcPr>
            <w:tcW w:w="1199" w:type="dxa"/>
            <w:tcBorders>
              <w:top w:val="single" w:color="000000" w:sz="4" w:space="0"/>
              <w:left w:val="nil"/>
              <w:right w:val="single" w:color="000000" w:sz="4" w:space="0"/>
            </w:tcBorders>
            <w:shd w:val="clear" w:color="auto" w:fill="auto"/>
            <w:vAlign w:val="center"/>
          </w:tcPr>
          <w:p w14:paraId="5E103259">
            <w:pPr>
              <w:pStyle w:val="115"/>
              <w:jc w:val="center"/>
            </w:pPr>
            <w:r>
              <w:rPr>
                <w:rFonts w:hint="eastAsia"/>
              </w:rPr>
              <w:t>社会停车场</w:t>
            </w:r>
          </w:p>
        </w:tc>
        <w:tc>
          <w:tcPr>
            <w:tcW w:w="934" w:type="dxa"/>
            <w:tcBorders>
              <w:top w:val="single" w:color="000000" w:sz="4" w:space="0"/>
              <w:left w:val="nil"/>
              <w:right w:val="single" w:color="000000" w:sz="4" w:space="0"/>
            </w:tcBorders>
            <w:shd w:val="clear" w:color="auto" w:fill="auto"/>
            <w:vAlign w:val="center"/>
          </w:tcPr>
          <w:p w14:paraId="7A946273">
            <w:pPr>
              <w:pStyle w:val="115"/>
              <w:jc w:val="center"/>
            </w:pPr>
            <w:r>
              <w:rPr>
                <w:rFonts w:hint="eastAsia"/>
              </w:rPr>
              <w:t>独立</w:t>
            </w:r>
          </w:p>
        </w:tc>
        <w:tc>
          <w:tcPr>
            <w:tcW w:w="1465" w:type="dxa"/>
            <w:tcBorders>
              <w:top w:val="single" w:color="000000" w:sz="4" w:space="0"/>
              <w:left w:val="nil"/>
              <w:right w:val="single" w:color="000000" w:sz="4" w:space="0"/>
            </w:tcBorders>
            <w:shd w:val="clear" w:color="auto" w:fill="auto"/>
            <w:vAlign w:val="center"/>
          </w:tcPr>
          <w:p w14:paraId="0283C978">
            <w:pPr>
              <w:pStyle w:val="115"/>
              <w:jc w:val="center"/>
            </w:pPr>
            <w:r>
              <w:rPr>
                <w:rFonts w:hint="eastAsia"/>
              </w:rPr>
              <w:t>停车场</w:t>
            </w:r>
            <w:r>
              <w:t>9</w:t>
            </w:r>
          </w:p>
        </w:tc>
        <w:tc>
          <w:tcPr>
            <w:tcW w:w="520" w:type="dxa"/>
            <w:tcBorders>
              <w:top w:val="single" w:color="000000" w:sz="4" w:space="0"/>
              <w:left w:val="nil"/>
              <w:right w:val="single" w:color="000000" w:sz="4" w:space="0"/>
            </w:tcBorders>
            <w:shd w:val="clear" w:color="auto" w:fill="auto"/>
            <w:vAlign w:val="center"/>
          </w:tcPr>
          <w:p w14:paraId="3B6260F0">
            <w:pPr>
              <w:pStyle w:val="115"/>
              <w:jc w:val="center"/>
            </w:pPr>
            <w:r>
              <w:rPr>
                <w:rFonts w:hint="eastAsia"/>
              </w:rPr>
              <w:t>—</w:t>
            </w:r>
          </w:p>
        </w:tc>
        <w:tc>
          <w:tcPr>
            <w:tcW w:w="1414" w:type="dxa"/>
            <w:tcBorders>
              <w:top w:val="single" w:color="000000" w:sz="4" w:space="0"/>
              <w:left w:val="nil"/>
              <w:right w:val="single" w:color="000000" w:sz="4" w:space="0"/>
            </w:tcBorders>
            <w:shd w:val="clear" w:color="auto" w:fill="auto"/>
            <w:vAlign w:val="center"/>
          </w:tcPr>
          <w:p w14:paraId="76689F78">
            <w:pPr>
              <w:pStyle w:val="115"/>
              <w:jc w:val="center"/>
            </w:pPr>
            <w:r>
              <w:t>3325</w:t>
            </w:r>
          </w:p>
        </w:tc>
        <w:tc>
          <w:tcPr>
            <w:tcW w:w="1189" w:type="dxa"/>
            <w:tcBorders>
              <w:top w:val="single" w:color="000000" w:sz="4" w:space="0"/>
              <w:left w:val="nil"/>
              <w:right w:val="single" w:color="000000" w:sz="4" w:space="0"/>
            </w:tcBorders>
            <w:shd w:val="clear" w:color="auto" w:fill="auto"/>
            <w:vAlign w:val="center"/>
          </w:tcPr>
          <w:p w14:paraId="5A16B142">
            <w:pPr>
              <w:pStyle w:val="115"/>
              <w:jc w:val="center"/>
            </w:pPr>
            <w:r>
              <w:rPr>
                <w:rFonts w:hint="eastAsia"/>
              </w:rPr>
              <w:t>——</w:t>
            </w:r>
          </w:p>
        </w:tc>
        <w:tc>
          <w:tcPr>
            <w:tcW w:w="1187" w:type="dxa"/>
            <w:tcBorders>
              <w:top w:val="single" w:color="000000" w:sz="4" w:space="0"/>
              <w:left w:val="nil"/>
            </w:tcBorders>
            <w:shd w:val="clear" w:color="auto" w:fill="auto"/>
            <w:vAlign w:val="center"/>
          </w:tcPr>
          <w:p w14:paraId="53BB675B">
            <w:pPr>
              <w:pStyle w:val="115"/>
              <w:jc w:val="center"/>
            </w:pPr>
            <w:r>
              <w:rPr>
                <w:rFonts w:hint="eastAsia"/>
              </w:rPr>
              <w:t>规划</w:t>
            </w:r>
          </w:p>
        </w:tc>
      </w:tr>
    </w:tbl>
    <w:p w14:paraId="5F6BD7FA">
      <w:pPr>
        <w:pStyle w:val="4"/>
        <w:numPr>
          <w:ilvl w:val="2"/>
          <w:numId w:val="5"/>
        </w:numPr>
        <w:spacing w:before="332" w:after="166"/>
        <w:rPr>
          <w:rFonts w:hint="eastAsia"/>
          <w:lang w:val="en-US"/>
        </w:rPr>
      </w:pPr>
      <w:r>
        <w:rPr>
          <w:rFonts w:hint="eastAsia"/>
          <w:lang w:val="en-US"/>
        </w:rPr>
        <w:t>配建停车位</w:t>
      </w:r>
    </w:p>
    <w:p w14:paraId="49C10819">
      <w:pPr>
        <w:spacing w:after="166"/>
        <w:ind w:firstLine="500"/>
        <w:rPr>
          <w:lang w:val="en-US"/>
        </w:rPr>
      </w:pPr>
      <w:r>
        <w:rPr>
          <w:rFonts w:hint="eastAsia"/>
          <w:lang w:val="en-US"/>
        </w:rPr>
        <w:t>建设项目应配建与其规模相应的机动车停车场（库）和非机动车停车场（库）。配建的停车场（库）建成后不得改变使用性质，配建标准不得低于下表的规定。</w:t>
      </w:r>
    </w:p>
    <w:p w14:paraId="2E2C2743">
      <w:pPr>
        <w:pStyle w:val="117"/>
      </w:pPr>
      <w:r>
        <w:rPr>
          <w:rFonts w:hint="eastAsia"/>
          <w:lang w:eastAsia="zh"/>
        </w:rPr>
        <w:t>表</w:t>
      </w:r>
      <w:r>
        <w:rPr>
          <w:rFonts w:hint="eastAsia"/>
        </w:rPr>
        <w:t xml:space="preserve">10-4 </w:t>
      </w:r>
      <w:r>
        <w:rPr>
          <w:rFonts w:hint="eastAsia"/>
          <w:lang w:eastAsia="zh"/>
        </w:rPr>
        <w:t>建筑物配建停车场面积控制表</w:t>
      </w:r>
    </w:p>
    <w:tbl>
      <w:tblPr>
        <w:tblStyle w:val="36"/>
        <w:tblW w:w="5000" w:type="pct"/>
        <w:tblInd w:w="0" w:type="dxa"/>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autofit"/>
        <w:tblCellMar>
          <w:top w:w="0" w:type="dxa"/>
          <w:left w:w="108" w:type="dxa"/>
          <w:bottom w:w="0" w:type="dxa"/>
          <w:right w:w="108" w:type="dxa"/>
        </w:tblCellMar>
      </w:tblPr>
      <w:tblGrid>
        <w:gridCol w:w="1041"/>
        <w:gridCol w:w="1565"/>
        <w:gridCol w:w="2327"/>
        <w:gridCol w:w="1550"/>
        <w:gridCol w:w="2039"/>
      </w:tblGrid>
      <w:tr w14:paraId="411ACD12">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1529" w:type="pct"/>
            <w:gridSpan w:val="2"/>
            <w:tcBorders>
              <w:bottom w:val="single" w:color="000000" w:sz="4" w:space="0"/>
              <w:right w:val="single" w:color="000000" w:sz="4" w:space="0"/>
            </w:tcBorders>
            <w:shd w:val="clear" w:color="auto" w:fill="auto"/>
            <w:vAlign w:val="center"/>
          </w:tcPr>
          <w:p w14:paraId="7A3A4098">
            <w:pPr>
              <w:pStyle w:val="115"/>
              <w:jc w:val="center"/>
            </w:pPr>
            <w:r>
              <w:t>建筑类别</w:t>
            </w:r>
          </w:p>
        </w:tc>
        <w:tc>
          <w:tcPr>
            <w:tcW w:w="1365" w:type="pct"/>
            <w:tcBorders>
              <w:left w:val="single" w:color="000000" w:sz="4" w:space="0"/>
              <w:bottom w:val="single" w:color="000000" w:sz="4" w:space="0"/>
              <w:right w:val="single" w:color="000000" w:sz="4" w:space="0"/>
            </w:tcBorders>
            <w:shd w:val="clear" w:color="auto" w:fill="auto"/>
            <w:vAlign w:val="center"/>
          </w:tcPr>
          <w:p w14:paraId="40493C26">
            <w:pPr>
              <w:pStyle w:val="115"/>
              <w:jc w:val="center"/>
            </w:pPr>
            <w:r>
              <w:t>计算单位</w:t>
            </w:r>
          </w:p>
        </w:tc>
        <w:tc>
          <w:tcPr>
            <w:tcW w:w="909" w:type="pct"/>
            <w:tcBorders>
              <w:left w:val="single" w:color="000000" w:sz="4" w:space="0"/>
              <w:bottom w:val="single" w:color="000000" w:sz="4" w:space="0"/>
              <w:right w:val="single" w:color="000000" w:sz="4" w:space="0"/>
            </w:tcBorders>
            <w:shd w:val="clear" w:color="auto" w:fill="auto"/>
            <w:vAlign w:val="center"/>
          </w:tcPr>
          <w:p w14:paraId="7C3FC551">
            <w:pPr>
              <w:pStyle w:val="115"/>
              <w:jc w:val="center"/>
            </w:pPr>
            <w:r>
              <w:t>机动车</w:t>
            </w:r>
          </w:p>
        </w:tc>
        <w:tc>
          <w:tcPr>
            <w:tcW w:w="1196" w:type="pct"/>
            <w:tcBorders>
              <w:left w:val="single" w:color="000000" w:sz="4" w:space="0"/>
              <w:bottom w:val="single" w:color="000000" w:sz="4" w:space="0"/>
            </w:tcBorders>
            <w:shd w:val="clear" w:color="auto" w:fill="auto"/>
            <w:vAlign w:val="center"/>
          </w:tcPr>
          <w:p w14:paraId="6A0FC730">
            <w:pPr>
              <w:pStyle w:val="115"/>
              <w:jc w:val="center"/>
            </w:pPr>
            <w:r>
              <w:t>自行车</w:t>
            </w:r>
          </w:p>
        </w:tc>
      </w:tr>
      <w:tr w14:paraId="35BE0A78">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1529" w:type="pct"/>
            <w:gridSpan w:val="2"/>
            <w:tcBorders>
              <w:top w:val="single" w:color="000000" w:sz="4" w:space="0"/>
              <w:bottom w:val="single" w:color="000000" w:sz="4" w:space="0"/>
              <w:right w:val="single" w:color="000000" w:sz="4" w:space="0"/>
            </w:tcBorders>
            <w:shd w:val="clear" w:color="auto" w:fill="auto"/>
            <w:vAlign w:val="center"/>
          </w:tcPr>
          <w:p w14:paraId="42BDC675">
            <w:pPr>
              <w:pStyle w:val="115"/>
              <w:jc w:val="center"/>
            </w:pPr>
            <w:r>
              <w:t>高、中档旅馆</w:t>
            </w:r>
          </w:p>
        </w:tc>
        <w:tc>
          <w:tcPr>
            <w:tcW w:w="13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43FEA9">
            <w:pPr>
              <w:pStyle w:val="115"/>
              <w:jc w:val="center"/>
            </w:pPr>
            <w:r>
              <w:t>车位/客房</w:t>
            </w:r>
          </w:p>
        </w:tc>
        <w:tc>
          <w:tcPr>
            <w:tcW w:w="9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000DED">
            <w:pPr>
              <w:pStyle w:val="115"/>
              <w:jc w:val="center"/>
            </w:pPr>
            <w:r>
              <w:t>0.7</w:t>
            </w:r>
          </w:p>
        </w:tc>
        <w:tc>
          <w:tcPr>
            <w:tcW w:w="1196" w:type="pct"/>
            <w:tcBorders>
              <w:top w:val="single" w:color="000000" w:sz="4" w:space="0"/>
              <w:left w:val="single" w:color="000000" w:sz="4" w:space="0"/>
              <w:bottom w:val="single" w:color="000000" w:sz="4" w:space="0"/>
            </w:tcBorders>
            <w:shd w:val="clear" w:color="auto" w:fill="auto"/>
            <w:vAlign w:val="center"/>
          </w:tcPr>
          <w:p w14:paraId="0B936435">
            <w:pPr>
              <w:pStyle w:val="115"/>
              <w:jc w:val="center"/>
            </w:pPr>
            <w:r>
              <w:t>0.8</w:t>
            </w:r>
          </w:p>
        </w:tc>
      </w:tr>
      <w:tr w14:paraId="41497CED">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1529" w:type="pct"/>
            <w:gridSpan w:val="2"/>
            <w:tcBorders>
              <w:top w:val="single" w:color="000000" w:sz="4" w:space="0"/>
              <w:bottom w:val="single" w:color="000000" w:sz="4" w:space="0"/>
              <w:right w:val="single" w:color="000000" w:sz="4" w:space="0"/>
            </w:tcBorders>
            <w:shd w:val="clear" w:color="auto" w:fill="auto"/>
            <w:vAlign w:val="center"/>
          </w:tcPr>
          <w:p w14:paraId="19EE34B1">
            <w:pPr>
              <w:pStyle w:val="115"/>
              <w:jc w:val="center"/>
            </w:pPr>
            <w:r>
              <w:t>普通旅馆(招待所)</w:t>
            </w:r>
          </w:p>
        </w:tc>
        <w:tc>
          <w:tcPr>
            <w:tcW w:w="13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22DBBA">
            <w:pPr>
              <w:pStyle w:val="115"/>
              <w:jc w:val="center"/>
            </w:pPr>
            <w:r>
              <w:t>车位/客房</w:t>
            </w:r>
          </w:p>
        </w:tc>
        <w:tc>
          <w:tcPr>
            <w:tcW w:w="9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F0AF8A">
            <w:pPr>
              <w:pStyle w:val="115"/>
              <w:jc w:val="center"/>
            </w:pPr>
            <w:r>
              <w:t>0.5</w:t>
            </w:r>
          </w:p>
        </w:tc>
        <w:tc>
          <w:tcPr>
            <w:tcW w:w="1196" w:type="pct"/>
            <w:tcBorders>
              <w:top w:val="single" w:color="000000" w:sz="4" w:space="0"/>
              <w:left w:val="single" w:color="000000" w:sz="4" w:space="0"/>
              <w:bottom w:val="single" w:color="000000" w:sz="4" w:space="0"/>
            </w:tcBorders>
            <w:shd w:val="clear" w:color="auto" w:fill="auto"/>
            <w:vAlign w:val="center"/>
          </w:tcPr>
          <w:p w14:paraId="6DA49D3C">
            <w:pPr>
              <w:pStyle w:val="115"/>
              <w:jc w:val="center"/>
            </w:pPr>
            <w:r>
              <w:t>0.5</w:t>
            </w:r>
          </w:p>
        </w:tc>
      </w:tr>
      <w:tr w14:paraId="6A0E35D1">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1529" w:type="pct"/>
            <w:gridSpan w:val="2"/>
            <w:tcBorders>
              <w:top w:val="single" w:color="000000" w:sz="4" w:space="0"/>
              <w:bottom w:val="single" w:color="000000" w:sz="4" w:space="0"/>
              <w:right w:val="single" w:color="000000" w:sz="4" w:space="0"/>
            </w:tcBorders>
            <w:shd w:val="clear" w:color="auto" w:fill="auto"/>
            <w:vAlign w:val="center"/>
          </w:tcPr>
          <w:p w14:paraId="0B8E2832">
            <w:pPr>
              <w:pStyle w:val="115"/>
              <w:jc w:val="center"/>
            </w:pPr>
            <w:r>
              <w:t>餐饮、娱乐</w:t>
            </w:r>
          </w:p>
        </w:tc>
        <w:tc>
          <w:tcPr>
            <w:tcW w:w="13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849186">
            <w:pPr>
              <w:pStyle w:val="115"/>
              <w:jc w:val="center"/>
            </w:pPr>
            <w:r>
              <w:t>车位/100m</w:t>
            </w:r>
            <w:r>
              <w:rPr>
                <w:rFonts w:hint="eastAsia"/>
                <w:lang w:eastAsia="zh"/>
              </w:rPr>
              <w:t>2</w:t>
            </w:r>
            <w:r>
              <w:t>建筑面积</w:t>
            </w:r>
          </w:p>
        </w:tc>
        <w:tc>
          <w:tcPr>
            <w:tcW w:w="9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FCA783">
            <w:pPr>
              <w:pStyle w:val="115"/>
              <w:jc w:val="center"/>
            </w:pPr>
            <w:r>
              <w:t>3</w:t>
            </w:r>
          </w:p>
        </w:tc>
        <w:tc>
          <w:tcPr>
            <w:tcW w:w="1196" w:type="pct"/>
            <w:tcBorders>
              <w:top w:val="single" w:color="000000" w:sz="4" w:space="0"/>
              <w:left w:val="single" w:color="000000" w:sz="4" w:space="0"/>
              <w:bottom w:val="single" w:color="000000" w:sz="4" w:space="0"/>
            </w:tcBorders>
            <w:shd w:val="clear" w:color="auto" w:fill="auto"/>
            <w:vAlign w:val="center"/>
          </w:tcPr>
          <w:p w14:paraId="479F055A">
            <w:pPr>
              <w:pStyle w:val="115"/>
              <w:jc w:val="center"/>
            </w:pPr>
            <w:r>
              <w:t>4</w:t>
            </w:r>
          </w:p>
        </w:tc>
      </w:tr>
      <w:tr w14:paraId="210B645E">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611" w:type="pct"/>
            <w:vMerge w:val="restart"/>
            <w:tcBorders>
              <w:top w:val="single" w:color="000000" w:sz="4" w:space="0"/>
              <w:bottom w:val="single" w:color="000000" w:sz="4" w:space="0"/>
              <w:right w:val="single" w:color="000000" w:sz="4" w:space="0"/>
            </w:tcBorders>
            <w:shd w:val="clear" w:color="auto" w:fill="auto"/>
            <w:vAlign w:val="center"/>
          </w:tcPr>
          <w:p w14:paraId="03752A02">
            <w:pPr>
              <w:pStyle w:val="115"/>
              <w:jc w:val="center"/>
            </w:pPr>
            <w:r>
              <w:t>商业办公楼(写字楼)</w:t>
            </w: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6C4ED8">
            <w:pPr>
              <w:pStyle w:val="115"/>
              <w:jc w:val="center"/>
              <w:rPr>
                <w:lang w:eastAsia="zh"/>
              </w:rPr>
            </w:pPr>
            <w:r>
              <w:t>&lt;2000m</w:t>
            </w:r>
            <w:r>
              <w:rPr>
                <w:rFonts w:hint="eastAsia"/>
                <w:lang w:eastAsia="zh"/>
              </w:rPr>
              <w:t>2</w:t>
            </w:r>
          </w:p>
        </w:tc>
        <w:tc>
          <w:tcPr>
            <w:tcW w:w="136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11C3D1A">
            <w:pPr>
              <w:pStyle w:val="115"/>
              <w:jc w:val="center"/>
            </w:pPr>
            <w:r>
              <w:t>车位/100m</w:t>
            </w:r>
            <w:r>
              <w:rPr>
                <w:rFonts w:hint="eastAsia"/>
                <w:lang w:eastAsia="zh"/>
              </w:rPr>
              <w:t>2</w:t>
            </w:r>
            <w:r>
              <w:t>建筑面积</w:t>
            </w:r>
          </w:p>
        </w:tc>
        <w:tc>
          <w:tcPr>
            <w:tcW w:w="9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8069A9">
            <w:pPr>
              <w:pStyle w:val="115"/>
              <w:jc w:val="center"/>
            </w:pPr>
            <w:r>
              <w:t>1.5</w:t>
            </w:r>
          </w:p>
        </w:tc>
        <w:tc>
          <w:tcPr>
            <w:tcW w:w="1196" w:type="pct"/>
            <w:vMerge w:val="restart"/>
            <w:tcBorders>
              <w:top w:val="single" w:color="000000" w:sz="4" w:space="0"/>
              <w:left w:val="single" w:color="000000" w:sz="4" w:space="0"/>
              <w:bottom w:val="single" w:color="000000" w:sz="4" w:space="0"/>
            </w:tcBorders>
            <w:shd w:val="clear" w:color="auto" w:fill="auto"/>
            <w:vAlign w:val="center"/>
          </w:tcPr>
          <w:p w14:paraId="781F5F72">
            <w:pPr>
              <w:pStyle w:val="115"/>
              <w:jc w:val="center"/>
            </w:pPr>
            <w:r>
              <w:t>3</w:t>
            </w:r>
          </w:p>
        </w:tc>
      </w:tr>
      <w:tr w14:paraId="5FF9AF0C">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611" w:type="pct"/>
            <w:vMerge w:val="continue"/>
            <w:tcBorders>
              <w:top w:val="single" w:color="000000" w:sz="4" w:space="0"/>
              <w:bottom w:val="single" w:color="000000" w:sz="4" w:space="0"/>
              <w:right w:val="single" w:color="000000" w:sz="4" w:space="0"/>
            </w:tcBorders>
            <w:shd w:val="clear" w:color="auto" w:fill="auto"/>
            <w:vAlign w:val="center"/>
          </w:tcPr>
          <w:p w14:paraId="7A46AA57">
            <w:pPr>
              <w:pStyle w:val="115"/>
              <w:jc w:val="center"/>
            </w:pPr>
          </w:p>
        </w:tc>
        <w:tc>
          <w:tcPr>
            <w:tcW w:w="9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43CBF6">
            <w:pPr>
              <w:pStyle w:val="115"/>
              <w:jc w:val="center"/>
            </w:pPr>
            <w:r>
              <w:t>&gt;2000 m</w:t>
            </w:r>
            <w:r>
              <w:rPr>
                <w:rFonts w:hint="eastAsia"/>
                <w:lang w:eastAsia="zh"/>
              </w:rPr>
              <w:t>2</w:t>
            </w:r>
          </w:p>
        </w:tc>
        <w:tc>
          <w:tcPr>
            <w:tcW w:w="136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3A8DCD">
            <w:pPr>
              <w:pStyle w:val="115"/>
              <w:jc w:val="center"/>
            </w:pPr>
          </w:p>
        </w:tc>
        <w:tc>
          <w:tcPr>
            <w:tcW w:w="9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197C59">
            <w:pPr>
              <w:pStyle w:val="115"/>
              <w:jc w:val="center"/>
            </w:pPr>
            <w:r>
              <w:t>1</w:t>
            </w:r>
          </w:p>
        </w:tc>
        <w:tc>
          <w:tcPr>
            <w:tcW w:w="1196" w:type="pct"/>
            <w:vMerge w:val="continue"/>
            <w:tcBorders>
              <w:top w:val="single" w:color="000000" w:sz="4" w:space="0"/>
              <w:left w:val="single" w:color="000000" w:sz="4" w:space="0"/>
              <w:bottom w:val="single" w:color="000000" w:sz="4" w:space="0"/>
            </w:tcBorders>
            <w:shd w:val="clear" w:color="auto" w:fill="auto"/>
            <w:vAlign w:val="center"/>
          </w:tcPr>
          <w:p w14:paraId="4170E818">
            <w:pPr>
              <w:pStyle w:val="115"/>
              <w:jc w:val="center"/>
            </w:pPr>
          </w:p>
        </w:tc>
      </w:tr>
      <w:tr w14:paraId="2C336642">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1529" w:type="pct"/>
            <w:gridSpan w:val="2"/>
            <w:tcBorders>
              <w:top w:val="single" w:color="000000" w:sz="4" w:space="0"/>
              <w:bottom w:val="single" w:color="000000" w:sz="4" w:space="0"/>
              <w:right w:val="single" w:color="000000" w:sz="4" w:space="0"/>
            </w:tcBorders>
            <w:shd w:val="clear" w:color="auto" w:fill="auto"/>
            <w:vAlign w:val="center"/>
          </w:tcPr>
          <w:p w14:paraId="012F660D">
            <w:pPr>
              <w:pStyle w:val="115"/>
              <w:jc w:val="center"/>
            </w:pPr>
            <w:r>
              <w:t>普通办公楼</w:t>
            </w:r>
          </w:p>
        </w:tc>
        <w:tc>
          <w:tcPr>
            <w:tcW w:w="13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B83FFE">
            <w:pPr>
              <w:pStyle w:val="115"/>
              <w:jc w:val="center"/>
            </w:pPr>
            <w:r>
              <w:t>车位/100m</w:t>
            </w:r>
            <w:r>
              <w:rPr>
                <w:rFonts w:hint="eastAsia"/>
                <w:lang w:eastAsia="zh"/>
              </w:rPr>
              <w:t>2</w:t>
            </w:r>
            <w:r>
              <w:t>建筑面积</w:t>
            </w:r>
          </w:p>
        </w:tc>
        <w:tc>
          <w:tcPr>
            <w:tcW w:w="9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61DC49">
            <w:pPr>
              <w:pStyle w:val="115"/>
              <w:jc w:val="center"/>
            </w:pPr>
            <w:r>
              <w:t>0.6</w:t>
            </w:r>
          </w:p>
        </w:tc>
        <w:tc>
          <w:tcPr>
            <w:tcW w:w="1196" w:type="pct"/>
            <w:tcBorders>
              <w:top w:val="single" w:color="000000" w:sz="4" w:space="0"/>
              <w:left w:val="single" w:color="000000" w:sz="4" w:space="0"/>
              <w:bottom w:val="single" w:color="000000" w:sz="4" w:space="0"/>
            </w:tcBorders>
            <w:shd w:val="clear" w:color="auto" w:fill="auto"/>
            <w:vAlign w:val="center"/>
          </w:tcPr>
          <w:p w14:paraId="7C565EA3">
            <w:pPr>
              <w:pStyle w:val="115"/>
              <w:jc w:val="center"/>
            </w:pPr>
            <w:r>
              <w:t>4</w:t>
            </w:r>
          </w:p>
        </w:tc>
      </w:tr>
      <w:tr w14:paraId="2125688A">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1529" w:type="pct"/>
            <w:gridSpan w:val="2"/>
            <w:tcBorders>
              <w:top w:val="single" w:color="000000" w:sz="4" w:space="0"/>
              <w:bottom w:val="single" w:color="000000" w:sz="4" w:space="0"/>
              <w:right w:val="single" w:color="000000" w:sz="4" w:space="0"/>
            </w:tcBorders>
            <w:shd w:val="clear" w:color="auto" w:fill="auto"/>
            <w:vAlign w:val="center"/>
          </w:tcPr>
          <w:p w14:paraId="41CA32AF">
            <w:pPr>
              <w:pStyle w:val="115"/>
              <w:jc w:val="center"/>
            </w:pPr>
            <w:r>
              <w:t>商业大楼</w:t>
            </w:r>
          </w:p>
        </w:tc>
        <w:tc>
          <w:tcPr>
            <w:tcW w:w="13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D9DD59">
            <w:pPr>
              <w:pStyle w:val="115"/>
              <w:jc w:val="center"/>
            </w:pPr>
            <w:r>
              <w:t>车位/100m</w:t>
            </w:r>
            <w:r>
              <w:rPr>
                <w:rFonts w:hint="eastAsia"/>
                <w:lang w:eastAsia="zh"/>
              </w:rPr>
              <w:t>2</w:t>
            </w:r>
            <w:r>
              <w:t>建筑面积</w:t>
            </w:r>
          </w:p>
        </w:tc>
        <w:tc>
          <w:tcPr>
            <w:tcW w:w="9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FB3122">
            <w:pPr>
              <w:pStyle w:val="115"/>
              <w:jc w:val="center"/>
            </w:pPr>
            <w:r>
              <w:t>1</w:t>
            </w:r>
          </w:p>
        </w:tc>
        <w:tc>
          <w:tcPr>
            <w:tcW w:w="1196" w:type="pct"/>
            <w:tcBorders>
              <w:top w:val="single" w:color="000000" w:sz="4" w:space="0"/>
              <w:left w:val="single" w:color="000000" w:sz="4" w:space="0"/>
              <w:bottom w:val="single" w:color="000000" w:sz="4" w:space="0"/>
            </w:tcBorders>
            <w:shd w:val="clear" w:color="auto" w:fill="auto"/>
            <w:vAlign w:val="center"/>
          </w:tcPr>
          <w:p w14:paraId="771CEBA8">
            <w:pPr>
              <w:pStyle w:val="115"/>
              <w:jc w:val="center"/>
            </w:pPr>
            <w:r>
              <w:t>8</w:t>
            </w:r>
          </w:p>
        </w:tc>
      </w:tr>
      <w:tr w14:paraId="479571C3">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1529" w:type="pct"/>
            <w:gridSpan w:val="2"/>
            <w:tcBorders>
              <w:top w:val="single" w:color="000000" w:sz="4" w:space="0"/>
              <w:bottom w:val="single" w:color="000000" w:sz="4" w:space="0"/>
              <w:right w:val="single" w:color="000000" w:sz="4" w:space="0"/>
            </w:tcBorders>
            <w:shd w:val="clear" w:color="auto" w:fill="auto"/>
            <w:vAlign w:val="center"/>
          </w:tcPr>
          <w:p w14:paraId="18352C19">
            <w:pPr>
              <w:pStyle w:val="115"/>
              <w:jc w:val="center"/>
            </w:pPr>
            <w:r>
              <w:t>肉、菜、农贸市场</w:t>
            </w:r>
          </w:p>
        </w:tc>
        <w:tc>
          <w:tcPr>
            <w:tcW w:w="13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0D5B23">
            <w:pPr>
              <w:pStyle w:val="115"/>
              <w:jc w:val="center"/>
            </w:pPr>
            <w:r>
              <w:t>车位/100m</w:t>
            </w:r>
            <w:r>
              <w:rPr>
                <w:rFonts w:hint="eastAsia"/>
                <w:lang w:eastAsia="zh"/>
              </w:rPr>
              <w:t>2</w:t>
            </w:r>
            <w:r>
              <w:t>建筑面积</w:t>
            </w:r>
          </w:p>
        </w:tc>
        <w:tc>
          <w:tcPr>
            <w:tcW w:w="9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0DD004">
            <w:pPr>
              <w:pStyle w:val="115"/>
              <w:jc w:val="center"/>
            </w:pPr>
            <w:r>
              <w:t>0.8</w:t>
            </w:r>
          </w:p>
        </w:tc>
        <w:tc>
          <w:tcPr>
            <w:tcW w:w="1196" w:type="pct"/>
            <w:tcBorders>
              <w:top w:val="single" w:color="000000" w:sz="4" w:space="0"/>
              <w:left w:val="single" w:color="000000" w:sz="4" w:space="0"/>
              <w:bottom w:val="single" w:color="000000" w:sz="4" w:space="0"/>
            </w:tcBorders>
            <w:shd w:val="clear" w:color="auto" w:fill="auto"/>
            <w:vAlign w:val="center"/>
          </w:tcPr>
          <w:p w14:paraId="73C83E91">
            <w:pPr>
              <w:pStyle w:val="115"/>
              <w:jc w:val="center"/>
            </w:pPr>
            <w:r>
              <w:t>8</w:t>
            </w:r>
          </w:p>
        </w:tc>
      </w:tr>
      <w:tr w14:paraId="61CFC7C2">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1529" w:type="pct"/>
            <w:gridSpan w:val="2"/>
            <w:tcBorders>
              <w:top w:val="single" w:color="000000" w:sz="4" w:space="0"/>
              <w:bottom w:val="single" w:color="000000" w:sz="4" w:space="0"/>
              <w:right w:val="single" w:color="000000" w:sz="4" w:space="0"/>
            </w:tcBorders>
            <w:shd w:val="clear" w:color="auto" w:fill="auto"/>
            <w:vAlign w:val="center"/>
          </w:tcPr>
          <w:p w14:paraId="0AB7D654">
            <w:pPr>
              <w:pStyle w:val="115"/>
              <w:jc w:val="center"/>
            </w:pPr>
            <w:r>
              <w:t>大型体育场馆 (馆&gt;4000座)(场≥15000座)</w:t>
            </w:r>
          </w:p>
        </w:tc>
        <w:tc>
          <w:tcPr>
            <w:tcW w:w="13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8DC126">
            <w:pPr>
              <w:pStyle w:val="115"/>
              <w:jc w:val="center"/>
            </w:pPr>
            <w:r>
              <w:t>车位/100座</w:t>
            </w:r>
          </w:p>
        </w:tc>
        <w:tc>
          <w:tcPr>
            <w:tcW w:w="9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849CF6">
            <w:pPr>
              <w:pStyle w:val="115"/>
              <w:jc w:val="center"/>
            </w:pPr>
            <w:r>
              <w:t>5</w:t>
            </w:r>
          </w:p>
        </w:tc>
        <w:tc>
          <w:tcPr>
            <w:tcW w:w="1196" w:type="pct"/>
            <w:tcBorders>
              <w:top w:val="single" w:color="000000" w:sz="4" w:space="0"/>
              <w:left w:val="single" w:color="000000" w:sz="4" w:space="0"/>
              <w:bottom w:val="single" w:color="000000" w:sz="4" w:space="0"/>
            </w:tcBorders>
            <w:shd w:val="clear" w:color="auto" w:fill="auto"/>
            <w:vAlign w:val="center"/>
          </w:tcPr>
          <w:p w14:paraId="1D5FEDE3">
            <w:pPr>
              <w:pStyle w:val="115"/>
              <w:jc w:val="center"/>
            </w:pPr>
            <w:r>
              <w:t>30</w:t>
            </w:r>
          </w:p>
        </w:tc>
      </w:tr>
      <w:tr w14:paraId="02020E27">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1529" w:type="pct"/>
            <w:gridSpan w:val="2"/>
            <w:tcBorders>
              <w:top w:val="single" w:color="000000" w:sz="4" w:space="0"/>
              <w:bottom w:val="single" w:color="000000" w:sz="4" w:space="0"/>
              <w:right w:val="single" w:color="000000" w:sz="4" w:space="0"/>
            </w:tcBorders>
            <w:shd w:val="clear" w:color="auto" w:fill="auto"/>
            <w:vAlign w:val="center"/>
          </w:tcPr>
          <w:p w14:paraId="25265462">
            <w:pPr>
              <w:pStyle w:val="115"/>
              <w:jc w:val="center"/>
            </w:pPr>
            <w:r>
              <w:t>小型体育场馆 (馆&lt;4000座)(场&lt;15000座)</w:t>
            </w:r>
          </w:p>
        </w:tc>
        <w:tc>
          <w:tcPr>
            <w:tcW w:w="13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A8573D">
            <w:pPr>
              <w:pStyle w:val="115"/>
              <w:jc w:val="center"/>
            </w:pPr>
            <w:r>
              <w:t>车位/100座</w:t>
            </w:r>
          </w:p>
        </w:tc>
        <w:tc>
          <w:tcPr>
            <w:tcW w:w="9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843DF2">
            <w:pPr>
              <w:pStyle w:val="115"/>
              <w:jc w:val="center"/>
            </w:pPr>
            <w:r>
              <w:t>3</w:t>
            </w:r>
          </w:p>
        </w:tc>
        <w:tc>
          <w:tcPr>
            <w:tcW w:w="1196" w:type="pct"/>
            <w:tcBorders>
              <w:top w:val="single" w:color="000000" w:sz="4" w:space="0"/>
              <w:left w:val="single" w:color="000000" w:sz="4" w:space="0"/>
              <w:bottom w:val="single" w:color="000000" w:sz="4" w:space="0"/>
            </w:tcBorders>
            <w:shd w:val="clear" w:color="auto" w:fill="auto"/>
            <w:vAlign w:val="center"/>
          </w:tcPr>
          <w:p w14:paraId="0B242F1D">
            <w:pPr>
              <w:pStyle w:val="115"/>
              <w:jc w:val="center"/>
            </w:pPr>
            <w:r>
              <w:t>30</w:t>
            </w:r>
          </w:p>
        </w:tc>
      </w:tr>
      <w:tr w14:paraId="63AEE116">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1529" w:type="pct"/>
            <w:gridSpan w:val="2"/>
            <w:tcBorders>
              <w:top w:val="single" w:color="000000" w:sz="4" w:space="0"/>
              <w:bottom w:val="single" w:color="000000" w:sz="4" w:space="0"/>
              <w:right w:val="single" w:color="000000" w:sz="4" w:space="0"/>
            </w:tcBorders>
            <w:shd w:val="clear" w:color="auto" w:fill="auto"/>
            <w:vAlign w:val="center"/>
          </w:tcPr>
          <w:p w14:paraId="400D36FF">
            <w:pPr>
              <w:pStyle w:val="115"/>
              <w:jc w:val="center"/>
            </w:pPr>
            <w:r>
              <w:t>影剧院</w:t>
            </w:r>
          </w:p>
        </w:tc>
        <w:tc>
          <w:tcPr>
            <w:tcW w:w="13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A60057">
            <w:pPr>
              <w:pStyle w:val="115"/>
              <w:jc w:val="center"/>
            </w:pPr>
            <w:r>
              <w:t>车位/100座</w:t>
            </w:r>
          </w:p>
        </w:tc>
        <w:tc>
          <w:tcPr>
            <w:tcW w:w="9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5989ED">
            <w:pPr>
              <w:pStyle w:val="115"/>
              <w:jc w:val="center"/>
            </w:pPr>
            <w:r>
              <w:t>6</w:t>
            </w:r>
          </w:p>
        </w:tc>
        <w:tc>
          <w:tcPr>
            <w:tcW w:w="1196" w:type="pct"/>
            <w:tcBorders>
              <w:top w:val="single" w:color="000000" w:sz="4" w:space="0"/>
              <w:left w:val="single" w:color="000000" w:sz="4" w:space="0"/>
              <w:bottom w:val="single" w:color="000000" w:sz="4" w:space="0"/>
            </w:tcBorders>
            <w:shd w:val="clear" w:color="auto" w:fill="auto"/>
            <w:vAlign w:val="center"/>
          </w:tcPr>
          <w:p w14:paraId="54CCB570">
            <w:pPr>
              <w:pStyle w:val="115"/>
              <w:jc w:val="center"/>
            </w:pPr>
            <w:r>
              <w:t>40</w:t>
            </w:r>
          </w:p>
        </w:tc>
      </w:tr>
      <w:tr w14:paraId="47492182">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1529" w:type="pct"/>
            <w:gridSpan w:val="2"/>
            <w:tcBorders>
              <w:top w:val="single" w:color="000000" w:sz="4" w:space="0"/>
              <w:bottom w:val="single" w:color="000000" w:sz="4" w:space="0"/>
              <w:right w:val="single" w:color="000000" w:sz="4" w:space="0"/>
            </w:tcBorders>
            <w:shd w:val="clear" w:color="auto" w:fill="auto"/>
            <w:vAlign w:val="center"/>
          </w:tcPr>
          <w:p w14:paraId="247C18F0">
            <w:pPr>
              <w:pStyle w:val="115"/>
              <w:jc w:val="center"/>
            </w:pPr>
            <w:r>
              <w:t>展览馆</w:t>
            </w:r>
          </w:p>
        </w:tc>
        <w:tc>
          <w:tcPr>
            <w:tcW w:w="13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E5AE35">
            <w:pPr>
              <w:pStyle w:val="115"/>
              <w:jc w:val="center"/>
            </w:pPr>
            <w:r>
              <w:t>车位/100m</w:t>
            </w:r>
            <w:r>
              <w:rPr>
                <w:rFonts w:hint="eastAsia"/>
                <w:lang w:eastAsia="zh"/>
              </w:rPr>
              <w:t>2</w:t>
            </w:r>
            <w:r>
              <w:t>建筑面积</w:t>
            </w:r>
          </w:p>
        </w:tc>
        <w:tc>
          <w:tcPr>
            <w:tcW w:w="9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F4B39E">
            <w:pPr>
              <w:pStyle w:val="115"/>
              <w:jc w:val="center"/>
            </w:pPr>
            <w:r>
              <w:t>0.8</w:t>
            </w:r>
          </w:p>
        </w:tc>
        <w:tc>
          <w:tcPr>
            <w:tcW w:w="1196" w:type="pct"/>
            <w:tcBorders>
              <w:top w:val="single" w:color="000000" w:sz="4" w:space="0"/>
              <w:left w:val="single" w:color="000000" w:sz="4" w:space="0"/>
              <w:bottom w:val="single" w:color="000000" w:sz="4" w:space="0"/>
            </w:tcBorders>
            <w:shd w:val="clear" w:color="auto" w:fill="auto"/>
            <w:vAlign w:val="center"/>
          </w:tcPr>
          <w:p w14:paraId="4AE27AC8">
            <w:pPr>
              <w:pStyle w:val="115"/>
              <w:jc w:val="center"/>
            </w:pPr>
            <w:r>
              <w:t>5</w:t>
            </w:r>
          </w:p>
        </w:tc>
      </w:tr>
      <w:tr w14:paraId="2D62EECA">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1529" w:type="pct"/>
            <w:gridSpan w:val="2"/>
            <w:tcBorders>
              <w:top w:val="single" w:color="000000" w:sz="4" w:space="0"/>
              <w:bottom w:val="single" w:color="000000" w:sz="4" w:space="0"/>
              <w:right w:val="single" w:color="000000" w:sz="4" w:space="0"/>
            </w:tcBorders>
            <w:shd w:val="clear" w:color="auto" w:fill="auto"/>
            <w:vAlign w:val="center"/>
          </w:tcPr>
          <w:p w14:paraId="17108D72">
            <w:pPr>
              <w:pStyle w:val="115"/>
              <w:jc w:val="center"/>
            </w:pPr>
            <w:r>
              <w:t>医 院</w:t>
            </w:r>
          </w:p>
        </w:tc>
        <w:tc>
          <w:tcPr>
            <w:tcW w:w="13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E45117">
            <w:pPr>
              <w:pStyle w:val="115"/>
              <w:jc w:val="center"/>
            </w:pPr>
            <w:r>
              <w:t>车位/100m</w:t>
            </w:r>
            <w:r>
              <w:rPr>
                <w:rFonts w:hint="eastAsia"/>
                <w:lang w:eastAsia="zh"/>
              </w:rPr>
              <w:t>2</w:t>
            </w:r>
            <w:r>
              <w:t>建筑面积</w:t>
            </w:r>
          </w:p>
        </w:tc>
        <w:tc>
          <w:tcPr>
            <w:tcW w:w="9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EEB47B">
            <w:pPr>
              <w:pStyle w:val="115"/>
              <w:jc w:val="center"/>
            </w:pPr>
            <w:r>
              <w:t>1.0</w:t>
            </w:r>
          </w:p>
        </w:tc>
        <w:tc>
          <w:tcPr>
            <w:tcW w:w="1196" w:type="pct"/>
            <w:tcBorders>
              <w:top w:val="single" w:color="000000" w:sz="4" w:space="0"/>
              <w:left w:val="single" w:color="000000" w:sz="4" w:space="0"/>
              <w:bottom w:val="single" w:color="000000" w:sz="4" w:space="0"/>
            </w:tcBorders>
            <w:shd w:val="clear" w:color="auto" w:fill="auto"/>
            <w:vAlign w:val="center"/>
          </w:tcPr>
          <w:p w14:paraId="7AB2FF21">
            <w:pPr>
              <w:pStyle w:val="115"/>
              <w:jc w:val="center"/>
            </w:pPr>
            <w:r>
              <w:t>5</w:t>
            </w:r>
          </w:p>
        </w:tc>
      </w:tr>
      <w:tr w14:paraId="08762E91">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1529" w:type="pct"/>
            <w:gridSpan w:val="2"/>
            <w:tcBorders>
              <w:top w:val="single" w:color="000000" w:sz="4" w:space="0"/>
              <w:bottom w:val="single" w:color="000000" w:sz="4" w:space="0"/>
              <w:right w:val="single" w:color="000000" w:sz="4" w:space="0"/>
            </w:tcBorders>
            <w:shd w:val="clear" w:color="auto" w:fill="auto"/>
            <w:vAlign w:val="center"/>
          </w:tcPr>
          <w:p w14:paraId="6EA0EC70">
            <w:pPr>
              <w:pStyle w:val="115"/>
              <w:jc w:val="center"/>
            </w:pPr>
            <w:r>
              <w:t>游泳区、渡假村</w:t>
            </w:r>
          </w:p>
        </w:tc>
        <w:tc>
          <w:tcPr>
            <w:tcW w:w="13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14FB00">
            <w:pPr>
              <w:pStyle w:val="115"/>
              <w:jc w:val="center"/>
            </w:pPr>
            <w:r>
              <w:t>车位/1公顷占地面积</w:t>
            </w:r>
          </w:p>
        </w:tc>
        <w:tc>
          <w:tcPr>
            <w:tcW w:w="9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E5689E">
            <w:pPr>
              <w:pStyle w:val="115"/>
              <w:jc w:val="center"/>
            </w:pPr>
            <w:r>
              <w:t>8-12</w:t>
            </w:r>
          </w:p>
        </w:tc>
        <w:tc>
          <w:tcPr>
            <w:tcW w:w="1196" w:type="pct"/>
            <w:tcBorders>
              <w:top w:val="single" w:color="000000" w:sz="4" w:space="0"/>
              <w:left w:val="single" w:color="000000" w:sz="4" w:space="0"/>
              <w:bottom w:val="single" w:color="000000" w:sz="4" w:space="0"/>
            </w:tcBorders>
            <w:shd w:val="clear" w:color="auto" w:fill="auto"/>
            <w:vAlign w:val="center"/>
          </w:tcPr>
          <w:p w14:paraId="6887AD85">
            <w:pPr>
              <w:pStyle w:val="115"/>
              <w:jc w:val="center"/>
            </w:pPr>
            <w:r>
              <w:t>1.5</w:t>
            </w:r>
          </w:p>
        </w:tc>
      </w:tr>
      <w:tr w14:paraId="2CFA8E10">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1529" w:type="pct"/>
            <w:gridSpan w:val="2"/>
            <w:tcBorders>
              <w:top w:val="single" w:color="000000" w:sz="4" w:space="0"/>
              <w:bottom w:val="single" w:color="000000" w:sz="4" w:space="0"/>
              <w:right w:val="single" w:color="000000" w:sz="4" w:space="0"/>
            </w:tcBorders>
            <w:shd w:val="clear" w:color="auto" w:fill="auto"/>
            <w:vAlign w:val="center"/>
          </w:tcPr>
          <w:p w14:paraId="75C18E18">
            <w:pPr>
              <w:pStyle w:val="115"/>
              <w:jc w:val="center"/>
            </w:pPr>
            <w:r>
              <w:t>城市公园</w:t>
            </w:r>
          </w:p>
        </w:tc>
        <w:tc>
          <w:tcPr>
            <w:tcW w:w="13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4012ED">
            <w:pPr>
              <w:pStyle w:val="115"/>
              <w:jc w:val="center"/>
            </w:pPr>
            <w:r>
              <w:t>车位/1公顷占地面积</w:t>
            </w:r>
          </w:p>
        </w:tc>
        <w:tc>
          <w:tcPr>
            <w:tcW w:w="9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7B002E">
            <w:pPr>
              <w:pStyle w:val="115"/>
              <w:jc w:val="center"/>
            </w:pPr>
            <w:r>
              <w:t>5</w:t>
            </w:r>
          </w:p>
        </w:tc>
        <w:tc>
          <w:tcPr>
            <w:tcW w:w="1196" w:type="pct"/>
            <w:tcBorders>
              <w:top w:val="single" w:color="000000" w:sz="4" w:space="0"/>
              <w:left w:val="single" w:color="000000" w:sz="4" w:space="0"/>
              <w:bottom w:val="single" w:color="000000" w:sz="4" w:space="0"/>
            </w:tcBorders>
            <w:shd w:val="clear" w:color="auto" w:fill="auto"/>
            <w:vAlign w:val="center"/>
          </w:tcPr>
          <w:p w14:paraId="7D2BAC64">
            <w:pPr>
              <w:pStyle w:val="115"/>
              <w:jc w:val="center"/>
            </w:pPr>
            <w:r>
              <w:t>20</w:t>
            </w:r>
          </w:p>
        </w:tc>
      </w:tr>
      <w:tr w14:paraId="5BBCCEDC">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1529" w:type="pct"/>
            <w:gridSpan w:val="2"/>
            <w:tcBorders>
              <w:top w:val="single" w:color="000000" w:sz="4" w:space="0"/>
              <w:bottom w:val="single" w:color="000000" w:sz="4" w:space="0"/>
              <w:right w:val="single" w:color="000000" w:sz="4" w:space="0"/>
            </w:tcBorders>
            <w:shd w:val="clear" w:color="auto" w:fill="auto"/>
            <w:vAlign w:val="center"/>
          </w:tcPr>
          <w:p w14:paraId="4DCBF58C">
            <w:pPr>
              <w:pStyle w:val="115"/>
              <w:jc w:val="center"/>
            </w:pPr>
            <w:r>
              <w:t>火车站</w:t>
            </w:r>
          </w:p>
        </w:tc>
        <w:tc>
          <w:tcPr>
            <w:tcW w:w="13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756C31">
            <w:pPr>
              <w:pStyle w:val="115"/>
              <w:jc w:val="center"/>
            </w:pPr>
            <w:r>
              <w:t>车位/高峰日每千旅客</w:t>
            </w:r>
          </w:p>
        </w:tc>
        <w:tc>
          <w:tcPr>
            <w:tcW w:w="9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67E1A2">
            <w:pPr>
              <w:pStyle w:val="115"/>
              <w:jc w:val="center"/>
            </w:pPr>
            <w:r>
              <w:t>75</w:t>
            </w:r>
          </w:p>
        </w:tc>
        <w:tc>
          <w:tcPr>
            <w:tcW w:w="1196" w:type="pct"/>
            <w:tcBorders>
              <w:top w:val="single" w:color="000000" w:sz="4" w:space="0"/>
              <w:left w:val="single" w:color="000000" w:sz="4" w:space="0"/>
              <w:bottom w:val="single" w:color="000000" w:sz="4" w:space="0"/>
            </w:tcBorders>
            <w:shd w:val="clear" w:color="auto" w:fill="auto"/>
            <w:vAlign w:val="center"/>
          </w:tcPr>
          <w:p w14:paraId="1838B60B">
            <w:pPr>
              <w:pStyle w:val="115"/>
              <w:jc w:val="center"/>
            </w:pPr>
            <w:r>
              <w:t>4</w:t>
            </w:r>
          </w:p>
        </w:tc>
      </w:tr>
      <w:tr w14:paraId="6F7F6464">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1529" w:type="pct"/>
            <w:gridSpan w:val="2"/>
            <w:tcBorders>
              <w:top w:val="single" w:color="000000" w:sz="4" w:space="0"/>
              <w:right w:val="single" w:color="000000" w:sz="4" w:space="0"/>
            </w:tcBorders>
            <w:shd w:val="clear" w:color="auto" w:fill="auto"/>
            <w:vAlign w:val="center"/>
          </w:tcPr>
          <w:p w14:paraId="327F4FE1">
            <w:pPr>
              <w:pStyle w:val="115"/>
              <w:jc w:val="center"/>
            </w:pPr>
            <w:r>
              <w:t>二类住宅</w:t>
            </w:r>
          </w:p>
        </w:tc>
        <w:tc>
          <w:tcPr>
            <w:tcW w:w="1365" w:type="pct"/>
            <w:tcBorders>
              <w:top w:val="single" w:color="000000" w:sz="4" w:space="0"/>
              <w:left w:val="single" w:color="000000" w:sz="4" w:space="0"/>
              <w:right w:val="single" w:color="000000" w:sz="4" w:space="0"/>
            </w:tcBorders>
            <w:shd w:val="clear" w:color="auto" w:fill="auto"/>
            <w:vAlign w:val="center"/>
          </w:tcPr>
          <w:p w14:paraId="237C429C">
            <w:pPr>
              <w:pStyle w:val="115"/>
              <w:jc w:val="center"/>
            </w:pPr>
            <w:r>
              <w:t>车位/户</w:t>
            </w:r>
          </w:p>
        </w:tc>
        <w:tc>
          <w:tcPr>
            <w:tcW w:w="909" w:type="pct"/>
            <w:tcBorders>
              <w:top w:val="single" w:color="000000" w:sz="4" w:space="0"/>
              <w:left w:val="single" w:color="000000" w:sz="4" w:space="0"/>
              <w:right w:val="single" w:color="000000" w:sz="4" w:space="0"/>
            </w:tcBorders>
            <w:shd w:val="clear" w:color="auto" w:fill="auto"/>
            <w:vAlign w:val="center"/>
          </w:tcPr>
          <w:p w14:paraId="13949800">
            <w:pPr>
              <w:pStyle w:val="115"/>
              <w:jc w:val="center"/>
            </w:pPr>
            <w:r>
              <w:t>1.0</w:t>
            </w:r>
          </w:p>
        </w:tc>
        <w:tc>
          <w:tcPr>
            <w:tcW w:w="1196" w:type="pct"/>
            <w:tcBorders>
              <w:top w:val="single" w:color="000000" w:sz="4" w:space="0"/>
              <w:left w:val="single" w:color="000000" w:sz="4" w:space="0"/>
            </w:tcBorders>
            <w:shd w:val="clear" w:color="auto" w:fill="auto"/>
            <w:vAlign w:val="center"/>
          </w:tcPr>
          <w:p w14:paraId="22897556">
            <w:pPr>
              <w:pStyle w:val="115"/>
              <w:jc w:val="center"/>
            </w:pPr>
            <w:r>
              <w:t>3</w:t>
            </w:r>
          </w:p>
        </w:tc>
      </w:tr>
    </w:tbl>
    <w:p w14:paraId="4E733106">
      <w:pPr>
        <w:pStyle w:val="115"/>
        <w:rPr>
          <w:rFonts w:eastAsia="宋体"/>
          <w:sz w:val="25"/>
          <w:szCs w:val="25"/>
        </w:rPr>
      </w:pPr>
      <w:r>
        <w:t xml:space="preserve">(注1.公租房、廉租房按0.5/户计算停车位。2.地下停车位占总停车位的比例不低于60%) </w:t>
      </w:r>
    </w:p>
    <w:p w14:paraId="6D028678">
      <w:pPr>
        <w:pStyle w:val="3"/>
        <w:numPr>
          <w:ilvl w:val="1"/>
          <w:numId w:val="5"/>
        </w:numPr>
        <w:spacing w:before="332" w:after="166"/>
        <w:rPr>
          <w:rFonts w:hint="eastAsia"/>
        </w:rPr>
      </w:pPr>
      <w:r>
        <w:t>公共充电设施</w:t>
      </w:r>
    </w:p>
    <w:p w14:paraId="05ABFE48">
      <w:pPr>
        <w:spacing w:after="166"/>
        <w:ind w:firstLine="500"/>
      </w:pPr>
      <w:r>
        <w:rPr>
          <w:rFonts w:hint="eastAsia"/>
          <w:lang w:val="en-US"/>
        </w:rPr>
        <w:t xml:space="preserve">结合社会公共停车场（库）按不少于 </w:t>
      </w:r>
      <w:r>
        <w:rPr>
          <w:lang w:val="en-US"/>
        </w:rPr>
        <w:t>10%</w:t>
      </w:r>
      <w:r>
        <w:rPr>
          <w:rFonts w:hint="eastAsia"/>
          <w:lang w:val="en-US"/>
        </w:rPr>
        <w:t xml:space="preserve">的停车位配建公共充电桩。新建住宅配建停车位应 </w:t>
      </w:r>
      <w:r>
        <w:rPr>
          <w:lang w:val="en-US"/>
        </w:rPr>
        <w:t>100%</w:t>
      </w:r>
      <w:r>
        <w:rPr>
          <w:rFonts w:hint="eastAsia"/>
          <w:lang w:val="en-US"/>
        </w:rPr>
        <w:t>预留充电设施建设安装条件。</w:t>
      </w:r>
    </w:p>
    <w:p w14:paraId="5FFBB859">
      <w:pPr>
        <w:pStyle w:val="3"/>
        <w:numPr>
          <w:ilvl w:val="1"/>
          <w:numId w:val="5"/>
        </w:numPr>
        <w:spacing w:before="332" w:after="166"/>
        <w:rPr>
          <w:rFonts w:hint="eastAsia"/>
        </w:rPr>
      </w:pPr>
      <w:r>
        <w:t>其他交通配套设施</w:t>
      </w:r>
    </w:p>
    <w:p w14:paraId="0BDDAC7B">
      <w:pPr>
        <w:pStyle w:val="4"/>
        <w:numPr>
          <w:ilvl w:val="2"/>
          <w:numId w:val="5"/>
        </w:numPr>
        <w:spacing w:before="332" w:after="166"/>
        <w:rPr>
          <w:rFonts w:hint="eastAsia"/>
          <w:lang w:val="en-US"/>
        </w:rPr>
      </w:pPr>
      <w:r>
        <w:rPr>
          <w:rFonts w:hint="eastAsia"/>
          <w:lang w:val="en-US"/>
        </w:rPr>
        <w:t>火车站</w:t>
      </w:r>
    </w:p>
    <w:p w14:paraId="56F19826">
      <w:pPr>
        <w:spacing w:after="166"/>
        <w:ind w:firstLine="500"/>
      </w:pPr>
      <w:r>
        <w:rPr>
          <w:rFonts w:hint="eastAsia"/>
          <w:lang w:val="en-US"/>
        </w:rPr>
        <w:t>保留现状三等火车站一处，位于矿山路西侧，总面积1.2公顷。</w:t>
      </w:r>
    </w:p>
    <w:p w14:paraId="382FF593">
      <w:pPr>
        <w:pStyle w:val="4"/>
        <w:numPr>
          <w:ilvl w:val="2"/>
          <w:numId w:val="5"/>
        </w:numPr>
        <w:spacing w:before="332" w:after="166"/>
        <w:rPr>
          <w:rFonts w:hint="eastAsia"/>
          <w:lang w:val="en-US"/>
        </w:rPr>
      </w:pPr>
      <w:r>
        <w:rPr>
          <w:rFonts w:hint="eastAsia"/>
          <w:lang w:val="en-US"/>
        </w:rPr>
        <w:t>汽车客运站</w:t>
      </w:r>
    </w:p>
    <w:p w14:paraId="71F1590D">
      <w:pPr>
        <w:spacing w:after="166"/>
        <w:ind w:firstLine="500"/>
        <w:rPr>
          <w:rFonts w:hint="eastAsia"/>
          <w:lang w:val="en-US"/>
        </w:rPr>
      </w:pPr>
      <w:r>
        <w:rPr>
          <w:rFonts w:hint="eastAsia"/>
          <w:lang w:val="en-US"/>
        </w:rPr>
        <w:t>保留汽车客运站一处，位于通阳道西侧，总面积1.6公顷。</w:t>
      </w:r>
    </w:p>
    <w:p w14:paraId="63EE7891">
      <w:pPr>
        <w:pStyle w:val="13"/>
      </w:pPr>
    </w:p>
    <w:p w14:paraId="7B4C076D">
      <w:pPr>
        <w:pStyle w:val="4"/>
        <w:numPr>
          <w:ilvl w:val="2"/>
          <w:numId w:val="5"/>
        </w:numPr>
        <w:spacing w:before="332" w:after="166"/>
        <w:rPr>
          <w:rFonts w:hint="eastAsia"/>
          <w:lang w:val="en-US"/>
        </w:rPr>
      </w:pPr>
      <w:r>
        <w:rPr>
          <w:rFonts w:hint="eastAsia"/>
          <w:lang w:val="en-US"/>
        </w:rPr>
        <w:t>公交场站</w:t>
      </w:r>
    </w:p>
    <w:p w14:paraId="10A99BF0">
      <w:pPr>
        <w:spacing w:after="166"/>
        <w:ind w:firstLine="500"/>
        <w:rPr>
          <w:lang w:val="en-US"/>
        </w:rPr>
      </w:pPr>
      <w:r>
        <w:rPr>
          <w:rFonts w:hint="eastAsia"/>
          <w:lang w:val="en-US"/>
        </w:rPr>
        <w:t>规划2处公交场站：一处位于民族路南侧，主要服务包钢职工通勤；一处位于地质道与稀土大街交叉口西南角，主要服务全体居民出勤，总面积2.9公顷。</w:t>
      </w:r>
    </w:p>
    <w:p w14:paraId="40B9F5FB">
      <w:pPr>
        <w:pStyle w:val="117"/>
      </w:pPr>
      <w:r>
        <w:rPr>
          <w:lang w:eastAsia="zh"/>
        </w:rPr>
        <w:drawing>
          <wp:inline distT="0" distB="0" distL="0" distR="0">
            <wp:extent cx="4667250" cy="3872230"/>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101"/>
                    <a:stretch>
                      <a:fillRect/>
                    </a:stretch>
                  </pic:blipFill>
                  <pic:spPr>
                    <a:xfrm>
                      <a:off x="0" y="0"/>
                      <a:ext cx="4667250" cy="3872230"/>
                    </a:xfrm>
                    <a:prstGeom prst="rect">
                      <a:avLst/>
                    </a:prstGeom>
                  </pic:spPr>
                </pic:pic>
              </a:graphicData>
            </a:graphic>
          </wp:inline>
        </w:drawing>
      </w:r>
    </w:p>
    <w:p w14:paraId="332BC754">
      <w:pPr>
        <w:pStyle w:val="268"/>
        <w:rPr>
          <w:rFonts w:hint="eastAsia"/>
          <w:lang w:bidi="ar"/>
        </w:rPr>
      </w:pPr>
      <w:r>
        <w:rPr>
          <w:rFonts w:hint="eastAsia"/>
          <w:lang w:bidi="ar"/>
        </w:rPr>
        <w:t>图10-11 交通场站规划图</w:t>
      </w:r>
    </w:p>
    <w:p w14:paraId="5FC745AD">
      <w:pPr>
        <w:pStyle w:val="117"/>
      </w:pPr>
      <w:r>
        <w:rPr>
          <w:rFonts w:hint="eastAsia"/>
        </w:rPr>
        <w:t>表10-5 交通场站布局一览表</w:t>
      </w:r>
    </w:p>
    <w:tbl>
      <w:tblPr>
        <w:tblStyle w:val="36"/>
        <w:tblW w:w="4679" w:type="pct"/>
        <w:tblInd w:w="0" w:type="dxa"/>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Layout w:type="autofit"/>
        <w:tblCellMar>
          <w:top w:w="0" w:type="dxa"/>
          <w:left w:w="108" w:type="dxa"/>
          <w:bottom w:w="0" w:type="dxa"/>
          <w:right w:w="108" w:type="dxa"/>
        </w:tblCellMar>
      </w:tblPr>
      <w:tblGrid>
        <w:gridCol w:w="423"/>
        <w:gridCol w:w="1117"/>
        <w:gridCol w:w="677"/>
        <w:gridCol w:w="1185"/>
        <w:gridCol w:w="615"/>
        <w:gridCol w:w="1062"/>
        <w:gridCol w:w="1112"/>
        <w:gridCol w:w="1110"/>
        <w:gridCol w:w="674"/>
      </w:tblGrid>
      <w:tr w14:paraId="0C5A50F6">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491" w:hRule="atLeast"/>
        </w:trPr>
        <w:tc>
          <w:tcPr>
            <w:tcW w:w="265" w:type="pct"/>
            <w:tcBorders>
              <w:bottom w:val="single" w:color="000000" w:sz="4" w:space="0"/>
              <w:right w:val="single" w:color="000000" w:sz="4" w:space="0"/>
            </w:tcBorders>
            <w:shd w:val="clear" w:color="auto" w:fill="auto"/>
            <w:vAlign w:val="center"/>
          </w:tcPr>
          <w:p w14:paraId="0BB5CC31">
            <w:pPr>
              <w:pStyle w:val="115"/>
              <w:jc w:val="center"/>
            </w:pPr>
            <w:r>
              <w:rPr>
                <w:rFonts w:hint="eastAsia"/>
              </w:rPr>
              <w:t>序号</w:t>
            </w:r>
          </w:p>
        </w:tc>
        <w:tc>
          <w:tcPr>
            <w:tcW w:w="699" w:type="pct"/>
            <w:tcBorders>
              <w:left w:val="nil"/>
              <w:bottom w:val="single" w:color="000000" w:sz="4" w:space="0"/>
              <w:right w:val="single" w:color="000000" w:sz="4" w:space="0"/>
            </w:tcBorders>
            <w:shd w:val="clear" w:color="auto" w:fill="auto"/>
            <w:vAlign w:val="center"/>
          </w:tcPr>
          <w:p w14:paraId="64C84645">
            <w:pPr>
              <w:pStyle w:val="115"/>
              <w:jc w:val="center"/>
            </w:pPr>
            <w:r>
              <w:rPr>
                <w:rFonts w:hint="eastAsia"/>
              </w:rPr>
              <w:t>交通配套设施类型</w:t>
            </w:r>
          </w:p>
        </w:tc>
        <w:tc>
          <w:tcPr>
            <w:tcW w:w="424" w:type="pct"/>
            <w:tcBorders>
              <w:left w:val="nil"/>
              <w:bottom w:val="single" w:color="000000" w:sz="4" w:space="0"/>
              <w:right w:val="single" w:color="000000" w:sz="4" w:space="0"/>
            </w:tcBorders>
            <w:shd w:val="clear" w:color="auto" w:fill="auto"/>
            <w:vAlign w:val="center"/>
          </w:tcPr>
          <w:p w14:paraId="3B19DF96">
            <w:pPr>
              <w:pStyle w:val="115"/>
              <w:jc w:val="center"/>
            </w:pPr>
            <w:r>
              <w:rPr>
                <w:rFonts w:hint="eastAsia"/>
              </w:rPr>
              <w:t>占地形式</w:t>
            </w:r>
          </w:p>
        </w:tc>
        <w:tc>
          <w:tcPr>
            <w:tcW w:w="742" w:type="pct"/>
            <w:tcBorders>
              <w:left w:val="nil"/>
              <w:bottom w:val="single" w:color="000000" w:sz="4" w:space="0"/>
              <w:right w:val="single" w:color="000000" w:sz="4" w:space="0"/>
            </w:tcBorders>
            <w:shd w:val="clear" w:color="auto" w:fill="auto"/>
            <w:vAlign w:val="center"/>
          </w:tcPr>
          <w:p w14:paraId="4CB247FB">
            <w:pPr>
              <w:pStyle w:val="115"/>
              <w:jc w:val="center"/>
            </w:pPr>
            <w:r>
              <w:rPr>
                <w:rFonts w:hint="eastAsia"/>
              </w:rPr>
              <w:t>交通配套设施名称</w:t>
            </w:r>
          </w:p>
        </w:tc>
        <w:tc>
          <w:tcPr>
            <w:tcW w:w="385" w:type="pct"/>
            <w:tcBorders>
              <w:left w:val="nil"/>
              <w:bottom w:val="single" w:color="000000" w:sz="4" w:space="0"/>
              <w:right w:val="single" w:color="000000" w:sz="4" w:space="0"/>
            </w:tcBorders>
            <w:shd w:val="clear" w:color="auto" w:fill="auto"/>
            <w:vAlign w:val="center"/>
          </w:tcPr>
          <w:p w14:paraId="4D61DCB9">
            <w:pPr>
              <w:pStyle w:val="115"/>
              <w:jc w:val="center"/>
            </w:pPr>
            <w:r>
              <w:rPr>
                <w:rFonts w:hint="eastAsia"/>
              </w:rPr>
              <w:t>级别</w:t>
            </w:r>
          </w:p>
        </w:tc>
        <w:tc>
          <w:tcPr>
            <w:tcW w:w="665" w:type="pct"/>
            <w:tcBorders>
              <w:left w:val="nil"/>
              <w:bottom w:val="single" w:color="000000" w:sz="4" w:space="0"/>
              <w:right w:val="single" w:color="000000" w:sz="4" w:space="0"/>
            </w:tcBorders>
            <w:shd w:val="clear" w:color="auto" w:fill="auto"/>
            <w:vAlign w:val="center"/>
          </w:tcPr>
          <w:p w14:paraId="6DA18027">
            <w:pPr>
              <w:pStyle w:val="115"/>
              <w:jc w:val="center"/>
            </w:pPr>
            <w:r>
              <w:rPr>
                <w:rFonts w:hint="eastAsia"/>
              </w:rPr>
              <w:t>用地面积</w:t>
            </w:r>
            <w:r>
              <w:t>(m²)</w:t>
            </w:r>
          </w:p>
        </w:tc>
        <w:tc>
          <w:tcPr>
            <w:tcW w:w="696" w:type="pct"/>
            <w:tcBorders>
              <w:left w:val="nil"/>
              <w:bottom w:val="single" w:color="000000" w:sz="4" w:space="0"/>
              <w:right w:val="single" w:color="000000" w:sz="4" w:space="0"/>
            </w:tcBorders>
            <w:shd w:val="clear" w:color="auto" w:fill="auto"/>
            <w:vAlign w:val="center"/>
          </w:tcPr>
          <w:p w14:paraId="63A910AF">
            <w:pPr>
              <w:pStyle w:val="115"/>
              <w:jc w:val="center"/>
            </w:pPr>
            <w:r>
              <w:rPr>
                <w:rFonts w:hint="eastAsia"/>
              </w:rPr>
              <w:t>建筑面积</w:t>
            </w:r>
            <w:r>
              <w:t>(m²)</w:t>
            </w:r>
          </w:p>
        </w:tc>
        <w:tc>
          <w:tcPr>
            <w:tcW w:w="695" w:type="pct"/>
            <w:tcBorders>
              <w:left w:val="nil"/>
              <w:bottom w:val="single" w:color="000000" w:sz="4" w:space="0"/>
              <w:right w:val="single" w:color="000000" w:sz="4" w:space="0"/>
            </w:tcBorders>
            <w:shd w:val="clear" w:color="auto" w:fill="auto"/>
            <w:vAlign w:val="center"/>
          </w:tcPr>
          <w:p w14:paraId="027BCBA8">
            <w:pPr>
              <w:pStyle w:val="115"/>
              <w:jc w:val="center"/>
            </w:pPr>
            <w:r>
              <w:rPr>
                <w:rFonts w:hint="eastAsia"/>
              </w:rPr>
              <w:t>规划状态</w:t>
            </w:r>
          </w:p>
        </w:tc>
        <w:tc>
          <w:tcPr>
            <w:tcW w:w="421" w:type="pct"/>
            <w:tcBorders>
              <w:left w:val="nil"/>
              <w:bottom w:val="single" w:color="000000" w:sz="4" w:space="0"/>
            </w:tcBorders>
            <w:shd w:val="clear" w:color="auto" w:fill="auto"/>
            <w:vAlign w:val="center"/>
          </w:tcPr>
          <w:p w14:paraId="2B84E52A">
            <w:pPr>
              <w:pStyle w:val="115"/>
              <w:jc w:val="center"/>
            </w:pPr>
            <w:r>
              <w:rPr>
                <w:rFonts w:hint="eastAsia"/>
              </w:rPr>
              <w:t>备注</w:t>
            </w:r>
          </w:p>
        </w:tc>
      </w:tr>
      <w:tr w14:paraId="7E71DB63">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702" w:hRule="atLeast"/>
        </w:trPr>
        <w:tc>
          <w:tcPr>
            <w:tcW w:w="265" w:type="pct"/>
            <w:tcBorders>
              <w:top w:val="single" w:color="000000" w:sz="4" w:space="0"/>
              <w:bottom w:val="single" w:color="000000" w:sz="4" w:space="0"/>
              <w:right w:val="single" w:color="000000" w:sz="4" w:space="0"/>
            </w:tcBorders>
            <w:shd w:val="clear" w:color="auto" w:fill="auto"/>
            <w:vAlign w:val="center"/>
          </w:tcPr>
          <w:p w14:paraId="0CDB760B">
            <w:pPr>
              <w:pStyle w:val="115"/>
              <w:jc w:val="center"/>
            </w:pPr>
            <w:r>
              <w:t>1</w:t>
            </w:r>
          </w:p>
        </w:tc>
        <w:tc>
          <w:tcPr>
            <w:tcW w:w="699" w:type="pct"/>
            <w:tcBorders>
              <w:top w:val="single" w:color="000000" w:sz="4" w:space="0"/>
              <w:left w:val="nil"/>
              <w:bottom w:val="single" w:color="000000" w:sz="4" w:space="0"/>
              <w:right w:val="single" w:color="000000" w:sz="4" w:space="0"/>
            </w:tcBorders>
            <w:shd w:val="clear" w:color="auto" w:fill="auto"/>
            <w:vAlign w:val="center"/>
          </w:tcPr>
          <w:p w14:paraId="7CE15D58">
            <w:pPr>
              <w:pStyle w:val="115"/>
              <w:jc w:val="center"/>
            </w:pPr>
            <w:r>
              <w:rPr>
                <w:rFonts w:hint="eastAsia"/>
              </w:rPr>
              <w:t>对外交通场站</w:t>
            </w:r>
          </w:p>
        </w:tc>
        <w:tc>
          <w:tcPr>
            <w:tcW w:w="424" w:type="pct"/>
            <w:tcBorders>
              <w:top w:val="single" w:color="000000" w:sz="4" w:space="0"/>
              <w:left w:val="nil"/>
              <w:bottom w:val="single" w:color="000000" w:sz="4" w:space="0"/>
              <w:right w:val="single" w:color="000000" w:sz="4" w:space="0"/>
            </w:tcBorders>
            <w:shd w:val="clear" w:color="auto" w:fill="auto"/>
            <w:vAlign w:val="center"/>
          </w:tcPr>
          <w:p w14:paraId="27BB30B6">
            <w:pPr>
              <w:pStyle w:val="115"/>
              <w:jc w:val="center"/>
            </w:pPr>
            <w:r>
              <w:rPr>
                <w:rFonts w:hint="eastAsia"/>
              </w:rPr>
              <w:t>独立</w:t>
            </w:r>
          </w:p>
        </w:tc>
        <w:tc>
          <w:tcPr>
            <w:tcW w:w="742" w:type="pct"/>
            <w:tcBorders>
              <w:top w:val="single" w:color="000000" w:sz="4" w:space="0"/>
              <w:left w:val="nil"/>
              <w:bottom w:val="single" w:color="000000" w:sz="4" w:space="0"/>
              <w:right w:val="single" w:color="000000" w:sz="4" w:space="0"/>
            </w:tcBorders>
            <w:shd w:val="clear" w:color="auto" w:fill="auto"/>
            <w:vAlign w:val="center"/>
          </w:tcPr>
          <w:p w14:paraId="4E24EE63">
            <w:pPr>
              <w:pStyle w:val="115"/>
              <w:jc w:val="center"/>
            </w:pPr>
            <w:r>
              <w:rPr>
                <w:rFonts w:hint="eastAsia"/>
              </w:rPr>
              <w:t>火车站</w:t>
            </w:r>
          </w:p>
        </w:tc>
        <w:tc>
          <w:tcPr>
            <w:tcW w:w="385" w:type="pct"/>
            <w:tcBorders>
              <w:top w:val="single" w:color="000000" w:sz="4" w:space="0"/>
              <w:left w:val="nil"/>
              <w:bottom w:val="single" w:color="000000" w:sz="4" w:space="0"/>
              <w:right w:val="single" w:color="000000" w:sz="4" w:space="0"/>
            </w:tcBorders>
            <w:shd w:val="clear" w:color="auto" w:fill="auto"/>
            <w:vAlign w:val="center"/>
          </w:tcPr>
          <w:p w14:paraId="5DBF522B">
            <w:pPr>
              <w:pStyle w:val="115"/>
              <w:jc w:val="center"/>
            </w:pPr>
            <w:r>
              <w:rPr>
                <w:rFonts w:hint="eastAsia"/>
              </w:rPr>
              <w:t>三等站</w:t>
            </w:r>
          </w:p>
        </w:tc>
        <w:tc>
          <w:tcPr>
            <w:tcW w:w="665" w:type="pct"/>
            <w:tcBorders>
              <w:top w:val="single" w:color="000000" w:sz="4" w:space="0"/>
              <w:left w:val="nil"/>
              <w:bottom w:val="single" w:color="000000" w:sz="4" w:space="0"/>
              <w:right w:val="single" w:color="000000" w:sz="4" w:space="0"/>
            </w:tcBorders>
            <w:shd w:val="clear" w:color="auto" w:fill="auto"/>
            <w:vAlign w:val="center"/>
          </w:tcPr>
          <w:p w14:paraId="4D647228">
            <w:pPr>
              <w:pStyle w:val="115"/>
              <w:jc w:val="center"/>
            </w:pPr>
            <w:r>
              <w:t>12385</w:t>
            </w:r>
          </w:p>
        </w:tc>
        <w:tc>
          <w:tcPr>
            <w:tcW w:w="696" w:type="pct"/>
            <w:tcBorders>
              <w:top w:val="single" w:color="000000" w:sz="4" w:space="0"/>
              <w:left w:val="nil"/>
              <w:bottom w:val="single" w:color="000000" w:sz="4" w:space="0"/>
              <w:right w:val="single" w:color="000000" w:sz="4" w:space="0"/>
            </w:tcBorders>
            <w:shd w:val="clear" w:color="auto" w:fill="auto"/>
            <w:vAlign w:val="center"/>
          </w:tcPr>
          <w:p w14:paraId="43E86556">
            <w:pPr>
              <w:pStyle w:val="115"/>
              <w:jc w:val="center"/>
            </w:pPr>
            <w:r>
              <w:rPr>
                <w:rFonts w:hint="eastAsia"/>
              </w:rPr>
              <w:t>——</w:t>
            </w:r>
          </w:p>
        </w:tc>
        <w:tc>
          <w:tcPr>
            <w:tcW w:w="695" w:type="pct"/>
            <w:tcBorders>
              <w:top w:val="single" w:color="000000" w:sz="4" w:space="0"/>
              <w:left w:val="nil"/>
              <w:bottom w:val="single" w:color="000000" w:sz="4" w:space="0"/>
              <w:right w:val="single" w:color="000000" w:sz="4" w:space="0"/>
            </w:tcBorders>
            <w:shd w:val="clear" w:color="auto" w:fill="auto"/>
            <w:vAlign w:val="center"/>
          </w:tcPr>
          <w:p w14:paraId="3D6E45B3">
            <w:pPr>
              <w:pStyle w:val="115"/>
              <w:jc w:val="center"/>
            </w:pPr>
            <w:r>
              <w:rPr>
                <w:rFonts w:hint="eastAsia"/>
              </w:rPr>
              <w:t>现状</w:t>
            </w:r>
          </w:p>
        </w:tc>
        <w:tc>
          <w:tcPr>
            <w:tcW w:w="421" w:type="pct"/>
            <w:tcBorders>
              <w:top w:val="single" w:color="000000" w:sz="4" w:space="0"/>
              <w:left w:val="nil"/>
              <w:bottom w:val="single" w:color="000000" w:sz="4" w:space="0"/>
            </w:tcBorders>
            <w:shd w:val="clear" w:color="auto" w:fill="auto"/>
            <w:vAlign w:val="center"/>
          </w:tcPr>
          <w:p w14:paraId="14DE07BA">
            <w:pPr>
              <w:pStyle w:val="115"/>
              <w:jc w:val="center"/>
            </w:pPr>
          </w:p>
        </w:tc>
      </w:tr>
      <w:tr w14:paraId="4C2160E7">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471" w:hRule="atLeast"/>
        </w:trPr>
        <w:tc>
          <w:tcPr>
            <w:tcW w:w="265" w:type="pct"/>
            <w:tcBorders>
              <w:top w:val="single" w:color="000000" w:sz="4" w:space="0"/>
              <w:bottom w:val="single" w:color="000000" w:sz="4" w:space="0"/>
              <w:right w:val="single" w:color="000000" w:sz="4" w:space="0"/>
            </w:tcBorders>
            <w:shd w:val="clear" w:color="auto" w:fill="auto"/>
            <w:vAlign w:val="center"/>
          </w:tcPr>
          <w:p w14:paraId="7381B36C">
            <w:pPr>
              <w:pStyle w:val="115"/>
              <w:jc w:val="center"/>
            </w:pPr>
            <w:r>
              <w:t>2</w:t>
            </w:r>
          </w:p>
        </w:tc>
        <w:tc>
          <w:tcPr>
            <w:tcW w:w="699" w:type="pct"/>
            <w:tcBorders>
              <w:top w:val="single" w:color="000000" w:sz="4" w:space="0"/>
              <w:left w:val="nil"/>
              <w:bottom w:val="single" w:color="000000" w:sz="4" w:space="0"/>
              <w:right w:val="single" w:color="000000" w:sz="4" w:space="0"/>
            </w:tcBorders>
            <w:shd w:val="clear" w:color="auto" w:fill="auto"/>
            <w:vAlign w:val="center"/>
          </w:tcPr>
          <w:p w14:paraId="7C7BBC5B">
            <w:pPr>
              <w:pStyle w:val="115"/>
              <w:jc w:val="center"/>
            </w:pPr>
            <w:r>
              <w:rPr>
                <w:rFonts w:hint="eastAsia"/>
              </w:rPr>
              <w:t>对外交通场站</w:t>
            </w:r>
          </w:p>
        </w:tc>
        <w:tc>
          <w:tcPr>
            <w:tcW w:w="424" w:type="pct"/>
            <w:tcBorders>
              <w:top w:val="single" w:color="000000" w:sz="4" w:space="0"/>
              <w:left w:val="nil"/>
              <w:bottom w:val="single" w:color="000000" w:sz="4" w:space="0"/>
              <w:right w:val="single" w:color="000000" w:sz="4" w:space="0"/>
            </w:tcBorders>
            <w:shd w:val="clear" w:color="auto" w:fill="auto"/>
            <w:vAlign w:val="center"/>
          </w:tcPr>
          <w:p w14:paraId="22DBB655">
            <w:pPr>
              <w:pStyle w:val="115"/>
              <w:jc w:val="center"/>
            </w:pPr>
            <w:r>
              <w:rPr>
                <w:rFonts w:hint="eastAsia"/>
              </w:rPr>
              <w:t>独立</w:t>
            </w:r>
          </w:p>
        </w:tc>
        <w:tc>
          <w:tcPr>
            <w:tcW w:w="742" w:type="pct"/>
            <w:tcBorders>
              <w:top w:val="single" w:color="000000" w:sz="4" w:space="0"/>
              <w:left w:val="nil"/>
              <w:bottom w:val="single" w:color="000000" w:sz="4" w:space="0"/>
              <w:right w:val="single" w:color="000000" w:sz="4" w:space="0"/>
            </w:tcBorders>
            <w:shd w:val="clear" w:color="auto" w:fill="auto"/>
            <w:vAlign w:val="center"/>
          </w:tcPr>
          <w:p w14:paraId="4F2E97D8">
            <w:pPr>
              <w:pStyle w:val="115"/>
              <w:jc w:val="center"/>
            </w:pPr>
            <w:r>
              <w:rPr>
                <w:rFonts w:hint="eastAsia"/>
              </w:rPr>
              <w:t>汽车客运站</w:t>
            </w:r>
          </w:p>
        </w:tc>
        <w:tc>
          <w:tcPr>
            <w:tcW w:w="385" w:type="pct"/>
            <w:tcBorders>
              <w:top w:val="single" w:color="000000" w:sz="4" w:space="0"/>
              <w:left w:val="nil"/>
              <w:bottom w:val="single" w:color="000000" w:sz="4" w:space="0"/>
              <w:right w:val="single" w:color="000000" w:sz="4" w:space="0"/>
            </w:tcBorders>
            <w:shd w:val="clear" w:color="auto" w:fill="auto"/>
            <w:vAlign w:val="center"/>
          </w:tcPr>
          <w:p w14:paraId="18E03F24">
            <w:pPr>
              <w:pStyle w:val="115"/>
              <w:jc w:val="center"/>
            </w:pPr>
            <w:r>
              <w:rPr>
                <w:rFonts w:hint="eastAsia"/>
              </w:rPr>
              <w:t>区级</w:t>
            </w:r>
          </w:p>
        </w:tc>
        <w:tc>
          <w:tcPr>
            <w:tcW w:w="665" w:type="pct"/>
            <w:tcBorders>
              <w:top w:val="single" w:color="000000" w:sz="4" w:space="0"/>
              <w:left w:val="nil"/>
              <w:bottom w:val="single" w:color="000000" w:sz="4" w:space="0"/>
              <w:right w:val="single" w:color="000000" w:sz="4" w:space="0"/>
            </w:tcBorders>
            <w:shd w:val="clear" w:color="auto" w:fill="auto"/>
            <w:vAlign w:val="center"/>
          </w:tcPr>
          <w:p w14:paraId="478E7F23">
            <w:pPr>
              <w:pStyle w:val="115"/>
              <w:jc w:val="center"/>
            </w:pPr>
            <w:r>
              <w:t>16000</w:t>
            </w:r>
          </w:p>
        </w:tc>
        <w:tc>
          <w:tcPr>
            <w:tcW w:w="696" w:type="pct"/>
            <w:tcBorders>
              <w:top w:val="single" w:color="000000" w:sz="4" w:space="0"/>
              <w:left w:val="nil"/>
              <w:bottom w:val="single" w:color="000000" w:sz="4" w:space="0"/>
              <w:right w:val="single" w:color="000000" w:sz="4" w:space="0"/>
            </w:tcBorders>
            <w:shd w:val="clear" w:color="auto" w:fill="auto"/>
            <w:vAlign w:val="center"/>
          </w:tcPr>
          <w:p w14:paraId="0957E023">
            <w:pPr>
              <w:pStyle w:val="115"/>
              <w:jc w:val="center"/>
            </w:pPr>
            <w:r>
              <w:rPr>
                <w:rFonts w:hint="eastAsia"/>
              </w:rPr>
              <w:t>——</w:t>
            </w:r>
          </w:p>
        </w:tc>
        <w:tc>
          <w:tcPr>
            <w:tcW w:w="695" w:type="pct"/>
            <w:tcBorders>
              <w:top w:val="single" w:color="000000" w:sz="4" w:space="0"/>
              <w:left w:val="nil"/>
              <w:bottom w:val="single" w:color="000000" w:sz="4" w:space="0"/>
              <w:right w:val="single" w:color="000000" w:sz="4" w:space="0"/>
            </w:tcBorders>
            <w:shd w:val="clear" w:color="auto" w:fill="auto"/>
            <w:vAlign w:val="center"/>
          </w:tcPr>
          <w:p w14:paraId="5D364967">
            <w:pPr>
              <w:pStyle w:val="115"/>
              <w:jc w:val="center"/>
            </w:pPr>
            <w:r>
              <w:rPr>
                <w:rFonts w:hint="eastAsia"/>
              </w:rPr>
              <w:t>现状</w:t>
            </w:r>
          </w:p>
        </w:tc>
        <w:tc>
          <w:tcPr>
            <w:tcW w:w="421" w:type="pct"/>
            <w:tcBorders>
              <w:top w:val="single" w:color="000000" w:sz="4" w:space="0"/>
              <w:left w:val="nil"/>
              <w:bottom w:val="single" w:color="000000" w:sz="4" w:space="0"/>
            </w:tcBorders>
            <w:shd w:val="clear" w:color="auto" w:fill="auto"/>
            <w:vAlign w:val="center"/>
          </w:tcPr>
          <w:p w14:paraId="7BC87850">
            <w:pPr>
              <w:pStyle w:val="115"/>
              <w:jc w:val="center"/>
            </w:pPr>
          </w:p>
        </w:tc>
      </w:tr>
      <w:tr w14:paraId="43B46C0D">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471" w:hRule="atLeast"/>
        </w:trPr>
        <w:tc>
          <w:tcPr>
            <w:tcW w:w="265" w:type="pct"/>
            <w:tcBorders>
              <w:top w:val="single" w:color="000000" w:sz="4" w:space="0"/>
              <w:bottom w:val="single" w:color="000000" w:sz="4" w:space="0"/>
              <w:right w:val="single" w:color="000000" w:sz="4" w:space="0"/>
            </w:tcBorders>
            <w:shd w:val="clear" w:color="auto" w:fill="auto"/>
            <w:vAlign w:val="center"/>
          </w:tcPr>
          <w:p w14:paraId="5D389449">
            <w:pPr>
              <w:pStyle w:val="115"/>
              <w:jc w:val="center"/>
            </w:pPr>
            <w:r>
              <w:t>3</w:t>
            </w:r>
          </w:p>
        </w:tc>
        <w:tc>
          <w:tcPr>
            <w:tcW w:w="699" w:type="pct"/>
            <w:tcBorders>
              <w:top w:val="single" w:color="000000" w:sz="4" w:space="0"/>
              <w:left w:val="nil"/>
              <w:bottom w:val="single" w:color="000000" w:sz="4" w:space="0"/>
              <w:right w:val="single" w:color="000000" w:sz="4" w:space="0"/>
            </w:tcBorders>
            <w:shd w:val="clear" w:color="auto" w:fill="auto"/>
            <w:vAlign w:val="center"/>
          </w:tcPr>
          <w:p w14:paraId="207FCC5A">
            <w:pPr>
              <w:pStyle w:val="115"/>
              <w:jc w:val="center"/>
            </w:pPr>
            <w:r>
              <w:rPr>
                <w:rFonts w:hint="eastAsia"/>
              </w:rPr>
              <w:t>公共交通场站</w:t>
            </w:r>
          </w:p>
        </w:tc>
        <w:tc>
          <w:tcPr>
            <w:tcW w:w="424" w:type="pct"/>
            <w:tcBorders>
              <w:top w:val="single" w:color="000000" w:sz="4" w:space="0"/>
              <w:left w:val="nil"/>
              <w:bottom w:val="single" w:color="000000" w:sz="4" w:space="0"/>
              <w:right w:val="single" w:color="000000" w:sz="4" w:space="0"/>
            </w:tcBorders>
            <w:shd w:val="clear" w:color="auto" w:fill="auto"/>
            <w:vAlign w:val="center"/>
          </w:tcPr>
          <w:p w14:paraId="1828F719">
            <w:pPr>
              <w:pStyle w:val="115"/>
              <w:jc w:val="center"/>
            </w:pPr>
            <w:r>
              <w:rPr>
                <w:rFonts w:hint="eastAsia"/>
              </w:rPr>
              <w:t>独立</w:t>
            </w:r>
          </w:p>
        </w:tc>
        <w:tc>
          <w:tcPr>
            <w:tcW w:w="742" w:type="pct"/>
            <w:tcBorders>
              <w:top w:val="single" w:color="000000" w:sz="4" w:space="0"/>
              <w:left w:val="nil"/>
              <w:bottom w:val="single" w:color="000000" w:sz="4" w:space="0"/>
              <w:right w:val="single" w:color="000000" w:sz="4" w:space="0"/>
            </w:tcBorders>
            <w:shd w:val="clear" w:color="auto" w:fill="auto"/>
            <w:vAlign w:val="center"/>
          </w:tcPr>
          <w:p w14:paraId="651A125D">
            <w:pPr>
              <w:pStyle w:val="115"/>
              <w:jc w:val="center"/>
            </w:pPr>
            <w:r>
              <w:rPr>
                <w:rFonts w:hint="eastAsia"/>
              </w:rPr>
              <w:t>公交场站</w:t>
            </w:r>
            <w:r>
              <w:t>1</w:t>
            </w:r>
          </w:p>
        </w:tc>
        <w:tc>
          <w:tcPr>
            <w:tcW w:w="385" w:type="pct"/>
            <w:tcBorders>
              <w:top w:val="single" w:color="000000" w:sz="4" w:space="0"/>
              <w:left w:val="nil"/>
              <w:bottom w:val="single" w:color="000000" w:sz="4" w:space="0"/>
              <w:right w:val="single" w:color="000000" w:sz="4" w:space="0"/>
            </w:tcBorders>
            <w:shd w:val="clear" w:color="auto" w:fill="auto"/>
            <w:vAlign w:val="center"/>
          </w:tcPr>
          <w:p w14:paraId="089322E6">
            <w:pPr>
              <w:pStyle w:val="115"/>
              <w:jc w:val="center"/>
            </w:pPr>
            <w:r>
              <w:rPr>
                <w:rFonts w:hint="eastAsia"/>
              </w:rPr>
              <w:t>区级</w:t>
            </w:r>
          </w:p>
        </w:tc>
        <w:tc>
          <w:tcPr>
            <w:tcW w:w="665" w:type="pct"/>
            <w:tcBorders>
              <w:top w:val="single" w:color="000000" w:sz="4" w:space="0"/>
              <w:left w:val="nil"/>
              <w:bottom w:val="single" w:color="000000" w:sz="4" w:space="0"/>
              <w:right w:val="single" w:color="000000" w:sz="4" w:space="0"/>
            </w:tcBorders>
            <w:shd w:val="clear" w:color="auto" w:fill="auto"/>
            <w:vAlign w:val="center"/>
          </w:tcPr>
          <w:p w14:paraId="42DC8061">
            <w:pPr>
              <w:pStyle w:val="115"/>
              <w:jc w:val="center"/>
            </w:pPr>
            <w:r>
              <w:t>10287</w:t>
            </w:r>
          </w:p>
        </w:tc>
        <w:tc>
          <w:tcPr>
            <w:tcW w:w="696" w:type="pct"/>
            <w:tcBorders>
              <w:top w:val="single" w:color="000000" w:sz="4" w:space="0"/>
              <w:left w:val="nil"/>
              <w:bottom w:val="single" w:color="000000" w:sz="4" w:space="0"/>
              <w:right w:val="single" w:color="000000" w:sz="4" w:space="0"/>
            </w:tcBorders>
            <w:shd w:val="clear" w:color="auto" w:fill="auto"/>
            <w:vAlign w:val="center"/>
          </w:tcPr>
          <w:p w14:paraId="614D5D63">
            <w:pPr>
              <w:pStyle w:val="115"/>
              <w:jc w:val="center"/>
            </w:pPr>
            <w:r>
              <w:rPr>
                <w:rFonts w:hint="eastAsia"/>
              </w:rPr>
              <w:t>——</w:t>
            </w:r>
          </w:p>
        </w:tc>
        <w:tc>
          <w:tcPr>
            <w:tcW w:w="695" w:type="pct"/>
            <w:tcBorders>
              <w:top w:val="single" w:color="000000" w:sz="4" w:space="0"/>
              <w:left w:val="nil"/>
              <w:bottom w:val="single" w:color="000000" w:sz="4" w:space="0"/>
              <w:right w:val="single" w:color="000000" w:sz="4" w:space="0"/>
            </w:tcBorders>
            <w:shd w:val="clear" w:color="auto" w:fill="auto"/>
            <w:vAlign w:val="center"/>
          </w:tcPr>
          <w:p w14:paraId="55C19435">
            <w:pPr>
              <w:pStyle w:val="115"/>
              <w:jc w:val="center"/>
            </w:pPr>
            <w:r>
              <w:rPr>
                <w:rFonts w:hint="eastAsia"/>
              </w:rPr>
              <w:t>现状</w:t>
            </w:r>
          </w:p>
        </w:tc>
        <w:tc>
          <w:tcPr>
            <w:tcW w:w="421" w:type="pct"/>
            <w:tcBorders>
              <w:top w:val="single" w:color="000000" w:sz="4" w:space="0"/>
              <w:left w:val="nil"/>
              <w:bottom w:val="single" w:color="000000" w:sz="4" w:space="0"/>
            </w:tcBorders>
            <w:shd w:val="clear" w:color="auto" w:fill="auto"/>
            <w:vAlign w:val="center"/>
          </w:tcPr>
          <w:p w14:paraId="00949996">
            <w:pPr>
              <w:pStyle w:val="115"/>
              <w:jc w:val="center"/>
            </w:pPr>
          </w:p>
        </w:tc>
      </w:tr>
      <w:tr w14:paraId="1C874C89">
        <w:tblPrEx>
          <w:tblBorders>
            <w:top w:val="single" w:color="auto" w:sz="12" w:space="0"/>
            <w:left w:val="single" w:color="auto" w:sz="12" w:space="0"/>
            <w:bottom w:val="single" w:color="auto" w:sz="12" w:space="0"/>
            <w:right w:val="single" w:color="auto" w:sz="12" w:space="0"/>
            <w:insideH w:val="outset" w:color="auto" w:sz="6" w:space="0"/>
            <w:insideV w:val="outset" w:color="auto" w:sz="6" w:space="0"/>
          </w:tblBorders>
          <w:tblCellMar>
            <w:top w:w="0" w:type="dxa"/>
            <w:left w:w="108" w:type="dxa"/>
            <w:bottom w:w="0" w:type="dxa"/>
            <w:right w:w="108" w:type="dxa"/>
          </w:tblCellMar>
        </w:tblPrEx>
        <w:trPr>
          <w:trHeight w:val="481" w:hRule="atLeast"/>
        </w:trPr>
        <w:tc>
          <w:tcPr>
            <w:tcW w:w="265" w:type="pct"/>
            <w:tcBorders>
              <w:top w:val="single" w:color="000000" w:sz="4" w:space="0"/>
              <w:right w:val="single" w:color="000000" w:sz="4" w:space="0"/>
            </w:tcBorders>
            <w:shd w:val="clear" w:color="auto" w:fill="auto"/>
            <w:vAlign w:val="center"/>
          </w:tcPr>
          <w:p w14:paraId="1F27B991">
            <w:pPr>
              <w:pStyle w:val="115"/>
              <w:jc w:val="center"/>
            </w:pPr>
            <w:r>
              <w:t>4</w:t>
            </w:r>
          </w:p>
        </w:tc>
        <w:tc>
          <w:tcPr>
            <w:tcW w:w="699" w:type="pct"/>
            <w:tcBorders>
              <w:top w:val="single" w:color="000000" w:sz="4" w:space="0"/>
              <w:left w:val="nil"/>
              <w:right w:val="single" w:color="000000" w:sz="4" w:space="0"/>
            </w:tcBorders>
            <w:shd w:val="clear" w:color="auto" w:fill="auto"/>
            <w:vAlign w:val="center"/>
          </w:tcPr>
          <w:p w14:paraId="77FA5F16">
            <w:pPr>
              <w:pStyle w:val="115"/>
              <w:jc w:val="center"/>
            </w:pPr>
            <w:r>
              <w:rPr>
                <w:rFonts w:hint="eastAsia"/>
              </w:rPr>
              <w:t>公共交通场站</w:t>
            </w:r>
          </w:p>
        </w:tc>
        <w:tc>
          <w:tcPr>
            <w:tcW w:w="424" w:type="pct"/>
            <w:tcBorders>
              <w:top w:val="single" w:color="000000" w:sz="4" w:space="0"/>
              <w:left w:val="nil"/>
              <w:right w:val="single" w:color="000000" w:sz="4" w:space="0"/>
            </w:tcBorders>
            <w:shd w:val="clear" w:color="auto" w:fill="auto"/>
            <w:vAlign w:val="center"/>
          </w:tcPr>
          <w:p w14:paraId="4B5D9460">
            <w:pPr>
              <w:pStyle w:val="115"/>
              <w:jc w:val="center"/>
            </w:pPr>
            <w:r>
              <w:rPr>
                <w:rFonts w:hint="eastAsia"/>
              </w:rPr>
              <w:t>独立</w:t>
            </w:r>
          </w:p>
        </w:tc>
        <w:tc>
          <w:tcPr>
            <w:tcW w:w="742" w:type="pct"/>
            <w:tcBorders>
              <w:top w:val="single" w:color="000000" w:sz="4" w:space="0"/>
              <w:left w:val="nil"/>
              <w:right w:val="single" w:color="000000" w:sz="4" w:space="0"/>
            </w:tcBorders>
            <w:shd w:val="clear" w:color="auto" w:fill="auto"/>
            <w:vAlign w:val="center"/>
          </w:tcPr>
          <w:p w14:paraId="5C040F57">
            <w:pPr>
              <w:pStyle w:val="115"/>
              <w:jc w:val="center"/>
            </w:pPr>
            <w:r>
              <w:rPr>
                <w:rFonts w:hint="eastAsia"/>
              </w:rPr>
              <w:t>公交场站</w:t>
            </w:r>
            <w:r>
              <w:t>2</w:t>
            </w:r>
          </w:p>
        </w:tc>
        <w:tc>
          <w:tcPr>
            <w:tcW w:w="385" w:type="pct"/>
            <w:tcBorders>
              <w:top w:val="single" w:color="000000" w:sz="4" w:space="0"/>
              <w:left w:val="nil"/>
              <w:right w:val="single" w:color="000000" w:sz="4" w:space="0"/>
            </w:tcBorders>
            <w:shd w:val="clear" w:color="auto" w:fill="auto"/>
            <w:vAlign w:val="center"/>
          </w:tcPr>
          <w:p w14:paraId="45D86F7D">
            <w:pPr>
              <w:pStyle w:val="115"/>
              <w:jc w:val="center"/>
            </w:pPr>
            <w:r>
              <w:rPr>
                <w:rFonts w:hint="eastAsia"/>
              </w:rPr>
              <w:t>区级</w:t>
            </w:r>
          </w:p>
        </w:tc>
        <w:tc>
          <w:tcPr>
            <w:tcW w:w="665" w:type="pct"/>
            <w:tcBorders>
              <w:top w:val="single" w:color="000000" w:sz="4" w:space="0"/>
              <w:left w:val="nil"/>
              <w:right w:val="single" w:color="000000" w:sz="4" w:space="0"/>
            </w:tcBorders>
            <w:shd w:val="clear" w:color="auto" w:fill="auto"/>
            <w:vAlign w:val="center"/>
          </w:tcPr>
          <w:p w14:paraId="427DA047">
            <w:pPr>
              <w:pStyle w:val="115"/>
              <w:jc w:val="center"/>
            </w:pPr>
            <w:r>
              <w:t>19139</w:t>
            </w:r>
          </w:p>
        </w:tc>
        <w:tc>
          <w:tcPr>
            <w:tcW w:w="696" w:type="pct"/>
            <w:tcBorders>
              <w:top w:val="single" w:color="000000" w:sz="4" w:space="0"/>
              <w:left w:val="nil"/>
              <w:right w:val="single" w:color="000000" w:sz="4" w:space="0"/>
            </w:tcBorders>
            <w:shd w:val="clear" w:color="auto" w:fill="auto"/>
            <w:vAlign w:val="center"/>
          </w:tcPr>
          <w:p w14:paraId="4A74DC75">
            <w:pPr>
              <w:pStyle w:val="115"/>
              <w:jc w:val="center"/>
            </w:pPr>
            <w:r>
              <w:rPr>
                <w:rFonts w:hint="eastAsia"/>
              </w:rPr>
              <w:t>——</w:t>
            </w:r>
          </w:p>
        </w:tc>
        <w:tc>
          <w:tcPr>
            <w:tcW w:w="695" w:type="pct"/>
            <w:tcBorders>
              <w:top w:val="single" w:color="000000" w:sz="4" w:space="0"/>
              <w:left w:val="nil"/>
              <w:right w:val="single" w:color="000000" w:sz="4" w:space="0"/>
            </w:tcBorders>
            <w:shd w:val="clear" w:color="auto" w:fill="auto"/>
            <w:vAlign w:val="center"/>
          </w:tcPr>
          <w:p w14:paraId="4E555DCC">
            <w:pPr>
              <w:pStyle w:val="115"/>
              <w:jc w:val="center"/>
            </w:pPr>
            <w:r>
              <w:rPr>
                <w:rFonts w:hint="eastAsia"/>
              </w:rPr>
              <w:t>规划</w:t>
            </w:r>
          </w:p>
        </w:tc>
        <w:tc>
          <w:tcPr>
            <w:tcW w:w="421" w:type="pct"/>
            <w:tcBorders>
              <w:top w:val="single" w:color="000000" w:sz="4" w:space="0"/>
              <w:left w:val="nil"/>
            </w:tcBorders>
            <w:shd w:val="clear" w:color="auto" w:fill="auto"/>
            <w:vAlign w:val="center"/>
          </w:tcPr>
          <w:p w14:paraId="55F0CDEC">
            <w:pPr>
              <w:pStyle w:val="115"/>
              <w:jc w:val="center"/>
            </w:pPr>
          </w:p>
        </w:tc>
      </w:tr>
    </w:tbl>
    <w:p w14:paraId="69C1896E">
      <w:pPr>
        <w:widowControl/>
        <w:spacing w:beforeAutospacing="1" w:after="166"/>
        <w:ind w:firstLine="500"/>
        <w:jc w:val="left"/>
        <w:rPr>
          <w:rFonts w:hint="eastAsia" w:ascii="宋体" w:hAnsi="宋体" w:cs="宋体"/>
        </w:rPr>
      </w:pPr>
      <w:r>
        <w:rPr>
          <w:rFonts w:hint="eastAsia" w:ascii="宋体" w:hAnsi="宋体" w:cs="宋体"/>
          <w:lang w:val="en-US" w:bidi="ar"/>
        </w:rPr>
        <w:t xml:space="preserve"> </w:t>
      </w:r>
    </w:p>
    <w:p w14:paraId="023D196E">
      <w:pPr>
        <w:spacing w:after="166"/>
        <w:ind w:firstLine="500"/>
      </w:pPr>
      <w:r>
        <w:br w:type="page"/>
      </w:r>
    </w:p>
    <w:p w14:paraId="3F80BAA8">
      <w:pPr>
        <w:pStyle w:val="2"/>
        <w:numPr>
          <w:ilvl w:val="0"/>
          <w:numId w:val="5"/>
        </w:numPr>
        <w:rPr>
          <w:rFonts w:ascii="Times New Roman" w:hAnsi="Times New Roman"/>
        </w:rPr>
      </w:pPr>
      <w:bookmarkStart w:id="13" w:name="_Toc21209"/>
      <w:r>
        <w:rPr>
          <w:rFonts w:ascii="Times New Roman" w:hAnsi="Times New Roman"/>
        </w:rPr>
        <w:t>市政基础设施</w:t>
      </w:r>
      <w:bookmarkEnd w:id="13"/>
    </w:p>
    <w:p w14:paraId="6868A965">
      <w:pPr>
        <w:pStyle w:val="3"/>
        <w:numPr>
          <w:ilvl w:val="1"/>
          <w:numId w:val="5"/>
        </w:numPr>
        <w:spacing w:before="332" w:after="166"/>
        <w:rPr>
          <w:rFonts w:hint="eastAsia"/>
        </w:rPr>
      </w:pPr>
      <w:r>
        <w:t>给水工程规划</w:t>
      </w:r>
    </w:p>
    <w:p w14:paraId="626780D1">
      <w:pPr>
        <w:pStyle w:val="4"/>
        <w:numPr>
          <w:ilvl w:val="2"/>
          <w:numId w:val="5"/>
        </w:numPr>
        <w:spacing w:before="332" w:after="166"/>
        <w:rPr>
          <w:rFonts w:hint="eastAsia"/>
          <w:lang w:val="en-US"/>
        </w:rPr>
      </w:pPr>
      <w:r>
        <w:rPr>
          <w:rFonts w:hint="eastAsia"/>
          <w:lang w:val="en-US"/>
        </w:rPr>
        <w:t>现状概况</w:t>
      </w:r>
    </w:p>
    <w:p w14:paraId="28D9DDA8">
      <w:pPr>
        <w:pStyle w:val="5"/>
        <w:numPr>
          <w:ilvl w:val="0"/>
          <w:numId w:val="28"/>
        </w:numPr>
      </w:pPr>
      <w:r>
        <w:t>水源概况</w:t>
      </w:r>
    </w:p>
    <w:p w14:paraId="173CB604">
      <w:pPr>
        <w:bidi w:val="0"/>
      </w:pPr>
      <w:r>
        <w:t>现状水源地主要有4处，分别为白音布拉格水源地、黑脑包水源地、塔令宫水源地和艾不盖水源地，均为地下水源。</w:t>
      </w:r>
    </w:p>
    <w:p w14:paraId="29C2AA6F">
      <w:pPr>
        <w:bidi w:val="0"/>
      </w:pPr>
      <w:r>
        <w:t>白音布拉格水源地建于1957年，现状有3座取水井，日取水量1400~1600立方米，年取水量约47~56万立方米。原水管线长度约26千米，沿途设2座加压泵站、1座高位水池。</w:t>
      </w:r>
    </w:p>
    <w:p w14:paraId="4F51B650">
      <w:pPr>
        <w:bidi w:val="0"/>
      </w:pPr>
      <w:r>
        <w:t>黑脑包水源地建于1973年，现状有2座取水井，由于经过46年的采水，现状有1口取水井已干枯无法采水，于2011年关闭使用。现状日取水量1500~1800立方米，年取水量约64~68万立方米。原水管线长度约35千米，沿途设4座加压泵站。</w:t>
      </w:r>
    </w:p>
    <w:p w14:paraId="42CA514C">
      <w:pPr>
        <w:bidi w:val="0"/>
      </w:pPr>
      <w:r>
        <w:t>塔令宫水源地建于1992年，现状有两座取水井，日取水量4500立方米，年取水量约155万立方米。原水管线长度约55千米，沿途设3座加压泵站、1座高位水池。</w:t>
      </w:r>
    </w:p>
    <w:p w14:paraId="26B37CD5">
      <w:pPr>
        <w:bidi w:val="0"/>
      </w:pPr>
      <w:r>
        <w:t>艾不盖水源地建于1992年，现状有1座取水井，日取水量550立方米，年取水量约16~20万立方米。原水管线长度约32千米，沿途设1座加压泵站、1座高位水池。</w:t>
      </w:r>
    </w:p>
    <w:p w14:paraId="34686913">
      <w:pPr>
        <w:pStyle w:val="5"/>
        <w:numPr>
          <w:ilvl w:val="0"/>
          <w:numId w:val="28"/>
        </w:numPr>
      </w:pPr>
      <w:r>
        <w:t>水厂概况</w:t>
      </w:r>
    </w:p>
    <w:p w14:paraId="4434A62B">
      <w:pPr>
        <w:spacing w:after="166"/>
        <w:ind w:firstLine="500"/>
      </w:pPr>
      <w:r>
        <w:t>规划区用水来自矿区净水厂。矿区净水厂位于城区西北部，总占地面积约31.05亩，于2019年开建，建成于2020年，总投资约6051.6万元，日供水量为9000立方米。</w:t>
      </w:r>
    </w:p>
    <w:p w14:paraId="76AE9985">
      <w:pPr>
        <w:pStyle w:val="5"/>
        <w:numPr>
          <w:ilvl w:val="0"/>
          <w:numId w:val="28"/>
        </w:numPr>
      </w:pPr>
      <w:r>
        <w:t>供水管网</w:t>
      </w:r>
    </w:p>
    <w:p w14:paraId="31DEA654">
      <w:pPr>
        <w:spacing w:after="166"/>
        <w:ind w:firstLine="500"/>
      </w:pPr>
      <w:r>
        <w:t>矿区净水厂供水管总长约8千米，主要沿矿山路、丁道衡路、稀土大街等道路敷设，供水管径为DN150~DN300。</w:t>
      </w:r>
    </w:p>
    <w:p w14:paraId="4930EDF4">
      <w:pPr>
        <w:pStyle w:val="4"/>
        <w:numPr>
          <w:ilvl w:val="2"/>
          <w:numId w:val="5"/>
        </w:numPr>
        <w:spacing w:before="332" w:after="166"/>
        <w:rPr>
          <w:rFonts w:ascii="Times New Roman" w:hAnsi="Times New Roman"/>
          <w:lang w:val="en-US"/>
        </w:rPr>
      </w:pPr>
      <w:r>
        <w:rPr>
          <w:rFonts w:ascii="Times New Roman" w:hAnsi="Times New Roman"/>
          <w:lang w:val="en-US"/>
        </w:rPr>
        <w:t>规划依据</w:t>
      </w:r>
    </w:p>
    <w:p w14:paraId="6D378B8D">
      <w:pPr>
        <w:pStyle w:val="269"/>
        <w:ind w:firstLine="480"/>
        <w:rPr>
          <w:rFonts w:ascii="Times New Roman" w:hAnsi="Times New Roman" w:cs="Times New Roman"/>
        </w:rPr>
      </w:pPr>
      <w:r>
        <w:rPr>
          <w:rFonts w:ascii="Times New Roman" w:hAnsi="Times New Roman" w:cs="Times New Roman"/>
        </w:rPr>
        <w:t>1.《城市给水工程项目规范》（GB55026—2022）；</w:t>
      </w:r>
    </w:p>
    <w:p w14:paraId="13EDEDAB">
      <w:pPr>
        <w:pStyle w:val="269"/>
        <w:ind w:firstLine="480"/>
        <w:rPr>
          <w:rFonts w:ascii="Times New Roman" w:hAnsi="Times New Roman" w:cs="Times New Roman"/>
        </w:rPr>
      </w:pPr>
      <w:r>
        <w:rPr>
          <w:rFonts w:ascii="Times New Roman" w:hAnsi="Times New Roman" w:cs="Times New Roman"/>
        </w:rPr>
        <w:t>2.《城市给水工程规划规范》（GB50282—2016）；</w:t>
      </w:r>
    </w:p>
    <w:p w14:paraId="28718CAF">
      <w:pPr>
        <w:pStyle w:val="269"/>
        <w:ind w:firstLine="480"/>
        <w:rPr>
          <w:rFonts w:ascii="Times New Roman" w:hAnsi="Times New Roman" w:cs="Times New Roman"/>
        </w:rPr>
      </w:pPr>
      <w:r>
        <w:rPr>
          <w:rFonts w:ascii="Times New Roman" w:hAnsi="Times New Roman" w:cs="Times New Roman"/>
        </w:rPr>
        <w:t>3.《室外给水设计标准》（GB50013—2018）。</w:t>
      </w:r>
    </w:p>
    <w:p w14:paraId="7235C588">
      <w:pPr>
        <w:pStyle w:val="4"/>
        <w:numPr>
          <w:ilvl w:val="2"/>
          <w:numId w:val="5"/>
        </w:numPr>
        <w:spacing w:before="332" w:after="166"/>
        <w:rPr>
          <w:rFonts w:ascii="Times New Roman" w:hAnsi="Times New Roman"/>
          <w:lang w:val="en-US"/>
        </w:rPr>
      </w:pPr>
      <w:bookmarkStart w:id="14" w:name="_Toc42240759"/>
      <w:r>
        <w:rPr>
          <w:rFonts w:ascii="Times New Roman" w:hAnsi="Times New Roman"/>
          <w:lang w:val="en-US"/>
        </w:rPr>
        <w:t>规划原则</w:t>
      </w:r>
      <w:bookmarkEnd w:id="14"/>
    </w:p>
    <w:p w14:paraId="5B569DC2">
      <w:pPr>
        <w:spacing w:after="166"/>
        <w:ind w:firstLine="500"/>
      </w:pPr>
      <w:r>
        <w:rPr>
          <w:rStyle w:val="54"/>
          <w:rFonts w:hint="eastAsia"/>
        </w:rPr>
        <w:t>原则①：</w:t>
      </w:r>
      <w:r>
        <w:rPr>
          <w:rStyle w:val="54"/>
        </w:rPr>
        <w:t>利用现状</w:t>
      </w:r>
      <w:r>
        <w:rPr>
          <w:rStyle w:val="54"/>
          <w:rFonts w:hint="eastAsia"/>
        </w:rPr>
        <w:t>。</w:t>
      </w:r>
      <w:r>
        <w:t>结合现状给水厂站和给水管道进行规划，充分利用现有给水设施，节约工程投资。</w:t>
      </w:r>
    </w:p>
    <w:p w14:paraId="6008BBAC">
      <w:pPr>
        <w:spacing w:after="166"/>
        <w:ind w:firstLine="500"/>
      </w:pPr>
      <w:r>
        <w:rPr>
          <w:rStyle w:val="54"/>
          <w:rFonts w:hint="eastAsia"/>
        </w:rPr>
        <w:t>原则②：适度超前。</w:t>
      </w:r>
      <w:r>
        <w:t>给水厂站及管道规划应适度超前，为城市的发展留有一定的发展空间。</w:t>
      </w:r>
    </w:p>
    <w:p w14:paraId="64A674B3">
      <w:pPr>
        <w:spacing w:after="166"/>
        <w:ind w:firstLine="500"/>
        <w:rPr>
          <w:lang w:val="en-US"/>
        </w:rPr>
      </w:pPr>
      <w:r>
        <w:rPr>
          <w:rStyle w:val="54"/>
          <w:rFonts w:hint="eastAsia"/>
        </w:rPr>
        <w:t>原则③：区域协调。</w:t>
      </w:r>
      <w:r>
        <w:rPr>
          <w:rFonts w:hint="eastAsia"/>
          <w:lang w:val="en-US"/>
        </w:rPr>
        <w:t>与上层次规划、专项规划相协调，给水设施与周边相邻区域合理衔接，并协调一致。</w:t>
      </w:r>
    </w:p>
    <w:p w14:paraId="6C5FAE0B">
      <w:pPr>
        <w:pStyle w:val="4"/>
        <w:numPr>
          <w:ilvl w:val="2"/>
          <w:numId w:val="5"/>
        </w:numPr>
        <w:spacing w:before="332" w:after="166"/>
        <w:rPr>
          <w:rFonts w:ascii="Times New Roman" w:hAnsi="Times New Roman"/>
          <w:lang w:val="en-US"/>
        </w:rPr>
      </w:pPr>
      <w:bookmarkStart w:id="15" w:name="_Toc42240760"/>
      <w:r>
        <w:rPr>
          <w:rFonts w:ascii="Times New Roman" w:hAnsi="Times New Roman"/>
          <w:lang w:val="en-US"/>
        </w:rPr>
        <w:t>用水量预测</w:t>
      </w:r>
      <w:bookmarkEnd w:id="15"/>
    </w:p>
    <w:p w14:paraId="5E923222">
      <w:pPr>
        <w:spacing w:after="166"/>
        <w:ind w:firstLine="500"/>
      </w:pPr>
      <w:bookmarkStart w:id="16" w:name="_Toc227483623"/>
      <w:r>
        <w:t>规划区人口3万人，</w:t>
      </w:r>
      <w:bookmarkStart w:id="17" w:name="_Hlk171546536"/>
      <w:r>
        <w:t>单位人口综合生活用水量指标取110升 /（人</w:t>
      </w:r>
      <w:r>
        <w:rPr>
          <w:lang w:val="en-US"/>
        </w:rPr>
        <w:t>·</w:t>
      </w:r>
      <w:r>
        <w:t>日），管网漏损率按10%考虑，规划区综合生活用水量约3630立方米/日，其他类用地用水量5430立方米/日，不可预见水量按10%考虑，用水量约9966立方米/日。</w:t>
      </w:r>
    </w:p>
    <w:p w14:paraId="12003211">
      <w:pPr>
        <w:pStyle w:val="117"/>
      </w:pPr>
      <w:r>
        <w:rPr>
          <w:rFonts w:hint="eastAsia"/>
        </w:rPr>
        <w:t xml:space="preserve">表11-1  </w:t>
      </w:r>
      <w:r>
        <w:t>其他用地用水量一览表</w:t>
      </w:r>
    </w:p>
    <w:tbl>
      <w:tblPr>
        <w:tblStyle w:val="36"/>
        <w:tblW w:w="7938" w:type="dxa"/>
        <w:jc w:val="center"/>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Layout w:type="autofit"/>
        <w:tblCellMar>
          <w:top w:w="0" w:type="dxa"/>
          <w:left w:w="108" w:type="dxa"/>
          <w:bottom w:w="0" w:type="dxa"/>
          <w:right w:w="108" w:type="dxa"/>
        </w:tblCellMar>
      </w:tblPr>
      <w:tblGrid>
        <w:gridCol w:w="846"/>
        <w:gridCol w:w="2410"/>
        <w:gridCol w:w="1506"/>
        <w:gridCol w:w="1588"/>
        <w:gridCol w:w="1588"/>
      </w:tblGrid>
      <w:tr w14:paraId="010709C5">
        <w:tblPrEx>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CellMar>
            <w:top w:w="0" w:type="dxa"/>
            <w:left w:w="108" w:type="dxa"/>
            <w:bottom w:w="0" w:type="dxa"/>
            <w:right w:w="108" w:type="dxa"/>
          </w:tblCellMar>
        </w:tblPrEx>
        <w:trPr>
          <w:trHeight w:val="57" w:hRule="atLeast"/>
          <w:jc w:val="center"/>
        </w:trPr>
        <w:tc>
          <w:tcPr>
            <w:tcW w:w="846" w:type="dxa"/>
            <w:tcBorders>
              <w:bottom w:val="single" w:color="auto" w:sz="4" w:space="0"/>
              <w:right w:val="single" w:color="auto" w:sz="4" w:space="0"/>
            </w:tcBorders>
            <w:shd w:val="clear" w:color="auto" w:fill="auto"/>
            <w:vAlign w:val="center"/>
          </w:tcPr>
          <w:p w14:paraId="68512179">
            <w:pPr>
              <w:pStyle w:val="115"/>
              <w:jc w:val="center"/>
            </w:pPr>
            <w:r>
              <w:t>序号</w:t>
            </w:r>
          </w:p>
        </w:tc>
        <w:tc>
          <w:tcPr>
            <w:tcW w:w="2410" w:type="dxa"/>
            <w:tcBorders>
              <w:left w:val="nil"/>
              <w:bottom w:val="single" w:color="auto" w:sz="4" w:space="0"/>
              <w:right w:val="single" w:color="auto" w:sz="4" w:space="0"/>
            </w:tcBorders>
            <w:shd w:val="clear" w:color="auto" w:fill="auto"/>
            <w:vAlign w:val="center"/>
          </w:tcPr>
          <w:p w14:paraId="1431A454">
            <w:pPr>
              <w:pStyle w:val="115"/>
              <w:jc w:val="center"/>
            </w:pPr>
            <w:r>
              <w:t>用地性质</w:t>
            </w:r>
          </w:p>
        </w:tc>
        <w:tc>
          <w:tcPr>
            <w:tcW w:w="1506" w:type="dxa"/>
            <w:tcBorders>
              <w:left w:val="nil"/>
              <w:bottom w:val="single" w:color="auto" w:sz="4" w:space="0"/>
              <w:right w:val="single" w:color="auto" w:sz="4" w:space="0"/>
            </w:tcBorders>
            <w:shd w:val="clear" w:color="auto" w:fill="auto"/>
            <w:vAlign w:val="center"/>
          </w:tcPr>
          <w:p w14:paraId="089D0F14">
            <w:pPr>
              <w:pStyle w:val="115"/>
              <w:jc w:val="center"/>
            </w:pPr>
            <w:r>
              <w:t>用地面积(ha)</w:t>
            </w:r>
          </w:p>
        </w:tc>
        <w:tc>
          <w:tcPr>
            <w:tcW w:w="1588" w:type="dxa"/>
            <w:tcBorders>
              <w:left w:val="nil"/>
              <w:bottom w:val="single" w:color="auto" w:sz="4" w:space="0"/>
              <w:right w:val="single" w:color="auto" w:sz="4" w:space="0"/>
            </w:tcBorders>
            <w:shd w:val="clear" w:color="auto" w:fill="auto"/>
            <w:vAlign w:val="center"/>
          </w:tcPr>
          <w:p w14:paraId="0DBDA98B">
            <w:pPr>
              <w:pStyle w:val="115"/>
              <w:jc w:val="center"/>
            </w:pPr>
            <w:r>
              <w:t>用水量指标</w:t>
            </w:r>
          </w:p>
          <w:p w14:paraId="2F686B7D">
            <w:pPr>
              <w:pStyle w:val="115"/>
              <w:jc w:val="center"/>
            </w:pPr>
            <w:r>
              <w:t>（m³/ha·d）</w:t>
            </w:r>
          </w:p>
        </w:tc>
        <w:tc>
          <w:tcPr>
            <w:tcW w:w="1588" w:type="dxa"/>
            <w:tcBorders>
              <w:left w:val="nil"/>
              <w:bottom w:val="single" w:color="auto" w:sz="4" w:space="0"/>
            </w:tcBorders>
            <w:shd w:val="clear" w:color="auto" w:fill="auto"/>
            <w:vAlign w:val="center"/>
          </w:tcPr>
          <w:p w14:paraId="41C3AF91">
            <w:pPr>
              <w:pStyle w:val="115"/>
              <w:jc w:val="center"/>
            </w:pPr>
            <w:r>
              <w:t>用水量</w:t>
            </w:r>
          </w:p>
          <w:p w14:paraId="16FFFAF1">
            <w:pPr>
              <w:pStyle w:val="115"/>
              <w:jc w:val="center"/>
            </w:pPr>
            <w:r>
              <w:t>（m³/d）</w:t>
            </w:r>
          </w:p>
        </w:tc>
      </w:tr>
      <w:tr w14:paraId="36CC4872">
        <w:tblPrEx>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CellMar>
            <w:top w:w="0" w:type="dxa"/>
            <w:left w:w="108" w:type="dxa"/>
            <w:bottom w:w="0" w:type="dxa"/>
            <w:right w:w="108" w:type="dxa"/>
          </w:tblCellMar>
        </w:tblPrEx>
        <w:trPr>
          <w:trHeight w:val="57" w:hRule="atLeast"/>
          <w:jc w:val="center"/>
        </w:trPr>
        <w:tc>
          <w:tcPr>
            <w:tcW w:w="846" w:type="dxa"/>
            <w:tcBorders>
              <w:top w:val="nil"/>
              <w:bottom w:val="single" w:color="auto" w:sz="4" w:space="0"/>
              <w:right w:val="single" w:color="auto" w:sz="4" w:space="0"/>
            </w:tcBorders>
            <w:shd w:val="clear" w:color="auto" w:fill="auto"/>
            <w:vAlign w:val="center"/>
          </w:tcPr>
          <w:p w14:paraId="6E11A14F">
            <w:pPr>
              <w:pStyle w:val="115"/>
              <w:jc w:val="center"/>
            </w:pPr>
            <w:r>
              <w:t>1</w:t>
            </w:r>
          </w:p>
        </w:tc>
        <w:tc>
          <w:tcPr>
            <w:tcW w:w="2410" w:type="dxa"/>
            <w:tcBorders>
              <w:top w:val="nil"/>
              <w:left w:val="nil"/>
              <w:bottom w:val="single" w:color="auto" w:sz="4" w:space="0"/>
              <w:right w:val="single" w:color="auto" w:sz="4" w:space="0"/>
            </w:tcBorders>
            <w:shd w:val="clear" w:color="auto" w:fill="auto"/>
            <w:vAlign w:val="center"/>
          </w:tcPr>
          <w:p w14:paraId="6C63FD34">
            <w:pPr>
              <w:pStyle w:val="115"/>
              <w:jc w:val="center"/>
            </w:pPr>
            <w:r>
              <w:t>工业用地</w:t>
            </w:r>
          </w:p>
        </w:tc>
        <w:tc>
          <w:tcPr>
            <w:tcW w:w="1506" w:type="dxa"/>
            <w:tcBorders>
              <w:top w:val="nil"/>
              <w:left w:val="nil"/>
              <w:bottom w:val="single" w:color="auto" w:sz="4" w:space="0"/>
              <w:right w:val="single" w:color="auto" w:sz="4" w:space="0"/>
            </w:tcBorders>
            <w:shd w:val="clear" w:color="auto" w:fill="auto"/>
            <w:vAlign w:val="center"/>
          </w:tcPr>
          <w:p w14:paraId="10D0CD41">
            <w:pPr>
              <w:pStyle w:val="115"/>
              <w:jc w:val="center"/>
            </w:pPr>
            <w:r>
              <w:t>16.76</w:t>
            </w:r>
          </w:p>
        </w:tc>
        <w:tc>
          <w:tcPr>
            <w:tcW w:w="1588" w:type="dxa"/>
            <w:tcBorders>
              <w:top w:val="nil"/>
              <w:left w:val="nil"/>
              <w:bottom w:val="single" w:color="auto" w:sz="4" w:space="0"/>
              <w:right w:val="single" w:color="auto" w:sz="4" w:space="0"/>
            </w:tcBorders>
            <w:shd w:val="clear" w:color="auto" w:fill="auto"/>
            <w:vAlign w:val="center"/>
          </w:tcPr>
          <w:p w14:paraId="05EE14BF">
            <w:pPr>
              <w:pStyle w:val="115"/>
              <w:jc w:val="center"/>
            </w:pPr>
            <w:r>
              <w:t>30</w:t>
            </w:r>
          </w:p>
        </w:tc>
        <w:tc>
          <w:tcPr>
            <w:tcW w:w="1588" w:type="dxa"/>
            <w:tcBorders>
              <w:top w:val="nil"/>
              <w:left w:val="nil"/>
              <w:bottom w:val="single" w:color="auto" w:sz="4" w:space="0"/>
            </w:tcBorders>
            <w:shd w:val="clear" w:color="auto" w:fill="auto"/>
            <w:vAlign w:val="center"/>
          </w:tcPr>
          <w:p w14:paraId="315C39F4">
            <w:pPr>
              <w:pStyle w:val="115"/>
              <w:jc w:val="center"/>
            </w:pPr>
            <w:r>
              <w:t>502.8</w:t>
            </w:r>
          </w:p>
        </w:tc>
      </w:tr>
      <w:tr w14:paraId="10F40B2A">
        <w:tblPrEx>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CellMar>
            <w:top w:w="0" w:type="dxa"/>
            <w:left w:w="108" w:type="dxa"/>
            <w:bottom w:w="0" w:type="dxa"/>
            <w:right w:w="108" w:type="dxa"/>
          </w:tblCellMar>
        </w:tblPrEx>
        <w:trPr>
          <w:trHeight w:val="57" w:hRule="atLeast"/>
          <w:jc w:val="center"/>
        </w:trPr>
        <w:tc>
          <w:tcPr>
            <w:tcW w:w="846" w:type="dxa"/>
            <w:tcBorders>
              <w:top w:val="nil"/>
              <w:bottom w:val="single" w:color="auto" w:sz="4" w:space="0"/>
              <w:right w:val="single" w:color="auto" w:sz="4" w:space="0"/>
            </w:tcBorders>
            <w:shd w:val="clear" w:color="auto" w:fill="auto"/>
            <w:vAlign w:val="center"/>
          </w:tcPr>
          <w:p w14:paraId="49B1FA15">
            <w:pPr>
              <w:pStyle w:val="115"/>
              <w:jc w:val="center"/>
            </w:pPr>
            <w:r>
              <w:t>2</w:t>
            </w:r>
          </w:p>
        </w:tc>
        <w:tc>
          <w:tcPr>
            <w:tcW w:w="2410" w:type="dxa"/>
            <w:tcBorders>
              <w:top w:val="nil"/>
              <w:left w:val="nil"/>
              <w:bottom w:val="single" w:color="auto" w:sz="4" w:space="0"/>
              <w:right w:val="single" w:color="auto" w:sz="4" w:space="0"/>
            </w:tcBorders>
            <w:shd w:val="clear" w:color="auto" w:fill="auto"/>
            <w:vAlign w:val="center"/>
          </w:tcPr>
          <w:p w14:paraId="7E4112FA">
            <w:pPr>
              <w:pStyle w:val="115"/>
              <w:jc w:val="center"/>
            </w:pPr>
            <w:r>
              <w:t>仓储用地</w:t>
            </w:r>
          </w:p>
        </w:tc>
        <w:tc>
          <w:tcPr>
            <w:tcW w:w="1506" w:type="dxa"/>
            <w:tcBorders>
              <w:top w:val="nil"/>
              <w:left w:val="nil"/>
              <w:bottom w:val="single" w:color="auto" w:sz="4" w:space="0"/>
              <w:right w:val="single" w:color="auto" w:sz="4" w:space="0"/>
            </w:tcBorders>
            <w:shd w:val="clear" w:color="auto" w:fill="auto"/>
            <w:vAlign w:val="center"/>
          </w:tcPr>
          <w:p w14:paraId="2B092000">
            <w:pPr>
              <w:pStyle w:val="115"/>
              <w:jc w:val="center"/>
            </w:pPr>
            <w:r>
              <w:t>26.87</w:t>
            </w:r>
          </w:p>
        </w:tc>
        <w:tc>
          <w:tcPr>
            <w:tcW w:w="1588" w:type="dxa"/>
            <w:tcBorders>
              <w:top w:val="nil"/>
              <w:left w:val="nil"/>
              <w:bottom w:val="single" w:color="auto" w:sz="4" w:space="0"/>
              <w:right w:val="single" w:color="auto" w:sz="4" w:space="0"/>
            </w:tcBorders>
            <w:shd w:val="clear" w:color="auto" w:fill="auto"/>
            <w:vAlign w:val="center"/>
          </w:tcPr>
          <w:p w14:paraId="643F36C6">
            <w:pPr>
              <w:pStyle w:val="115"/>
              <w:jc w:val="center"/>
            </w:pPr>
            <w:r>
              <w:t>20</w:t>
            </w:r>
          </w:p>
        </w:tc>
        <w:tc>
          <w:tcPr>
            <w:tcW w:w="1588" w:type="dxa"/>
            <w:tcBorders>
              <w:top w:val="nil"/>
              <w:left w:val="nil"/>
              <w:bottom w:val="single" w:color="auto" w:sz="4" w:space="0"/>
            </w:tcBorders>
            <w:shd w:val="clear" w:color="auto" w:fill="auto"/>
            <w:vAlign w:val="center"/>
          </w:tcPr>
          <w:p w14:paraId="20C63E9F">
            <w:pPr>
              <w:pStyle w:val="115"/>
              <w:jc w:val="center"/>
            </w:pPr>
            <w:r>
              <w:t>537.4</w:t>
            </w:r>
          </w:p>
        </w:tc>
      </w:tr>
      <w:tr w14:paraId="74E39311">
        <w:tblPrEx>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CellMar>
            <w:top w:w="0" w:type="dxa"/>
            <w:left w:w="108" w:type="dxa"/>
            <w:bottom w:w="0" w:type="dxa"/>
            <w:right w:w="108" w:type="dxa"/>
          </w:tblCellMar>
        </w:tblPrEx>
        <w:trPr>
          <w:trHeight w:val="57" w:hRule="atLeast"/>
          <w:jc w:val="center"/>
        </w:trPr>
        <w:tc>
          <w:tcPr>
            <w:tcW w:w="846" w:type="dxa"/>
            <w:tcBorders>
              <w:top w:val="nil"/>
              <w:bottom w:val="single" w:color="auto" w:sz="4" w:space="0"/>
              <w:right w:val="single" w:color="auto" w:sz="4" w:space="0"/>
            </w:tcBorders>
            <w:shd w:val="clear" w:color="auto" w:fill="auto"/>
            <w:vAlign w:val="center"/>
          </w:tcPr>
          <w:p w14:paraId="39A6B0F0">
            <w:pPr>
              <w:pStyle w:val="115"/>
              <w:jc w:val="center"/>
            </w:pPr>
            <w:r>
              <w:t>3</w:t>
            </w:r>
          </w:p>
        </w:tc>
        <w:tc>
          <w:tcPr>
            <w:tcW w:w="2410" w:type="dxa"/>
            <w:tcBorders>
              <w:top w:val="nil"/>
              <w:left w:val="nil"/>
              <w:bottom w:val="single" w:color="auto" w:sz="4" w:space="0"/>
              <w:right w:val="single" w:color="auto" w:sz="4" w:space="0"/>
            </w:tcBorders>
            <w:shd w:val="clear" w:color="auto" w:fill="auto"/>
            <w:vAlign w:val="center"/>
          </w:tcPr>
          <w:p w14:paraId="63A707A8">
            <w:pPr>
              <w:pStyle w:val="115"/>
              <w:jc w:val="center"/>
            </w:pPr>
            <w:r>
              <w:t>交通运输用地</w:t>
            </w:r>
          </w:p>
        </w:tc>
        <w:tc>
          <w:tcPr>
            <w:tcW w:w="1506" w:type="dxa"/>
            <w:tcBorders>
              <w:top w:val="nil"/>
              <w:left w:val="nil"/>
              <w:bottom w:val="single" w:color="auto" w:sz="4" w:space="0"/>
              <w:right w:val="single" w:color="auto" w:sz="4" w:space="0"/>
            </w:tcBorders>
            <w:shd w:val="clear" w:color="auto" w:fill="auto"/>
            <w:vAlign w:val="center"/>
          </w:tcPr>
          <w:p w14:paraId="537384AE">
            <w:pPr>
              <w:pStyle w:val="115"/>
              <w:jc w:val="center"/>
            </w:pPr>
            <w:r>
              <w:t>103.16</w:t>
            </w:r>
          </w:p>
        </w:tc>
        <w:tc>
          <w:tcPr>
            <w:tcW w:w="1588" w:type="dxa"/>
            <w:tcBorders>
              <w:top w:val="nil"/>
              <w:left w:val="nil"/>
              <w:bottom w:val="single" w:color="auto" w:sz="4" w:space="0"/>
              <w:right w:val="single" w:color="auto" w:sz="4" w:space="0"/>
            </w:tcBorders>
            <w:shd w:val="clear" w:color="auto" w:fill="auto"/>
            <w:vAlign w:val="center"/>
          </w:tcPr>
          <w:p w14:paraId="54C26BCE">
            <w:pPr>
              <w:pStyle w:val="115"/>
              <w:jc w:val="center"/>
            </w:pPr>
            <w:r>
              <w:t>20</w:t>
            </w:r>
          </w:p>
        </w:tc>
        <w:tc>
          <w:tcPr>
            <w:tcW w:w="1588" w:type="dxa"/>
            <w:tcBorders>
              <w:top w:val="nil"/>
              <w:left w:val="nil"/>
              <w:bottom w:val="single" w:color="auto" w:sz="4" w:space="0"/>
            </w:tcBorders>
            <w:shd w:val="clear" w:color="auto" w:fill="auto"/>
            <w:vAlign w:val="center"/>
          </w:tcPr>
          <w:p w14:paraId="0AF4B34C">
            <w:pPr>
              <w:pStyle w:val="115"/>
              <w:jc w:val="center"/>
            </w:pPr>
            <w:r>
              <w:t>2063.2</w:t>
            </w:r>
          </w:p>
        </w:tc>
      </w:tr>
      <w:tr w14:paraId="1E09A015">
        <w:tblPrEx>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CellMar>
            <w:top w:w="0" w:type="dxa"/>
            <w:left w:w="108" w:type="dxa"/>
            <w:bottom w:w="0" w:type="dxa"/>
            <w:right w:w="108" w:type="dxa"/>
          </w:tblCellMar>
        </w:tblPrEx>
        <w:trPr>
          <w:trHeight w:val="57" w:hRule="atLeast"/>
          <w:jc w:val="center"/>
        </w:trPr>
        <w:tc>
          <w:tcPr>
            <w:tcW w:w="846" w:type="dxa"/>
            <w:tcBorders>
              <w:top w:val="nil"/>
              <w:bottom w:val="single" w:color="auto" w:sz="4" w:space="0"/>
              <w:right w:val="single" w:color="auto" w:sz="4" w:space="0"/>
            </w:tcBorders>
            <w:shd w:val="clear" w:color="auto" w:fill="auto"/>
            <w:vAlign w:val="center"/>
          </w:tcPr>
          <w:p w14:paraId="6D1CA056">
            <w:pPr>
              <w:pStyle w:val="115"/>
              <w:jc w:val="center"/>
            </w:pPr>
            <w:r>
              <w:t>4</w:t>
            </w:r>
          </w:p>
        </w:tc>
        <w:tc>
          <w:tcPr>
            <w:tcW w:w="2410" w:type="dxa"/>
            <w:tcBorders>
              <w:top w:val="nil"/>
              <w:left w:val="nil"/>
              <w:bottom w:val="single" w:color="auto" w:sz="4" w:space="0"/>
              <w:right w:val="single" w:color="auto" w:sz="4" w:space="0"/>
            </w:tcBorders>
            <w:shd w:val="clear" w:color="auto" w:fill="auto"/>
            <w:vAlign w:val="center"/>
          </w:tcPr>
          <w:p w14:paraId="21F8D70A">
            <w:pPr>
              <w:pStyle w:val="115"/>
              <w:jc w:val="center"/>
            </w:pPr>
            <w:r>
              <w:t>公用设施用地</w:t>
            </w:r>
          </w:p>
        </w:tc>
        <w:tc>
          <w:tcPr>
            <w:tcW w:w="1506" w:type="dxa"/>
            <w:tcBorders>
              <w:top w:val="nil"/>
              <w:left w:val="nil"/>
              <w:bottom w:val="single" w:color="auto" w:sz="4" w:space="0"/>
              <w:right w:val="single" w:color="auto" w:sz="4" w:space="0"/>
            </w:tcBorders>
            <w:shd w:val="clear" w:color="auto" w:fill="auto"/>
            <w:vAlign w:val="center"/>
          </w:tcPr>
          <w:p w14:paraId="0B0B8CC9">
            <w:pPr>
              <w:pStyle w:val="115"/>
              <w:jc w:val="center"/>
            </w:pPr>
            <w:r>
              <w:t>20.22</w:t>
            </w:r>
          </w:p>
        </w:tc>
        <w:tc>
          <w:tcPr>
            <w:tcW w:w="1588" w:type="dxa"/>
            <w:tcBorders>
              <w:top w:val="nil"/>
              <w:left w:val="nil"/>
              <w:bottom w:val="single" w:color="auto" w:sz="4" w:space="0"/>
              <w:right w:val="single" w:color="auto" w:sz="4" w:space="0"/>
            </w:tcBorders>
            <w:shd w:val="clear" w:color="auto" w:fill="auto"/>
            <w:vAlign w:val="center"/>
          </w:tcPr>
          <w:p w14:paraId="23C032A8">
            <w:pPr>
              <w:pStyle w:val="115"/>
              <w:jc w:val="center"/>
            </w:pPr>
            <w:r>
              <w:t>25</w:t>
            </w:r>
          </w:p>
        </w:tc>
        <w:tc>
          <w:tcPr>
            <w:tcW w:w="1588" w:type="dxa"/>
            <w:tcBorders>
              <w:top w:val="nil"/>
              <w:left w:val="nil"/>
              <w:bottom w:val="single" w:color="auto" w:sz="4" w:space="0"/>
            </w:tcBorders>
            <w:shd w:val="clear" w:color="auto" w:fill="auto"/>
            <w:vAlign w:val="center"/>
          </w:tcPr>
          <w:p w14:paraId="07FF6347">
            <w:pPr>
              <w:pStyle w:val="115"/>
              <w:jc w:val="center"/>
            </w:pPr>
            <w:r>
              <w:t>505.5</w:t>
            </w:r>
          </w:p>
        </w:tc>
      </w:tr>
      <w:tr w14:paraId="16C61902">
        <w:tblPrEx>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CellMar>
            <w:top w:w="0" w:type="dxa"/>
            <w:left w:w="108" w:type="dxa"/>
            <w:bottom w:w="0" w:type="dxa"/>
            <w:right w:w="108" w:type="dxa"/>
          </w:tblCellMar>
        </w:tblPrEx>
        <w:trPr>
          <w:trHeight w:val="57" w:hRule="atLeast"/>
          <w:jc w:val="center"/>
        </w:trPr>
        <w:tc>
          <w:tcPr>
            <w:tcW w:w="846" w:type="dxa"/>
            <w:tcBorders>
              <w:top w:val="nil"/>
              <w:bottom w:val="single" w:color="auto" w:sz="4" w:space="0"/>
              <w:right w:val="single" w:color="auto" w:sz="4" w:space="0"/>
            </w:tcBorders>
            <w:shd w:val="clear" w:color="auto" w:fill="auto"/>
            <w:vAlign w:val="center"/>
          </w:tcPr>
          <w:p w14:paraId="24EB9E5F">
            <w:pPr>
              <w:pStyle w:val="115"/>
              <w:jc w:val="center"/>
            </w:pPr>
            <w:r>
              <w:t>5</w:t>
            </w:r>
          </w:p>
        </w:tc>
        <w:tc>
          <w:tcPr>
            <w:tcW w:w="2410" w:type="dxa"/>
            <w:tcBorders>
              <w:top w:val="nil"/>
              <w:left w:val="nil"/>
              <w:bottom w:val="single" w:color="auto" w:sz="4" w:space="0"/>
              <w:right w:val="single" w:color="auto" w:sz="4" w:space="0"/>
            </w:tcBorders>
            <w:shd w:val="clear" w:color="auto" w:fill="auto"/>
            <w:vAlign w:val="center"/>
          </w:tcPr>
          <w:p w14:paraId="614E9DE6">
            <w:pPr>
              <w:pStyle w:val="115"/>
              <w:jc w:val="center"/>
            </w:pPr>
            <w:r>
              <w:t>绿地与开敞空间</w:t>
            </w:r>
          </w:p>
        </w:tc>
        <w:tc>
          <w:tcPr>
            <w:tcW w:w="1506" w:type="dxa"/>
            <w:tcBorders>
              <w:top w:val="nil"/>
              <w:left w:val="nil"/>
              <w:bottom w:val="single" w:color="auto" w:sz="4" w:space="0"/>
              <w:right w:val="single" w:color="auto" w:sz="4" w:space="0"/>
            </w:tcBorders>
            <w:shd w:val="clear" w:color="auto" w:fill="auto"/>
            <w:vAlign w:val="center"/>
          </w:tcPr>
          <w:p w14:paraId="6FE0696D">
            <w:pPr>
              <w:pStyle w:val="115"/>
              <w:jc w:val="center"/>
            </w:pPr>
            <w:r>
              <w:t>182.14</w:t>
            </w:r>
          </w:p>
        </w:tc>
        <w:tc>
          <w:tcPr>
            <w:tcW w:w="1588" w:type="dxa"/>
            <w:tcBorders>
              <w:top w:val="nil"/>
              <w:left w:val="nil"/>
              <w:bottom w:val="single" w:color="auto" w:sz="4" w:space="0"/>
              <w:right w:val="single" w:color="auto" w:sz="4" w:space="0"/>
            </w:tcBorders>
            <w:shd w:val="clear" w:color="auto" w:fill="auto"/>
            <w:vAlign w:val="center"/>
          </w:tcPr>
          <w:p w14:paraId="6B8453EB">
            <w:pPr>
              <w:pStyle w:val="115"/>
              <w:jc w:val="center"/>
            </w:pPr>
            <w:r>
              <w:t>10</w:t>
            </w:r>
          </w:p>
        </w:tc>
        <w:tc>
          <w:tcPr>
            <w:tcW w:w="1588" w:type="dxa"/>
            <w:tcBorders>
              <w:top w:val="nil"/>
              <w:left w:val="nil"/>
              <w:bottom w:val="single" w:color="auto" w:sz="4" w:space="0"/>
            </w:tcBorders>
            <w:shd w:val="clear" w:color="auto" w:fill="auto"/>
            <w:vAlign w:val="center"/>
          </w:tcPr>
          <w:p w14:paraId="7104D7A0">
            <w:pPr>
              <w:pStyle w:val="115"/>
              <w:jc w:val="center"/>
            </w:pPr>
            <w:r>
              <w:t>1821.4</w:t>
            </w:r>
          </w:p>
        </w:tc>
      </w:tr>
      <w:tr w14:paraId="637EB245">
        <w:tblPrEx>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CellMar>
            <w:top w:w="0" w:type="dxa"/>
            <w:left w:w="108" w:type="dxa"/>
            <w:bottom w:w="0" w:type="dxa"/>
            <w:right w:w="108" w:type="dxa"/>
          </w:tblCellMar>
        </w:tblPrEx>
        <w:trPr>
          <w:trHeight w:val="57" w:hRule="atLeast"/>
          <w:jc w:val="center"/>
        </w:trPr>
        <w:tc>
          <w:tcPr>
            <w:tcW w:w="846" w:type="dxa"/>
            <w:tcBorders>
              <w:top w:val="nil"/>
              <w:right w:val="single" w:color="auto" w:sz="4" w:space="0"/>
            </w:tcBorders>
            <w:shd w:val="clear" w:color="auto" w:fill="auto"/>
            <w:vAlign w:val="center"/>
          </w:tcPr>
          <w:p w14:paraId="59CFD635">
            <w:pPr>
              <w:pStyle w:val="115"/>
              <w:jc w:val="center"/>
            </w:pPr>
            <w:r>
              <w:t>合计</w:t>
            </w:r>
          </w:p>
        </w:tc>
        <w:tc>
          <w:tcPr>
            <w:tcW w:w="2410" w:type="dxa"/>
            <w:tcBorders>
              <w:top w:val="nil"/>
              <w:left w:val="nil"/>
              <w:right w:val="single" w:color="auto" w:sz="4" w:space="0"/>
            </w:tcBorders>
            <w:shd w:val="clear" w:color="auto" w:fill="auto"/>
            <w:vAlign w:val="center"/>
          </w:tcPr>
          <w:p w14:paraId="55E53893">
            <w:pPr>
              <w:pStyle w:val="115"/>
              <w:jc w:val="center"/>
            </w:pPr>
          </w:p>
        </w:tc>
        <w:tc>
          <w:tcPr>
            <w:tcW w:w="1506" w:type="dxa"/>
            <w:tcBorders>
              <w:top w:val="nil"/>
              <w:left w:val="nil"/>
              <w:right w:val="single" w:color="auto" w:sz="4" w:space="0"/>
            </w:tcBorders>
            <w:shd w:val="clear" w:color="auto" w:fill="auto"/>
            <w:vAlign w:val="center"/>
          </w:tcPr>
          <w:p w14:paraId="32A20EC1">
            <w:pPr>
              <w:pStyle w:val="115"/>
              <w:jc w:val="center"/>
            </w:pPr>
          </w:p>
        </w:tc>
        <w:tc>
          <w:tcPr>
            <w:tcW w:w="1588" w:type="dxa"/>
            <w:tcBorders>
              <w:top w:val="nil"/>
              <w:left w:val="nil"/>
              <w:right w:val="single" w:color="auto" w:sz="4" w:space="0"/>
            </w:tcBorders>
            <w:shd w:val="clear" w:color="auto" w:fill="auto"/>
            <w:vAlign w:val="center"/>
          </w:tcPr>
          <w:p w14:paraId="586644C5">
            <w:pPr>
              <w:pStyle w:val="115"/>
              <w:jc w:val="center"/>
            </w:pPr>
          </w:p>
        </w:tc>
        <w:tc>
          <w:tcPr>
            <w:tcW w:w="1588" w:type="dxa"/>
            <w:tcBorders>
              <w:top w:val="nil"/>
              <w:left w:val="nil"/>
            </w:tcBorders>
            <w:shd w:val="clear" w:color="auto" w:fill="auto"/>
            <w:vAlign w:val="center"/>
          </w:tcPr>
          <w:p w14:paraId="7BF2D60D">
            <w:pPr>
              <w:pStyle w:val="115"/>
              <w:jc w:val="center"/>
            </w:pPr>
            <w:r>
              <w:t>5430.3</w:t>
            </w:r>
          </w:p>
        </w:tc>
      </w:tr>
    </w:tbl>
    <w:p w14:paraId="510B3D53">
      <w:pPr>
        <w:spacing w:after="166"/>
        <w:ind w:firstLine="500"/>
      </w:pPr>
    </w:p>
    <w:bookmarkEnd w:id="17"/>
    <w:p w14:paraId="78C1ABC3">
      <w:pPr>
        <w:pStyle w:val="4"/>
        <w:numPr>
          <w:ilvl w:val="2"/>
          <w:numId w:val="5"/>
        </w:numPr>
        <w:spacing w:before="332" w:after="166"/>
        <w:rPr>
          <w:rFonts w:ascii="Times New Roman" w:hAnsi="Times New Roman"/>
          <w:lang w:val="en-US"/>
        </w:rPr>
      </w:pPr>
      <w:bookmarkStart w:id="18" w:name="_Toc42240761"/>
      <w:r>
        <w:rPr>
          <w:rFonts w:ascii="Times New Roman" w:hAnsi="Times New Roman"/>
          <w:lang w:val="en-US"/>
        </w:rPr>
        <w:t>供水设施规划</w:t>
      </w:r>
      <w:bookmarkEnd w:id="18"/>
    </w:p>
    <w:p w14:paraId="6289DECB">
      <w:pPr>
        <w:pStyle w:val="5"/>
        <w:numPr>
          <w:ilvl w:val="0"/>
          <w:numId w:val="29"/>
        </w:numPr>
      </w:pPr>
      <w:r>
        <w:t>水源及水厂规划</w:t>
      </w:r>
    </w:p>
    <w:p w14:paraId="02AAB71F">
      <w:pPr>
        <w:spacing w:after="166"/>
        <w:ind w:firstLine="500"/>
      </w:pPr>
      <w:r>
        <w:t>规划水源地维持现状，</w:t>
      </w:r>
      <w:bookmarkStart w:id="19" w:name="_Hlk171546578"/>
      <w:r>
        <w:t>规划保留白音布拉格水源地、黑脑包水源地、塔令宫水源地和艾不盖水源地。</w:t>
      </w:r>
      <w:bookmarkEnd w:id="19"/>
    </w:p>
    <w:p w14:paraId="6B382828">
      <w:pPr>
        <w:spacing w:after="166"/>
        <w:ind w:firstLine="500"/>
      </w:pPr>
      <w:bookmarkStart w:id="20" w:name="_Hlk171546560"/>
      <w:r>
        <w:t>规划保留现状自来水厂，供给规划区用水。</w:t>
      </w:r>
    </w:p>
    <w:bookmarkEnd w:id="20"/>
    <w:p w14:paraId="28152621">
      <w:pPr>
        <w:pStyle w:val="5"/>
        <w:numPr>
          <w:ilvl w:val="0"/>
          <w:numId w:val="29"/>
        </w:numPr>
      </w:pPr>
      <w:r>
        <w:t>给水管网规划</w:t>
      </w:r>
      <w:bookmarkEnd w:id="16"/>
    </w:p>
    <w:p w14:paraId="3799AB49">
      <w:pPr>
        <w:spacing w:after="166"/>
        <w:ind w:firstLine="500"/>
      </w:pPr>
      <w:bookmarkStart w:id="21" w:name="_Hlk171546622"/>
      <w:r>
        <w:t>规划保留现状供水管网的格局，由水厂向东南方向新敷设一根DN300供水干管接入城市供水系统，确保形成两路供水，其他结合道路敷设DN150~DN200供水支管。</w:t>
      </w:r>
    </w:p>
    <w:p w14:paraId="4494D666">
      <w:pPr>
        <w:pStyle w:val="13"/>
        <w:spacing w:after="0" w:afterLines="0"/>
        <w:ind w:firstLine="0" w:firstLineChars="0"/>
        <w:rPr>
          <w:rFonts w:hint="eastAsia"/>
        </w:rPr>
      </w:pPr>
      <w:r>
        <w:drawing>
          <wp:inline distT="0" distB="0" distL="114300" distR="114300">
            <wp:extent cx="5271770" cy="4375150"/>
            <wp:effectExtent l="0" t="0" r="5080" b="6350"/>
            <wp:docPr id="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pic:cNvPicPr>
                      <a:picLocks noChangeAspect="1"/>
                    </pic:cNvPicPr>
                  </pic:nvPicPr>
                  <pic:blipFill>
                    <a:blip r:embed="rId102"/>
                    <a:stretch>
                      <a:fillRect/>
                    </a:stretch>
                  </pic:blipFill>
                  <pic:spPr>
                    <a:xfrm>
                      <a:off x="0" y="0"/>
                      <a:ext cx="5271770" cy="4375150"/>
                    </a:xfrm>
                    <a:prstGeom prst="rect">
                      <a:avLst/>
                    </a:prstGeom>
                    <a:noFill/>
                    <a:ln>
                      <a:noFill/>
                    </a:ln>
                  </pic:spPr>
                </pic:pic>
              </a:graphicData>
            </a:graphic>
          </wp:inline>
        </w:drawing>
      </w:r>
    </w:p>
    <w:p w14:paraId="1A430458">
      <w:pPr>
        <w:pStyle w:val="268"/>
      </w:pPr>
      <w:r>
        <w:rPr>
          <w:rFonts w:hint="eastAsia"/>
        </w:rPr>
        <w:t>图11-1  给水工程规划图</w:t>
      </w:r>
    </w:p>
    <w:bookmarkEnd w:id="21"/>
    <w:p w14:paraId="0EB2D18A">
      <w:pPr>
        <w:pStyle w:val="3"/>
        <w:numPr>
          <w:ilvl w:val="1"/>
          <w:numId w:val="5"/>
        </w:numPr>
        <w:spacing w:before="332" w:after="166"/>
        <w:rPr>
          <w:rFonts w:hint="eastAsia"/>
        </w:rPr>
      </w:pPr>
      <w:r>
        <w:rPr>
          <w:rFonts w:hint="eastAsia"/>
        </w:rPr>
        <w:t xml:space="preserve"> </w:t>
      </w:r>
      <w:r>
        <w:t>污水工程规划</w:t>
      </w:r>
    </w:p>
    <w:p w14:paraId="41D7A193">
      <w:pPr>
        <w:pStyle w:val="4"/>
        <w:numPr>
          <w:ilvl w:val="2"/>
          <w:numId w:val="5"/>
        </w:numPr>
        <w:spacing w:before="332" w:after="166"/>
        <w:rPr>
          <w:rFonts w:ascii="Times New Roman" w:hAnsi="Times New Roman"/>
          <w:lang w:val="en-US"/>
        </w:rPr>
      </w:pPr>
      <w:bookmarkStart w:id="22" w:name="_Toc42240770"/>
      <w:r>
        <w:rPr>
          <w:rFonts w:ascii="Times New Roman" w:hAnsi="Times New Roman"/>
          <w:lang w:val="en-US"/>
        </w:rPr>
        <w:t>现状概况</w:t>
      </w:r>
      <w:bookmarkEnd w:id="22"/>
    </w:p>
    <w:p w14:paraId="13A89D54">
      <w:pPr>
        <w:spacing w:after="166"/>
        <w:ind w:firstLine="500"/>
      </w:pPr>
      <w:r>
        <w:t>规划区现状有污水厂1座，位于矿山路以南、炸药运输专线以西，占地面积约4.18公顷，处理规模5000吨/日。</w:t>
      </w:r>
    </w:p>
    <w:p w14:paraId="3984A471">
      <w:pPr>
        <w:spacing w:after="166"/>
        <w:ind w:firstLine="500"/>
      </w:pPr>
      <w:r>
        <w:t>规划区现状有5座污水提升泵站。</w:t>
      </w:r>
    </w:p>
    <w:p w14:paraId="03140883">
      <w:pPr>
        <w:spacing w:after="166"/>
        <w:ind w:firstLine="500"/>
      </w:pPr>
      <w:r>
        <w:t>规划区已建设污水主干管2条，一条沿矿山路，管径为d500~d800，另一条沿鄂博大街—地质道，管径为d800~d1000。其他随路建设污水管，管径为d300~d600，城区共建设污水管16.15千米。</w:t>
      </w:r>
    </w:p>
    <w:p w14:paraId="4095F61A">
      <w:pPr>
        <w:pStyle w:val="4"/>
        <w:numPr>
          <w:ilvl w:val="2"/>
          <w:numId w:val="5"/>
        </w:numPr>
        <w:spacing w:before="332" w:after="166"/>
        <w:rPr>
          <w:rFonts w:ascii="Times New Roman" w:hAnsi="Times New Roman"/>
          <w:lang w:val="en-US"/>
        </w:rPr>
      </w:pPr>
      <w:r>
        <w:rPr>
          <w:rFonts w:ascii="Times New Roman" w:hAnsi="Times New Roman"/>
          <w:lang w:val="en-US"/>
        </w:rPr>
        <w:t>规划依据</w:t>
      </w:r>
    </w:p>
    <w:p w14:paraId="7C14F0A1">
      <w:pPr>
        <w:pStyle w:val="269"/>
        <w:ind w:firstLine="480"/>
        <w:rPr>
          <w:rFonts w:ascii="Times New Roman" w:hAnsi="Times New Roman" w:cs="Times New Roman"/>
        </w:rPr>
      </w:pPr>
      <w:r>
        <w:rPr>
          <w:rFonts w:ascii="Times New Roman" w:hAnsi="Times New Roman" w:cs="Times New Roman"/>
        </w:rPr>
        <w:t>1.《城乡排水工程项目规范》（GB55027—2022）</w:t>
      </w:r>
    </w:p>
    <w:p w14:paraId="021CF09B">
      <w:pPr>
        <w:pStyle w:val="269"/>
        <w:ind w:firstLine="480"/>
        <w:rPr>
          <w:rFonts w:ascii="Times New Roman" w:hAnsi="Times New Roman" w:cs="Times New Roman"/>
        </w:rPr>
      </w:pPr>
      <w:r>
        <w:rPr>
          <w:rFonts w:ascii="Times New Roman" w:hAnsi="Times New Roman" w:cs="Times New Roman"/>
        </w:rPr>
        <w:t>2.《城市排水工程规划规范》（GB50318—2017）；</w:t>
      </w:r>
    </w:p>
    <w:p w14:paraId="66634254">
      <w:pPr>
        <w:pStyle w:val="269"/>
        <w:ind w:firstLine="480"/>
        <w:rPr>
          <w:rFonts w:ascii="Times New Roman" w:hAnsi="Times New Roman" w:cs="Times New Roman"/>
        </w:rPr>
      </w:pPr>
      <w:r>
        <w:rPr>
          <w:rFonts w:ascii="Times New Roman" w:hAnsi="Times New Roman" w:cs="Times New Roman"/>
        </w:rPr>
        <w:t>3.《室外排水设计标准》（GB50014—2021）。</w:t>
      </w:r>
    </w:p>
    <w:p w14:paraId="515B602F">
      <w:pPr>
        <w:pStyle w:val="4"/>
        <w:numPr>
          <w:ilvl w:val="2"/>
          <w:numId w:val="5"/>
        </w:numPr>
        <w:spacing w:before="332" w:after="166"/>
        <w:rPr>
          <w:rFonts w:ascii="Times New Roman" w:hAnsi="Times New Roman"/>
          <w:lang w:val="en-US"/>
        </w:rPr>
      </w:pPr>
      <w:bookmarkStart w:id="23" w:name="_Toc42240771"/>
      <w:r>
        <w:rPr>
          <w:rFonts w:ascii="Times New Roman" w:hAnsi="Times New Roman"/>
          <w:lang w:val="en-US"/>
        </w:rPr>
        <w:t>规划原则</w:t>
      </w:r>
      <w:bookmarkEnd w:id="23"/>
    </w:p>
    <w:p w14:paraId="37A42E64">
      <w:pPr>
        <w:spacing w:after="166"/>
        <w:ind w:firstLine="500"/>
      </w:pPr>
      <w:r>
        <w:rPr>
          <w:rStyle w:val="54"/>
          <w:rFonts w:hint="eastAsia"/>
        </w:rPr>
        <w:t>原则①：</w:t>
      </w:r>
      <w:r>
        <w:rPr>
          <w:rStyle w:val="54"/>
        </w:rPr>
        <w:t>利用现状</w:t>
      </w:r>
      <w:r>
        <w:rPr>
          <w:rStyle w:val="54"/>
          <w:rFonts w:hint="eastAsia"/>
        </w:rPr>
        <w:t>。</w:t>
      </w:r>
      <w:r>
        <w:t>结合现状污水管道进行规划，充分利用现有污水设施，节约工程投资。</w:t>
      </w:r>
    </w:p>
    <w:p w14:paraId="33EA4FB9">
      <w:pPr>
        <w:spacing w:after="166"/>
        <w:ind w:firstLine="500"/>
      </w:pPr>
      <w:r>
        <w:rPr>
          <w:rStyle w:val="54"/>
          <w:rFonts w:hint="eastAsia"/>
        </w:rPr>
        <w:t>原则②：设施现行。</w:t>
      </w:r>
      <w:r>
        <w:t>污水处理厂站及管道规划应适度超前，为城市的发展留有一定的发展空间。</w:t>
      </w:r>
    </w:p>
    <w:p w14:paraId="2503A768">
      <w:pPr>
        <w:spacing w:after="166"/>
        <w:ind w:firstLine="500"/>
      </w:pPr>
      <w:r>
        <w:rPr>
          <w:rStyle w:val="54"/>
          <w:rFonts w:hint="eastAsia"/>
        </w:rPr>
        <w:t>原则③：周边协调。</w:t>
      </w:r>
      <w:r>
        <w:t>与上层次规划、专项规划相协调，污水设施与周边相邻区域合理衔接，并协调一致。</w:t>
      </w:r>
    </w:p>
    <w:p w14:paraId="40A9F96E">
      <w:pPr>
        <w:pStyle w:val="4"/>
        <w:numPr>
          <w:ilvl w:val="2"/>
          <w:numId w:val="5"/>
        </w:numPr>
        <w:spacing w:before="332" w:after="166"/>
        <w:rPr>
          <w:rFonts w:ascii="Times New Roman" w:hAnsi="Times New Roman"/>
          <w:lang w:val="en-US"/>
        </w:rPr>
      </w:pPr>
      <w:bookmarkStart w:id="24" w:name="_Toc42240772"/>
      <w:r>
        <w:rPr>
          <w:rFonts w:ascii="Times New Roman" w:hAnsi="Times New Roman"/>
          <w:lang w:val="en-US"/>
        </w:rPr>
        <w:t>污水量测算</w:t>
      </w:r>
      <w:bookmarkEnd w:id="24"/>
    </w:p>
    <w:p w14:paraId="6ECE8D9B">
      <w:pPr>
        <w:pStyle w:val="5"/>
        <w:numPr>
          <w:ilvl w:val="0"/>
          <w:numId w:val="30"/>
        </w:numPr>
      </w:pPr>
      <w:r>
        <w:t>规划</w:t>
      </w:r>
      <w:r>
        <w:rPr>
          <w:rFonts w:hint="eastAsia"/>
        </w:rPr>
        <w:t>标准</w:t>
      </w:r>
    </w:p>
    <w:p w14:paraId="0FD3B5CE">
      <w:pPr>
        <w:spacing w:after="166"/>
        <w:ind w:firstLine="500"/>
      </w:pPr>
      <w:r>
        <w:rPr>
          <w:rFonts w:hint="eastAsia"/>
          <w:lang w:val="en-US"/>
        </w:rPr>
        <w:t>按照</w:t>
      </w:r>
      <w:r>
        <w:t>污水收集率100%</w:t>
      </w:r>
      <w:r>
        <w:rPr>
          <w:rFonts w:hint="eastAsia"/>
        </w:rPr>
        <w:t>、</w:t>
      </w:r>
      <w:r>
        <w:t>污水排放系数0.9</w:t>
      </w:r>
      <w:r>
        <w:rPr>
          <w:rFonts w:hint="eastAsia"/>
        </w:rPr>
        <w:t>、</w:t>
      </w:r>
      <w:r>
        <w:t>给水日变化系数1.4</w:t>
      </w:r>
      <w:r>
        <w:rPr>
          <w:rFonts w:hint="eastAsia"/>
        </w:rPr>
        <w:t>、</w:t>
      </w:r>
      <w:r>
        <w:t>地下水入渗量按污水量的10%</w:t>
      </w:r>
      <w:r>
        <w:rPr>
          <w:rFonts w:hint="eastAsia"/>
          <w:lang w:val="en-US"/>
        </w:rPr>
        <w:t>设置规划目标</w:t>
      </w:r>
      <w:r>
        <w:t>。</w:t>
      </w:r>
    </w:p>
    <w:p w14:paraId="3154019D">
      <w:pPr>
        <w:pStyle w:val="5"/>
        <w:numPr>
          <w:ilvl w:val="0"/>
          <w:numId w:val="30"/>
        </w:numPr>
      </w:pPr>
      <w:r>
        <w:t>污水量预测</w:t>
      </w:r>
    </w:p>
    <w:p w14:paraId="2A26CD02">
      <w:pPr>
        <w:spacing w:after="166"/>
        <w:ind w:firstLine="500"/>
      </w:pPr>
      <w:bookmarkStart w:id="25" w:name="_Hlk171546647"/>
      <w:r>
        <w:t>规划区最高日污水量为4797立方米/日，规划区平均日污水量为3426立方米/日。</w:t>
      </w:r>
    </w:p>
    <w:bookmarkEnd w:id="25"/>
    <w:p w14:paraId="3F7C292E">
      <w:pPr>
        <w:pStyle w:val="4"/>
        <w:numPr>
          <w:ilvl w:val="2"/>
          <w:numId w:val="5"/>
        </w:numPr>
        <w:spacing w:before="332" w:after="166"/>
        <w:rPr>
          <w:rFonts w:ascii="Times New Roman" w:hAnsi="Times New Roman"/>
          <w:lang w:val="en-US"/>
        </w:rPr>
      </w:pPr>
      <w:bookmarkStart w:id="26" w:name="_Toc42240773"/>
      <w:r>
        <w:rPr>
          <w:rFonts w:ascii="Times New Roman" w:hAnsi="Times New Roman"/>
          <w:lang w:val="en-US"/>
        </w:rPr>
        <w:t>污水工程规划</w:t>
      </w:r>
      <w:bookmarkEnd w:id="26"/>
    </w:p>
    <w:p w14:paraId="5F65FFB6">
      <w:pPr>
        <w:pStyle w:val="5"/>
        <w:numPr>
          <w:ilvl w:val="0"/>
          <w:numId w:val="31"/>
        </w:numPr>
      </w:pPr>
      <w:r>
        <w:t>污水处理设施规划</w:t>
      </w:r>
    </w:p>
    <w:p w14:paraId="2A13C6D0">
      <w:pPr>
        <w:spacing w:after="166"/>
        <w:ind w:firstLine="500"/>
      </w:pPr>
      <w:bookmarkStart w:id="27" w:name="_Hlk171546701"/>
      <w:r>
        <w:t>规划区近期保留现状污水处理厂，规模5000吨/日。</w:t>
      </w:r>
    </w:p>
    <w:bookmarkEnd w:id="27"/>
    <w:p w14:paraId="76024414">
      <w:pPr>
        <w:pStyle w:val="5"/>
        <w:numPr>
          <w:ilvl w:val="0"/>
          <w:numId w:val="31"/>
        </w:numPr>
      </w:pPr>
      <w:r>
        <w:t>污水收集系统规划</w:t>
      </w:r>
    </w:p>
    <w:p w14:paraId="2456031F">
      <w:pPr>
        <w:spacing w:after="166"/>
        <w:ind w:firstLine="500"/>
      </w:pPr>
      <w:bookmarkStart w:id="28" w:name="_Hlk171546719"/>
      <w:r>
        <w:t>规划保留沿矿山路、</w:t>
      </w:r>
      <w:r>
        <w:rPr>
          <w:rFonts w:hint="eastAsia"/>
          <w:lang w:val="en-US"/>
        </w:rPr>
        <w:t>白云</w:t>
      </w:r>
      <w:r>
        <w:t>鄂博大街-地质道已建设污水主干管2条，其他道路敷设污水管d400~d500污水管。</w:t>
      </w:r>
    </w:p>
    <w:p w14:paraId="5F3DB9B2">
      <w:pPr>
        <w:pStyle w:val="13"/>
        <w:spacing w:after="0" w:afterLines="0"/>
        <w:ind w:firstLine="0" w:firstLineChars="0"/>
        <w:rPr>
          <w:rFonts w:hint="eastAsia"/>
        </w:rPr>
      </w:pPr>
      <w:r>
        <w:drawing>
          <wp:inline distT="0" distB="0" distL="114300" distR="114300">
            <wp:extent cx="5271770" cy="4366260"/>
            <wp:effectExtent l="0" t="0" r="5080" b="15240"/>
            <wp:docPr id="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
                    <pic:cNvPicPr>
                      <a:picLocks noChangeAspect="1"/>
                    </pic:cNvPicPr>
                  </pic:nvPicPr>
                  <pic:blipFill>
                    <a:blip r:embed="rId103"/>
                    <a:stretch>
                      <a:fillRect/>
                    </a:stretch>
                  </pic:blipFill>
                  <pic:spPr>
                    <a:xfrm>
                      <a:off x="0" y="0"/>
                      <a:ext cx="5271770" cy="4366260"/>
                    </a:xfrm>
                    <a:prstGeom prst="rect">
                      <a:avLst/>
                    </a:prstGeom>
                    <a:noFill/>
                    <a:ln>
                      <a:noFill/>
                    </a:ln>
                  </pic:spPr>
                </pic:pic>
              </a:graphicData>
            </a:graphic>
          </wp:inline>
        </w:drawing>
      </w:r>
    </w:p>
    <w:p w14:paraId="1FF06953">
      <w:pPr>
        <w:pStyle w:val="268"/>
      </w:pPr>
      <w:r>
        <w:rPr>
          <w:rFonts w:hint="eastAsia"/>
        </w:rPr>
        <w:t>图11-2  污水工程规划图</w:t>
      </w:r>
    </w:p>
    <w:bookmarkEnd w:id="28"/>
    <w:p w14:paraId="09123381">
      <w:pPr>
        <w:pStyle w:val="3"/>
        <w:numPr>
          <w:ilvl w:val="1"/>
          <w:numId w:val="5"/>
        </w:numPr>
        <w:spacing w:before="332" w:after="166"/>
        <w:rPr>
          <w:rFonts w:hint="eastAsia"/>
        </w:rPr>
      </w:pPr>
      <w:r>
        <w:rPr>
          <w:rFonts w:hint="eastAsia"/>
        </w:rPr>
        <w:t>雨水工程规划</w:t>
      </w:r>
    </w:p>
    <w:p w14:paraId="15C48CE3">
      <w:pPr>
        <w:pStyle w:val="4"/>
        <w:numPr>
          <w:ilvl w:val="2"/>
          <w:numId w:val="5"/>
        </w:numPr>
        <w:spacing w:before="332" w:after="166"/>
        <w:rPr>
          <w:rFonts w:ascii="Times New Roman" w:hAnsi="Times New Roman"/>
          <w:lang w:val="en-US"/>
        </w:rPr>
      </w:pPr>
      <w:bookmarkStart w:id="29" w:name="_Toc42240763"/>
      <w:r>
        <w:rPr>
          <w:rFonts w:ascii="Times New Roman" w:hAnsi="Times New Roman"/>
          <w:lang w:val="en-US"/>
        </w:rPr>
        <w:t>现状概况</w:t>
      </w:r>
      <w:bookmarkEnd w:id="29"/>
    </w:p>
    <w:p w14:paraId="57BF8C1D">
      <w:pPr>
        <w:spacing w:after="166"/>
        <w:ind w:firstLine="500"/>
      </w:pPr>
      <w:r>
        <w:t>规划区属艾不盖河流域，城区已建道路下敷设有d400~d1200的雨水管，雨水管总长约14.17</w:t>
      </w:r>
      <w:r>
        <w:rPr>
          <w:rFonts w:hint="eastAsia"/>
          <w:lang w:val="en-US"/>
        </w:rPr>
        <w:t>km</w:t>
      </w:r>
      <w:r>
        <w:t>，分段排入周边沟塘。</w:t>
      </w:r>
    </w:p>
    <w:p w14:paraId="32D349E6">
      <w:pPr>
        <w:pStyle w:val="4"/>
        <w:numPr>
          <w:ilvl w:val="2"/>
          <w:numId w:val="5"/>
        </w:numPr>
        <w:spacing w:before="332" w:after="166"/>
        <w:rPr>
          <w:rFonts w:ascii="Times New Roman" w:hAnsi="Times New Roman"/>
          <w:lang w:val="en-US"/>
        </w:rPr>
      </w:pPr>
      <w:r>
        <w:rPr>
          <w:rFonts w:ascii="Times New Roman" w:hAnsi="Times New Roman"/>
          <w:lang w:val="en-US"/>
        </w:rPr>
        <w:t>规划依据</w:t>
      </w:r>
    </w:p>
    <w:p w14:paraId="1CD6F338">
      <w:pPr>
        <w:spacing w:after="0" w:afterLines="0"/>
        <w:ind w:firstLine="500"/>
      </w:pPr>
      <w:r>
        <w:t>1.《城市排水工程规划规范》（GB50318—2017）；</w:t>
      </w:r>
    </w:p>
    <w:p w14:paraId="586420CF">
      <w:pPr>
        <w:spacing w:after="0" w:afterLines="0"/>
        <w:ind w:firstLine="500"/>
      </w:pPr>
      <w:r>
        <w:t>2.《室外排水设计标准》（GB50014—2021）；</w:t>
      </w:r>
    </w:p>
    <w:p w14:paraId="0133BEC1">
      <w:pPr>
        <w:spacing w:after="166"/>
        <w:ind w:firstLine="500"/>
      </w:pPr>
      <w:r>
        <w:t>3.《防洪标准》（GB50201—2014）</w:t>
      </w:r>
      <w:r>
        <w:rPr>
          <w:rFonts w:hint="eastAsia"/>
        </w:rPr>
        <w:t>。</w:t>
      </w:r>
    </w:p>
    <w:p w14:paraId="6CA3F5AC">
      <w:pPr>
        <w:pStyle w:val="4"/>
        <w:numPr>
          <w:ilvl w:val="2"/>
          <w:numId w:val="5"/>
        </w:numPr>
        <w:spacing w:before="332" w:after="166"/>
        <w:rPr>
          <w:rFonts w:ascii="Times New Roman" w:hAnsi="Times New Roman"/>
          <w:lang w:val="en-US"/>
        </w:rPr>
      </w:pPr>
      <w:bookmarkStart w:id="30" w:name="_Toc227483627"/>
      <w:r>
        <w:rPr>
          <w:rFonts w:ascii="Times New Roman" w:hAnsi="Times New Roman"/>
          <w:lang w:val="en-US"/>
        </w:rPr>
        <w:t>规划标准</w:t>
      </w:r>
    </w:p>
    <w:bookmarkEnd w:id="30"/>
    <w:p w14:paraId="2282EB33">
      <w:pPr>
        <w:pStyle w:val="5"/>
        <w:numPr>
          <w:ilvl w:val="0"/>
          <w:numId w:val="32"/>
        </w:numPr>
      </w:pPr>
      <w:r>
        <w:t>暴雨计算公式</w:t>
      </w:r>
    </w:p>
    <w:p w14:paraId="27500E1E">
      <w:pPr>
        <w:spacing w:after="166"/>
        <w:ind w:firstLine="500"/>
      </w:pPr>
      <w:r>
        <w:rPr>
          <w:rFonts w:hint="eastAsia"/>
          <w:lang w:val="en-US"/>
        </w:rPr>
        <w:t>暴雨计算公式为</w:t>
      </w:r>
      <w:r>
        <w:t>Q = q·ψ·F (l/s)</w:t>
      </w:r>
    </w:p>
    <w:p w14:paraId="4E8FD7CE">
      <w:pPr>
        <w:spacing w:after="166"/>
        <w:ind w:firstLine="500"/>
      </w:pPr>
      <w:r>
        <w:t>式中：q—设计暴雨强度（l/s·hm</w:t>
      </w:r>
      <w:r>
        <w:rPr>
          <w:rFonts w:hint="eastAsia"/>
          <w:vertAlign w:val="superscript"/>
          <w:lang w:val="en-US"/>
        </w:rPr>
        <w:t>2</w:t>
      </w:r>
      <w:r>
        <w:t xml:space="preserve">），采用包头市暴雨强度公式: </w:t>
      </w:r>
    </w:p>
    <w:p w14:paraId="621AECBE">
      <w:pPr>
        <w:spacing w:after="166"/>
        <w:ind w:firstLine="500"/>
      </w:pPr>
      <m:oMathPara>
        <m:oMath>
          <m:r>
            <m:rPr>
              <m:sty m:val="p"/>
            </m:rPr>
            <w:rPr>
              <w:rFonts w:ascii="Cambria Math" w:hAnsi="Cambria Math"/>
            </w:rPr>
            <m:t>q=</m:t>
          </m:r>
          <m:f>
            <m:fPr>
              <m:ctrlPr>
                <w:rPr>
                  <w:rFonts w:ascii="Cambria Math" w:hAnsi="Cambria Math"/>
                </w:rPr>
              </m:ctrlPr>
            </m:fPr>
            <m:num>
              <m:r>
                <m:rPr>
                  <m:sty m:val="p"/>
                </m:rPr>
                <w:rPr>
                  <w:rFonts w:ascii="Cambria Math" w:hAnsi="Cambria Math"/>
                </w:rPr>
                <m:t>220.8</m:t>
              </m:r>
              <m:d>
                <m:dPr>
                  <m:ctrlPr>
                    <w:rPr>
                      <w:rFonts w:ascii="Cambria Math" w:hAnsi="Cambria Math"/>
                    </w:rPr>
                  </m:ctrlPr>
                </m:dPr>
                <m:e>
                  <m:r>
                    <m:rPr>
                      <m:sty m:val="p"/>
                    </m:rPr>
                    <w:rPr>
                      <w:rFonts w:ascii="Cambria Math" w:hAnsi="Cambria Math"/>
                    </w:rPr>
                    <m:t>1+0.985lgP</m:t>
                  </m:r>
                  <m:ctrlPr>
                    <w:rPr>
                      <w:rFonts w:ascii="Cambria Math" w:hAnsi="Cambria Math"/>
                    </w:rPr>
                  </m:ctrlPr>
                </m:e>
              </m:d>
              <m:ctrlPr>
                <w:rPr>
                  <w:rFonts w:ascii="Cambria Math" w:hAnsi="Cambria Math"/>
                </w:rPr>
              </m:ctrlPr>
            </m:num>
            <m:den>
              <m:sSup>
                <m:sSupPr>
                  <m:ctrlPr>
                    <w:rPr>
                      <w:rFonts w:ascii="Cambria Math" w:hAnsi="Cambria Math"/>
                    </w:rPr>
                  </m:ctrlPr>
                </m:sSupPr>
                <m:e>
                  <m:d>
                    <m:dPr>
                      <m:ctrlPr>
                        <w:rPr>
                          <w:rFonts w:ascii="Cambria Math" w:hAnsi="Cambria Math"/>
                        </w:rPr>
                      </m:ctrlPr>
                    </m:dPr>
                    <m:e>
                      <m:r>
                        <m:rPr>
                          <m:sty m:val="p"/>
                        </m:rPr>
                        <w:rPr>
                          <w:rFonts w:ascii="Cambria Math" w:hAnsi="Cambria Math"/>
                        </w:rPr>
                        <m:t>t+5.4</m:t>
                      </m:r>
                      <m:ctrlPr>
                        <w:rPr>
                          <w:rFonts w:ascii="Cambria Math" w:hAnsi="Cambria Math"/>
                        </w:rPr>
                      </m:ctrlPr>
                    </m:e>
                  </m:d>
                  <m:ctrlPr>
                    <w:rPr>
                      <w:rFonts w:ascii="Cambria Math" w:hAnsi="Cambria Math"/>
                    </w:rPr>
                  </m:ctrlPr>
                </m:e>
                <m:sup>
                  <m:r>
                    <m:rPr>
                      <m:sty m:val="p"/>
                    </m:rPr>
                    <w:rPr>
                      <w:rFonts w:ascii="Cambria Math" w:hAnsi="Cambria Math"/>
                    </w:rPr>
                    <m:t>0.85</m:t>
                  </m:r>
                  <m:ctrlPr>
                    <w:rPr>
                      <w:rFonts w:ascii="Cambria Math" w:hAnsi="Cambria Math"/>
                    </w:rPr>
                  </m:ctrlPr>
                </m:sup>
              </m:sSup>
              <m:ctrlPr>
                <w:rPr>
                  <w:rFonts w:ascii="Cambria Math" w:hAnsi="Cambria Math"/>
                </w:rPr>
              </m:ctrlPr>
            </m:den>
          </m:f>
        </m:oMath>
      </m:oMathPara>
    </w:p>
    <w:p w14:paraId="117C40E4">
      <w:pPr>
        <w:spacing w:after="166"/>
        <w:ind w:firstLine="500"/>
      </w:pPr>
      <w:r>
        <w:t>式中：ψ—综合径流系数</w:t>
      </w:r>
      <w:r>
        <w:rPr>
          <w:rFonts w:hint="eastAsia"/>
        </w:rPr>
        <w:t>，</w:t>
      </w:r>
      <w:r>
        <w:t>F—汇水面积（hm</w:t>
      </w:r>
      <w:r>
        <w:rPr>
          <w:rFonts w:hint="eastAsia"/>
          <w:vertAlign w:val="superscript"/>
          <w:lang w:val="en-US"/>
        </w:rPr>
        <w:t>2</w:t>
      </w:r>
      <w:r>
        <w:t>）</w:t>
      </w:r>
      <w:r>
        <w:rPr>
          <w:rFonts w:hint="eastAsia"/>
        </w:rPr>
        <w:t>，</w:t>
      </w:r>
      <w:r>
        <w:t>P—设计降雨重现期（a）</w:t>
      </w:r>
      <w:r>
        <w:rPr>
          <w:rFonts w:hint="eastAsia"/>
        </w:rPr>
        <w:t>，</w:t>
      </w:r>
      <w:r>
        <w:t>t—降雨历时（min）</w:t>
      </w:r>
    </w:p>
    <w:p w14:paraId="03AFF50C">
      <w:pPr>
        <w:pStyle w:val="5"/>
        <w:numPr>
          <w:ilvl w:val="0"/>
          <w:numId w:val="32"/>
        </w:numPr>
      </w:pPr>
      <w:r>
        <w:t>综合径流系数</w:t>
      </w:r>
    </w:p>
    <w:p w14:paraId="1633CB75">
      <w:pPr>
        <w:spacing w:after="166"/>
        <w:ind w:firstLine="500"/>
      </w:pPr>
      <w:r>
        <w:rPr>
          <w:rFonts w:hint="eastAsia"/>
        </w:rPr>
        <w:t>综合径流系数</w:t>
      </w:r>
      <w:r>
        <w:t>按下表规定取值</w:t>
      </w:r>
      <w:r>
        <w:rPr>
          <w:rFonts w:hint="eastAsia"/>
        </w:rPr>
        <w:t>。</w:t>
      </w:r>
    </w:p>
    <w:p w14:paraId="0E8EBFDF">
      <w:pPr>
        <w:pStyle w:val="117"/>
      </w:pPr>
      <w:r>
        <w:rPr>
          <w:rFonts w:hint="eastAsia"/>
        </w:rPr>
        <w:t xml:space="preserve">表11-2  </w:t>
      </w:r>
      <w:r>
        <w:t>综合径流系数参数取值表</w:t>
      </w:r>
    </w:p>
    <w:tbl>
      <w:tblPr>
        <w:tblStyle w:val="36"/>
        <w:tblW w:w="4999" w:type="pct"/>
        <w:jc w:val="center"/>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Layout w:type="autofit"/>
        <w:tblCellMar>
          <w:top w:w="0" w:type="dxa"/>
          <w:left w:w="0" w:type="dxa"/>
          <w:bottom w:w="0" w:type="dxa"/>
          <w:right w:w="0" w:type="dxa"/>
        </w:tblCellMar>
      </w:tblPr>
      <w:tblGrid>
        <w:gridCol w:w="4475"/>
        <w:gridCol w:w="3869"/>
      </w:tblGrid>
      <w:tr w14:paraId="67D60853">
        <w:tblPrEx>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CellMar>
            <w:top w:w="0" w:type="dxa"/>
            <w:left w:w="0" w:type="dxa"/>
            <w:bottom w:w="0" w:type="dxa"/>
            <w:right w:w="0" w:type="dxa"/>
          </w:tblCellMar>
        </w:tblPrEx>
        <w:trPr>
          <w:trHeight w:val="50" w:hRule="atLeast"/>
          <w:jc w:val="center"/>
        </w:trPr>
        <w:tc>
          <w:tcPr>
            <w:tcW w:w="2681" w:type="pct"/>
            <w:tcBorders>
              <w:bottom w:val="single" w:color="auto" w:sz="4" w:space="0"/>
              <w:right w:val="single" w:color="auto" w:sz="4" w:space="0"/>
            </w:tcBorders>
            <w:noWrap/>
            <w:tcMar>
              <w:top w:w="20" w:type="dxa"/>
              <w:left w:w="20" w:type="dxa"/>
              <w:bottom w:w="0" w:type="dxa"/>
              <w:right w:w="20" w:type="dxa"/>
            </w:tcMar>
            <w:vAlign w:val="center"/>
          </w:tcPr>
          <w:p w14:paraId="40651F2C">
            <w:pPr>
              <w:pStyle w:val="115"/>
              <w:jc w:val="center"/>
            </w:pPr>
            <w:r>
              <w:t>区域情况</w:t>
            </w:r>
          </w:p>
        </w:tc>
        <w:tc>
          <w:tcPr>
            <w:tcW w:w="2318" w:type="pct"/>
            <w:tcBorders>
              <w:left w:val="nil"/>
              <w:bottom w:val="single" w:color="auto" w:sz="4" w:space="0"/>
            </w:tcBorders>
            <w:noWrap/>
            <w:tcMar>
              <w:top w:w="20" w:type="dxa"/>
              <w:left w:w="20" w:type="dxa"/>
              <w:bottom w:w="0" w:type="dxa"/>
              <w:right w:w="20" w:type="dxa"/>
            </w:tcMar>
            <w:vAlign w:val="center"/>
          </w:tcPr>
          <w:p w14:paraId="72424BA6">
            <w:pPr>
              <w:pStyle w:val="115"/>
              <w:jc w:val="center"/>
            </w:pPr>
            <w:r>
              <w:t>径流系数(ψ)</w:t>
            </w:r>
          </w:p>
        </w:tc>
      </w:tr>
      <w:tr w14:paraId="35DEA580">
        <w:tblPrEx>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CellMar>
            <w:top w:w="0" w:type="dxa"/>
            <w:left w:w="0" w:type="dxa"/>
            <w:bottom w:w="0" w:type="dxa"/>
            <w:right w:w="0" w:type="dxa"/>
          </w:tblCellMar>
        </w:tblPrEx>
        <w:trPr>
          <w:trHeight w:val="85" w:hRule="atLeast"/>
          <w:jc w:val="center"/>
        </w:trPr>
        <w:tc>
          <w:tcPr>
            <w:tcW w:w="2681" w:type="pct"/>
            <w:tcBorders>
              <w:top w:val="nil"/>
              <w:bottom w:val="single" w:color="auto" w:sz="4" w:space="0"/>
              <w:right w:val="single" w:color="auto" w:sz="4" w:space="0"/>
            </w:tcBorders>
            <w:noWrap/>
            <w:tcMar>
              <w:top w:w="20" w:type="dxa"/>
              <w:left w:w="20" w:type="dxa"/>
              <w:bottom w:w="0" w:type="dxa"/>
              <w:right w:w="20" w:type="dxa"/>
            </w:tcMar>
            <w:vAlign w:val="center"/>
          </w:tcPr>
          <w:p w14:paraId="5C974254">
            <w:pPr>
              <w:pStyle w:val="115"/>
              <w:jc w:val="center"/>
            </w:pPr>
            <w:r>
              <w:t>城市建筑密集区(中心区)</w:t>
            </w:r>
          </w:p>
        </w:tc>
        <w:tc>
          <w:tcPr>
            <w:tcW w:w="2318" w:type="pct"/>
            <w:tcBorders>
              <w:top w:val="nil"/>
              <w:left w:val="nil"/>
              <w:bottom w:val="single" w:color="auto" w:sz="4" w:space="0"/>
            </w:tcBorders>
            <w:noWrap/>
            <w:tcMar>
              <w:top w:w="20" w:type="dxa"/>
              <w:left w:w="20" w:type="dxa"/>
              <w:bottom w:w="0" w:type="dxa"/>
              <w:right w:w="20" w:type="dxa"/>
            </w:tcMar>
            <w:vAlign w:val="center"/>
          </w:tcPr>
          <w:p w14:paraId="3F778909">
            <w:pPr>
              <w:pStyle w:val="115"/>
              <w:jc w:val="center"/>
            </w:pPr>
            <w:r>
              <w:t>0.60-0.85</w:t>
            </w:r>
          </w:p>
        </w:tc>
      </w:tr>
      <w:tr w14:paraId="6DE2E066">
        <w:tblPrEx>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CellMar>
            <w:top w:w="0" w:type="dxa"/>
            <w:left w:w="0" w:type="dxa"/>
            <w:bottom w:w="0" w:type="dxa"/>
            <w:right w:w="0" w:type="dxa"/>
          </w:tblCellMar>
        </w:tblPrEx>
        <w:trPr>
          <w:trHeight w:val="76" w:hRule="atLeast"/>
          <w:jc w:val="center"/>
        </w:trPr>
        <w:tc>
          <w:tcPr>
            <w:tcW w:w="2681" w:type="pct"/>
            <w:tcBorders>
              <w:top w:val="nil"/>
              <w:bottom w:val="single" w:color="auto" w:sz="4" w:space="0"/>
              <w:right w:val="single" w:color="auto" w:sz="4" w:space="0"/>
            </w:tcBorders>
            <w:noWrap/>
            <w:tcMar>
              <w:top w:w="20" w:type="dxa"/>
              <w:left w:w="20" w:type="dxa"/>
              <w:bottom w:w="0" w:type="dxa"/>
              <w:right w:w="20" w:type="dxa"/>
            </w:tcMar>
            <w:vAlign w:val="center"/>
          </w:tcPr>
          <w:p w14:paraId="68EE1250">
            <w:pPr>
              <w:pStyle w:val="115"/>
              <w:jc w:val="center"/>
            </w:pPr>
            <w:r>
              <w:t>城市建筑较密集区(一般规划区)</w:t>
            </w:r>
          </w:p>
        </w:tc>
        <w:tc>
          <w:tcPr>
            <w:tcW w:w="2318" w:type="pct"/>
            <w:tcBorders>
              <w:top w:val="nil"/>
              <w:left w:val="nil"/>
              <w:bottom w:val="single" w:color="auto" w:sz="4" w:space="0"/>
            </w:tcBorders>
            <w:noWrap/>
            <w:tcMar>
              <w:top w:w="20" w:type="dxa"/>
              <w:left w:w="20" w:type="dxa"/>
              <w:bottom w:w="0" w:type="dxa"/>
              <w:right w:w="20" w:type="dxa"/>
            </w:tcMar>
            <w:vAlign w:val="center"/>
          </w:tcPr>
          <w:p w14:paraId="704E6630">
            <w:pPr>
              <w:pStyle w:val="115"/>
              <w:jc w:val="center"/>
            </w:pPr>
            <w:r>
              <w:t>0.45-0.60</w:t>
            </w:r>
          </w:p>
        </w:tc>
      </w:tr>
      <w:tr w14:paraId="582E2417">
        <w:tblPrEx>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CellMar>
            <w:top w:w="0" w:type="dxa"/>
            <w:left w:w="0" w:type="dxa"/>
            <w:bottom w:w="0" w:type="dxa"/>
            <w:right w:w="0" w:type="dxa"/>
          </w:tblCellMar>
        </w:tblPrEx>
        <w:trPr>
          <w:trHeight w:val="70" w:hRule="atLeast"/>
          <w:jc w:val="center"/>
        </w:trPr>
        <w:tc>
          <w:tcPr>
            <w:tcW w:w="2681" w:type="pct"/>
            <w:tcBorders>
              <w:top w:val="nil"/>
              <w:bottom w:val="single" w:color="auto" w:sz="4" w:space="0"/>
              <w:right w:val="single" w:color="auto" w:sz="4" w:space="0"/>
            </w:tcBorders>
            <w:noWrap/>
            <w:tcMar>
              <w:top w:w="20" w:type="dxa"/>
              <w:left w:w="20" w:type="dxa"/>
              <w:bottom w:w="0" w:type="dxa"/>
              <w:right w:w="20" w:type="dxa"/>
            </w:tcMar>
            <w:vAlign w:val="center"/>
          </w:tcPr>
          <w:p w14:paraId="262FD71B">
            <w:pPr>
              <w:pStyle w:val="115"/>
              <w:jc w:val="center"/>
            </w:pPr>
            <w:r>
              <w:t>城市建筑较稀区(公园、绿地等)</w:t>
            </w:r>
          </w:p>
        </w:tc>
        <w:tc>
          <w:tcPr>
            <w:tcW w:w="2318" w:type="pct"/>
            <w:tcBorders>
              <w:top w:val="nil"/>
              <w:left w:val="nil"/>
              <w:bottom w:val="single" w:color="auto" w:sz="4" w:space="0"/>
            </w:tcBorders>
            <w:noWrap/>
            <w:tcMar>
              <w:top w:w="20" w:type="dxa"/>
              <w:left w:w="20" w:type="dxa"/>
              <w:bottom w:w="0" w:type="dxa"/>
              <w:right w:w="20" w:type="dxa"/>
            </w:tcMar>
            <w:vAlign w:val="center"/>
          </w:tcPr>
          <w:p w14:paraId="5F597731">
            <w:pPr>
              <w:pStyle w:val="115"/>
              <w:jc w:val="center"/>
            </w:pPr>
            <w:r>
              <w:t>0.25-0.45</w:t>
            </w:r>
          </w:p>
        </w:tc>
      </w:tr>
      <w:tr w14:paraId="0A682392">
        <w:tblPrEx>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CellMar>
            <w:top w:w="0" w:type="dxa"/>
            <w:left w:w="0" w:type="dxa"/>
            <w:bottom w:w="0" w:type="dxa"/>
            <w:right w:w="0" w:type="dxa"/>
          </w:tblCellMar>
        </w:tblPrEx>
        <w:trPr>
          <w:trHeight w:val="70" w:hRule="atLeast"/>
          <w:jc w:val="center"/>
        </w:trPr>
        <w:tc>
          <w:tcPr>
            <w:tcW w:w="2681" w:type="pct"/>
            <w:tcBorders>
              <w:top w:val="nil"/>
              <w:right w:val="single" w:color="auto" w:sz="4" w:space="0"/>
            </w:tcBorders>
            <w:noWrap/>
            <w:tcMar>
              <w:top w:w="20" w:type="dxa"/>
              <w:left w:w="20" w:type="dxa"/>
              <w:bottom w:w="0" w:type="dxa"/>
              <w:right w:w="20" w:type="dxa"/>
            </w:tcMar>
            <w:vAlign w:val="center"/>
          </w:tcPr>
          <w:p w14:paraId="7B55B612">
            <w:pPr>
              <w:pStyle w:val="115"/>
              <w:jc w:val="center"/>
            </w:pPr>
            <w:r>
              <w:t>城市道路</w:t>
            </w:r>
          </w:p>
        </w:tc>
        <w:tc>
          <w:tcPr>
            <w:tcW w:w="2318" w:type="pct"/>
            <w:tcBorders>
              <w:top w:val="nil"/>
              <w:left w:val="nil"/>
            </w:tcBorders>
            <w:noWrap/>
            <w:tcMar>
              <w:top w:w="20" w:type="dxa"/>
              <w:left w:w="20" w:type="dxa"/>
              <w:bottom w:w="0" w:type="dxa"/>
              <w:right w:w="20" w:type="dxa"/>
            </w:tcMar>
            <w:vAlign w:val="center"/>
          </w:tcPr>
          <w:p w14:paraId="2EE88EF2">
            <w:pPr>
              <w:pStyle w:val="115"/>
              <w:jc w:val="center"/>
            </w:pPr>
            <w:r>
              <w:t>0.9</w:t>
            </w:r>
          </w:p>
        </w:tc>
      </w:tr>
    </w:tbl>
    <w:p w14:paraId="3445B83C">
      <w:pPr>
        <w:spacing w:after="166"/>
        <w:ind w:firstLine="500"/>
      </w:pPr>
    </w:p>
    <w:p w14:paraId="2DC36BC4">
      <w:pPr>
        <w:pStyle w:val="5"/>
        <w:numPr>
          <w:ilvl w:val="0"/>
          <w:numId w:val="32"/>
        </w:numPr>
      </w:pPr>
      <w:r>
        <w:t>设计重现期</w:t>
      </w:r>
    </w:p>
    <w:p w14:paraId="63FE55B3">
      <w:pPr>
        <w:spacing w:after="166"/>
        <w:ind w:firstLine="500"/>
      </w:pPr>
      <w:r>
        <w:t>设计降雨重现期应根据汇水地区性质、城镇类型、地形特点和气候特征等因素，经经济比较后选取，经济条件较好，且人口密集、内涝易发的城镇，宜采用规定的上限。</w:t>
      </w:r>
    </w:p>
    <w:p w14:paraId="7851304B">
      <w:pPr>
        <w:pStyle w:val="117"/>
      </w:pPr>
      <w:r>
        <w:rPr>
          <w:rFonts w:hint="eastAsia"/>
        </w:rPr>
        <w:t xml:space="preserve">表11-3  </w:t>
      </w:r>
      <w:r>
        <w:t>雨水管设计重现期（年）</w:t>
      </w:r>
    </w:p>
    <w:tbl>
      <w:tblPr>
        <w:tblStyle w:val="36"/>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816"/>
        <w:gridCol w:w="1042"/>
        <w:gridCol w:w="999"/>
        <w:gridCol w:w="1689"/>
        <w:gridCol w:w="1973"/>
      </w:tblGrid>
      <w:tr w14:paraId="71A12E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1652" w:type="pct"/>
            <w:tcBorders>
              <w:tl2br w:val="single" w:color="auto" w:sz="4" w:space="0"/>
            </w:tcBorders>
            <w:shd w:val="clear" w:color="auto" w:fill="auto"/>
            <w:vAlign w:val="center"/>
          </w:tcPr>
          <w:p w14:paraId="1B5546A8">
            <w:pPr>
              <w:pStyle w:val="115"/>
            </w:pPr>
            <w:r>
              <w:t xml:space="preserve">                   城区类型        </w:t>
            </w:r>
          </w:p>
          <w:p w14:paraId="650A1E67">
            <w:pPr>
              <w:pStyle w:val="115"/>
            </w:pPr>
            <w:r>
              <w:t>城镇类型</w:t>
            </w:r>
          </w:p>
        </w:tc>
        <w:tc>
          <w:tcPr>
            <w:tcW w:w="611" w:type="pct"/>
            <w:shd w:val="clear" w:color="auto" w:fill="auto"/>
            <w:vAlign w:val="center"/>
          </w:tcPr>
          <w:p w14:paraId="769DB726">
            <w:pPr>
              <w:pStyle w:val="115"/>
              <w:jc w:val="center"/>
            </w:pPr>
            <w:r>
              <w:t>中心</w:t>
            </w:r>
          </w:p>
          <w:p w14:paraId="521932E8">
            <w:pPr>
              <w:pStyle w:val="115"/>
              <w:jc w:val="center"/>
            </w:pPr>
            <w:r>
              <w:t>城区</w:t>
            </w:r>
          </w:p>
        </w:tc>
        <w:tc>
          <w:tcPr>
            <w:tcW w:w="586" w:type="pct"/>
            <w:shd w:val="clear" w:color="auto" w:fill="auto"/>
            <w:vAlign w:val="center"/>
          </w:tcPr>
          <w:p w14:paraId="0616679B">
            <w:pPr>
              <w:pStyle w:val="115"/>
              <w:jc w:val="center"/>
            </w:pPr>
            <w:r>
              <w:t>非中心城市</w:t>
            </w:r>
          </w:p>
        </w:tc>
        <w:tc>
          <w:tcPr>
            <w:tcW w:w="991" w:type="pct"/>
            <w:shd w:val="clear" w:color="auto" w:fill="auto"/>
            <w:vAlign w:val="center"/>
          </w:tcPr>
          <w:p w14:paraId="1C012867">
            <w:pPr>
              <w:pStyle w:val="115"/>
              <w:jc w:val="center"/>
            </w:pPr>
            <w:r>
              <w:t>中心城区的重要地区</w:t>
            </w:r>
          </w:p>
        </w:tc>
        <w:tc>
          <w:tcPr>
            <w:tcW w:w="1157" w:type="pct"/>
            <w:shd w:val="clear" w:color="auto" w:fill="auto"/>
            <w:vAlign w:val="center"/>
          </w:tcPr>
          <w:p w14:paraId="1741A247">
            <w:pPr>
              <w:pStyle w:val="115"/>
              <w:jc w:val="center"/>
            </w:pPr>
            <w:r>
              <w:t>中心城区地下通道和下沉式广场等</w:t>
            </w:r>
          </w:p>
        </w:tc>
      </w:tr>
      <w:tr w14:paraId="0D4EB4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52" w:type="pct"/>
            <w:shd w:val="clear" w:color="auto" w:fill="auto"/>
            <w:vAlign w:val="center"/>
          </w:tcPr>
          <w:p w14:paraId="192B999B">
            <w:pPr>
              <w:pStyle w:val="115"/>
              <w:jc w:val="center"/>
            </w:pPr>
            <w:r>
              <w:t>特大城市</w:t>
            </w:r>
          </w:p>
        </w:tc>
        <w:tc>
          <w:tcPr>
            <w:tcW w:w="611" w:type="pct"/>
            <w:shd w:val="clear" w:color="auto" w:fill="auto"/>
            <w:vAlign w:val="center"/>
          </w:tcPr>
          <w:p w14:paraId="0B19523E">
            <w:pPr>
              <w:pStyle w:val="115"/>
              <w:jc w:val="center"/>
            </w:pPr>
            <w:r>
              <w:t>3~5</w:t>
            </w:r>
          </w:p>
        </w:tc>
        <w:tc>
          <w:tcPr>
            <w:tcW w:w="586" w:type="pct"/>
            <w:shd w:val="clear" w:color="auto" w:fill="auto"/>
            <w:vAlign w:val="center"/>
          </w:tcPr>
          <w:p w14:paraId="7BF0D573">
            <w:pPr>
              <w:pStyle w:val="115"/>
              <w:jc w:val="center"/>
            </w:pPr>
            <w:r>
              <w:t>2~3</w:t>
            </w:r>
          </w:p>
        </w:tc>
        <w:tc>
          <w:tcPr>
            <w:tcW w:w="991" w:type="pct"/>
            <w:shd w:val="clear" w:color="auto" w:fill="auto"/>
            <w:vAlign w:val="center"/>
          </w:tcPr>
          <w:p w14:paraId="1DF4645B">
            <w:pPr>
              <w:pStyle w:val="115"/>
              <w:jc w:val="center"/>
            </w:pPr>
            <w:r>
              <w:t>5~10</w:t>
            </w:r>
          </w:p>
        </w:tc>
        <w:tc>
          <w:tcPr>
            <w:tcW w:w="1157" w:type="pct"/>
            <w:shd w:val="clear" w:color="auto" w:fill="auto"/>
            <w:vAlign w:val="center"/>
          </w:tcPr>
          <w:p w14:paraId="0FB04B99">
            <w:pPr>
              <w:pStyle w:val="115"/>
              <w:jc w:val="center"/>
            </w:pPr>
            <w:r>
              <w:t>30~50</w:t>
            </w:r>
          </w:p>
        </w:tc>
      </w:tr>
      <w:tr w14:paraId="5338DD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52" w:type="pct"/>
            <w:shd w:val="clear" w:color="auto" w:fill="auto"/>
            <w:vAlign w:val="center"/>
          </w:tcPr>
          <w:p w14:paraId="7CF3DA40">
            <w:pPr>
              <w:pStyle w:val="115"/>
              <w:jc w:val="center"/>
            </w:pPr>
            <w:r>
              <w:t>大城市</w:t>
            </w:r>
          </w:p>
        </w:tc>
        <w:tc>
          <w:tcPr>
            <w:tcW w:w="611" w:type="pct"/>
            <w:shd w:val="clear" w:color="auto" w:fill="auto"/>
            <w:vAlign w:val="center"/>
          </w:tcPr>
          <w:p w14:paraId="44FFCF7B">
            <w:pPr>
              <w:pStyle w:val="115"/>
              <w:jc w:val="center"/>
            </w:pPr>
            <w:r>
              <w:t>2~5</w:t>
            </w:r>
          </w:p>
        </w:tc>
        <w:tc>
          <w:tcPr>
            <w:tcW w:w="586" w:type="pct"/>
            <w:shd w:val="clear" w:color="auto" w:fill="auto"/>
            <w:vAlign w:val="center"/>
          </w:tcPr>
          <w:p w14:paraId="3CAF478E">
            <w:pPr>
              <w:pStyle w:val="115"/>
              <w:jc w:val="center"/>
            </w:pPr>
            <w:r>
              <w:t>2~3</w:t>
            </w:r>
          </w:p>
        </w:tc>
        <w:tc>
          <w:tcPr>
            <w:tcW w:w="991" w:type="pct"/>
            <w:shd w:val="clear" w:color="auto" w:fill="auto"/>
            <w:vAlign w:val="center"/>
          </w:tcPr>
          <w:p w14:paraId="74BD9A85">
            <w:pPr>
              <w:pStyle w:val="115"/>
              <w:jc w:val="center"/>
            </w:pPr>
            <w:r>
              <w:t>5~10</w:t>
            </w:r>
          </w:p>
        </w:tc>
        <w:tc>
          <w:tcPr>
            <w:tcW w:w="1157" w:type="pct"/>
            <w:shd w:val="clear" w:color="auto" w:fill="auto"/>
            <w:vAlign w:val="center"/>
          </w:tcPr>
          <w:p w14:paraId="6B4F4A89">
            <w:pPr>
              <w:pStyle w:val="115"/>
              <w:jc w:val="center"/>
            </w:pPr>
            <w:r>
              <w:t>20~30</w:t>
            </w:r>
          </w:p>
        </w:tc>
      </w:tr>
      <w:tr w14:paraId="7D0DB0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52" w:type="pct"/>
            <w:shd w:val="clear" w:color="auto" w:fill="auto"/>
            <w:vAlign w:val="center"/>
          </w:tcPr>
          <w:p w14:paraId="68650076">
            <w:pPr>
              <w:pStyle w:val="115"/>
              <w:jc w:val="center"/>
            </w:pPr>
            <w:r>
              <w:t>中等城市和小城市</w:t>
            </w:r>
          </w:p>
        </w:tc>
        <w:tc>
          <w:tcPr>
            <w:tcW w:w="611" w:type="pct"/>
            <w:shd w:val="clear" w:color="auto" w:fill="auto"/>
            <w:vAlign w:val="center"/>
          </w:tcPr>
          <w:p w14:paraId="60F43F03">
            <w:pPr>
              <w:pStyle w:val="115"/>
              <w:jc w:val="center"/>
            </w:pPr>
            <w:r>
              <w:t>2~3</w:t>
            </w:r>
          </w:p>
        </w:tc>
        <w:tc>
          <w:tcPr>
            <w:tcW w:w="586" w:type="pct"/>
            <w:shd w:val="clear" w:color="auto" w:fill="auto"/>
            <w:vAlign w:val="center"/>
          </w:tcPr>
          <w:p w14:paraId="67ADF6D9">
            <w:pPr>
              <w:pStyle w:val="115"/>
              <w:jc w:val="center"/>
            </w:pPr>
            <w:r>
              <w:t>2~3</w:t>
            </w:r>
          </w:p>
        </w:tc>
        <w:tc>
          <w:tcPr>
            <w:tcW w:w="991" w:type="pct"/>
            <w:shd w:val="clear" w:color="auto" w:fill="auto"/>
            <w:vAlign w:val="center"/>
          </w:tcPr>
          <w:p w14:paraId="1B6D0FE6">
            <w:pPr>
              <w:pStyle w:val="115"/>
              <w:jc w:val="center"/>
            </w:pPr>
            <w:r>
              <w:t>3~5</w:t>
            </w:r>
          </w:p>
        </w:tc>
        <w:tc>
          <w:tcPr>
            <w:tcW w:w="1157" w:type="pct"/>
            <w:shd w:val="clear" w:color="auto" w:fill="auto"/>
            <w:vAlign w:val="center"/>
          </w:tcPr>
          <w:p w14:paraId="552E84D8">
            <w:pPr>
              <w:pStyle w:val="115"/>
              <w:jc w:val="center"/>
            </w:pPr>
            <w:r>
              <w:t>10~20</w:t>
            </w:r>
          </w:p>
        </w:tc>
      </w:tr>
    </w:tbl>
    <w:p w14:paraId="132EF241">
      <w:pPr>
        <w:pStyle w:val="270"/>
        <w:spacing w:before="166"/>
        <w:jc w:val="both"/>
        <w:rPr>
          <w:rFonts w:ascii="Times New Roman" w:hAnsi="Times New Roman"/>
        </w:rPr>
      </w:pPr>
    </w:p>
    <w:p w14:paraId="6828E556">
      <w:pPr>
        <w:spacing w:after="166"/>
        <w:ind w:firstLine="500"/>
      </w:pPr>
      <w:r>
        <w:rPr>
          <w:rFonts w:hint="eastAsia"/>
        </w:rPr>
        <w:t>根据实际情况，新建及改造雨水管道设计重现期取3年，现状保留雨水管道按照2年一遇重现期考虑。</w:t>
      </w:r>
    </w:p>
    <w:p w14:paraId="74F0BB92">
      <w:pPr>
        <w:pStyle w:val="5"/>
        <w:numPr>
          <w:ilvl w:val="0"/>
          <w:numId w:val="32"/>
        </w:numPr>
      </w:pPr>
      <w:r>
        <w:t>降雨历时</w:t>
      </w:r>
    </w:p>
    <w:p w14:paraId="7BD51832">
      <w:pPr>
        <w:spacing w:after="166"/>
        <w:ind w:firstLine="500"/>
      </w:pPr>
      <w:r>
        <w:t>设计降雨历时包括地面集水时间t</w:t>
      </w:r>
      <w:r>
        <w:rPr>
          <w:vertAlign w:val="subscript"/>
        </w:rPr>
        <w:t>1</w:t>
      </w:r>
      <w:r>
        <w:t xml:space="preserve"> 和管渠内流行时间t</w:t>
      </w:r>
      <w:r>
        <w:rPr>
          <w:vertAlign w:val="subscript"/>
        </w:rPr>
        <w:t>2</w:t>
      </w:r>
      <w:r>
        <w:t>两部分，即：</w:t>
      </w:r>
    </w:p>
    <w:p w14:paraId="67B07BEE">
      <w:pPr>
        <w:spacing w:after="166"/>
        <w:ind w:firstLine="500"/>
      </w:pPr>
      <w:r>
        <w:t xml:space="preserve">       t =t</w:t>
      </w:r>
      <w:r>
        <w:rPr>
          <w:vertAlign w:val="subscript"/>
        </w:rPr>
        <w:t>1</w:t>
      </w:r>
      <w:r>
        <w:t>+t</w:t>
      </w:r>
      <w:r>
        <w:rPr>
          <w:vertAlign w:val="subscript"/>
        </w:rPr>
        <w:t>2</w:t>
      </w:r>
      <w:r>
        <w:t xml:space="preserve"> (min)</w:t>
      </w:r>
    </w:p>
    <w:p w14:paraId="18D0F56B">
      <w:pPr>
        <w:spacing w:after="166"/>
        <w:ind w:firstLine="500"/>
      </w:pPr>
      <w:r>
        <w:t>式中：t</w:t>
      </w:r>
      <w:r>
        <w:rPr>
          <w:vertAlign w:val="subscript"/>
        </w:rPr>
        <w:t>1</w:t>
      </w:r>
      <w:r>
        <w:t>—地面集水时间（min），应根据汇水距离、地形坡度和地面种类计算确定，一般采用5min~15min；t</w:t>
      </w:r>
      <w:r>
        <w:rPr>
          <w:vertAlign w:val="subscript"/>
        </w:rPr>
        <w:t>2</w:t>
      </w:r>
      <w:r>
        <w:t>—管渠内雨水流行时间（min）。</w:t>
      </w:r>
    </w:p>
    <w:p w14:paraId="3803039C">
      <w:pPr>
        <w:pStyle w:val="4"/>
        <w:numPr>
          <w:ilvl w:val="2"/>
          <w:numId w:val="5"/>
        </w:numPr>
        <w:spacing w:before="332" w:after="166"/>
        <w:rPr>
          <w:rFonts w:ascii="Times New Roman" w:hAnsi="Times New Roman"/>
          <w:lang w:val="en-US"/>
        </w:rPr>
      </w:pPr>
      <w:r>
        <w:rPr>
          <w:rFonts w:ascii="Times New Roman" w:hAnsi="Times New Roman"/>
          <w:lang w:val="en-US"/>
        </w:rPr>
        <w:t>雨水管网规划</w:t>
      </w:r>
    </w:p>
    <w:p w14:paraId="40BE500E">
      <w:pPr>
        <w:spacing w:after="166"/>
        <w:ind w:firstLine="500"/>
      </w:pPr>
      <w:r>
        <w:t>雨水管道均为重力自流，规划保留现状雨水管，沿其他道路规划d500</w:t>
      </w:r>
      <w:r>
        <w:rPr>
          <w:rFonts w:hint="eastAsia"/>
          <w:lang w:val="en-US"/>
        </w:rPr>
        <w:t>-</w:t>
      </w:r>
      <w:r>
        <w:t>d1000雨水管，就近排入周边沟塘。</w:t>
      </w:r>
    </w:p>
    <w:p w14:paraId="7D8F8215">
      <w:pPr>
        <w:pStyle w:val="13"/>
        <w:spacing w:after="0" w:afterLines="0"/>
        <w:ind w:firstLine="0" w:firstLineChars="0"/>
        <w:rPr>
          <w:rFonts w:hint="eastAsia"/>
        </w:rPr>
      </w:pPr>
      <w:r>
        <w:drawing>
          <wp:inline distT="0" distB="0" distL="114300" distR="114300">
            <wp:extent cx="5271770" cy="4366260"/>
            <wp:effectExtent l="0" t="0" r="5080" b="15240"/>
            <wp:docPr id="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
                    <pic:cNvPicPr>
                      <a:picLocks noChangeAspect="1"/>
                    </pic:cNvPicPr>
                  </pic:nvPicPr>
                  <pic:blipFill>
                    <a:blip r:embed="rId104"/>
                    <a:stretch>
                      <a:fillRect/>
                    </a:stretch>
                  </pic:blipFill>
                  <pic:spPr>
                    <a:xfrm>
                      <a:off x="0" y="0"/>
                      <a:ext cx="5271770" cy="4366260"/>
                    </a:xfrm>
                    <a:prstGeom prst="rect">
                      <a:avLst/>
                    </a:prstGeom>
                    <a:noFill/>
                    <a:ln>
                      <a:noFill/>
                    </a:ln>
                  </pic:spPr>
                </pic:pic>
              </a:graphicData>
            </a:graphic>
          </wp:inline>
        </w:drawing>
      </w:r>
    </w:p>
    <w:p w14:paraId="2DC0134F">
      <w:pPr>
        <w:pStyle w:val="268"/>
      </w:pPr>
      <w:r>
        <w:rPr>
          <w:rFonts w:hint="eastAsia"/>
        </w:rPr>
        <w:t>图11-3  雨水工程规划图</w:t>
      </w:r>
    </w:p>
    <w:p w14:paraId="6775478E">
      <w:pPr>
        <w:pStyle w:val="3"/>
        <w:numPr>
          <w:ilvl w:val="1"/>
          <w:numId w:val="5"/>
        </w:numPr>
        <w:spacing w:before="332" w:after="166"/>
        <w:rPr>
          <w:rFonts w:hint="eastAsia"/>
        </w:rPr>
      </w:pPr>
      <w:r>
        <w:rPr>
          <w:rFonts w:hint="eastAsia"/>
        </w:rPr>
        <w:t>供电工程规划</w:t>
      </w:r>
    </w:p>
    <w:p w14:paraId="7C36BA1B">
      <w:pPr>
        <w:pStyle w:val="4"/>
        <w:numPr>
          <w:ilvl w:val="2"/>
          <w:numId w:val="5"/>
        </w:numPr>
        <w:spacing w:before="332" w:after="166"/>
        <w:rPr>
          <w:rFonts w:ascii="Times New Roman" w:hAnsi="Times New Roman"/>
          <w:lang w:val="en-US"/>
        </w:rPr>
      </w:pPr>
      <w:bookmarkStart w:id="31" w:name="_Toc42240775"/>
      <w:r>
        <w:rPr>
          <w:rFonts w:ascii="Times New Roman" w:hAnsi="Times New Roman"/>
          <w:lang w:val="en-US"/>
        </w:rPr>
        <w:t>电力现状</w:t>
      </w:r>
      <w:bookmarkEnd w:id="31"/>
    </w:p>
    <w:p w14:paraId="1BF043D7">
      <w:pPr>
        <w:pStyle w:val="5"/>
        <w:numPr>
          <w:ilvl w:val="0"/>
          <w:numId w:val="33"/>
        </w:numPr>
      </w:pPr>
      <w:r>
        <w:t>变电站概况</w:t>
      </w:r>
    </w:p>
    <w:p w14:paraId="264638C7">
      <w:pPr>
        <w:spacing w:after="166"/>
        <w:ind w:firstLine="500"/>
      </w:pPr>
      <w:r>
        <w:t>规划区供电电源为现状220千伏望海变、110千伏白云变。</w:t>
      </w:r>
    </w:p>
    <w:p w14:paraId="621465E2">
      <w:pPr>
        <w:pStyle w:val="5"/>
        <w:numPr>
          <w:ilvl w:val="0"/>
          <w:numId w:val="33"/>
        </w:numPr>
      </w:pPr>
      <w:r>
        <w:t>高压电力线</w:t>
      </w:r>
    </w:p>
    <w:p w14:paraId="320DAE70">
      <w:pPr>
        <w:spacing w:after="166"/>
        <w:ind w:firstLine="500"/>
      </w:pPr>
      <w:r>
        <w:t>规划区东侧绿带内架设110kV望白线、包白线、固白线各1回。</w:t>
      </w:r>
    </w:p>
    <w:p w14:paraId="6D601DD8">
      <w:pPr>
        <w:pStyle w:val="5"/>
        <w:numPr>
          <w:ilvl w:val="0"/>
          <w:numId w:val="33"/>
        </w:numPr>
      </w:pPr>
      <w:r>
        <w:t>中压电力线</w:t>
      </w:r>
    </w:p>
    <w:p w14:paraId="25FBABF1">
      <w:pPr>
        <w:spacing w:after="166"/>
        <w:ind w:firstLine="500"/>
      </w:pPr>
      <w:r>
        <w:t>中压电力线现状主要有云安线、白河线、住宅线、白中线、白宝线、水源线、望节线、鲁风线等，主要为架空线，局部为电缆。</w:t>
      </w:r>
    </w:p>
    <w:p w14:paraId="3D14AE19">
      <w:pPr>
        <w:pStyle w:val="4"/>
        <w:numPr>
          <w:ilvl w:val="2"/>
          <w:numId w:val="5"/>
        </w:numPr>
        <w:spacing w:before="332" w:after="166"/>
        <w:rPr>
          <w:rFonts w:ascii="Times New Roman" w:hAnsi="Times New Roman"/>
          <w:lang w:val="en-US"/>
        </w:rPr>
      </w:pPr>
      <w:r>
        <w:rPr>
          <w:rFonts w:ascii="Times New Roman" w:hAnsi="Times New Roman"/>
          <w:lang w:val="en-US"/>
        </w:rPr>
        <w:t>规划依据</w:t>
      </w:r>
    </w:p>
    <w:p w14:paraId="5D99C4B3">
      <w:pPr>
        <w:spacing w:after="0" w:afterLines="0"/>
        <w:ind w:firstLine="500"/>
      </w:pPr>
      <w:r>
        <w:t>1.《城市电力规划规范》（GB/50293—2014）；</w:t>
      </w:r>
    </w:p>
    <w:p w14:paraId="48A27293">
      <w:pPr>
        <w:spacing w:after="0" w:afterLines="0"/>
        <w:ind w:firstLine="500"/>
      </w:pPr>
      <w:r>
        <w:t>2.《供配电系统设计规范》（GB/50052—2009）；</w:t>
      </w:r>
    </w:p>
    <w:p w14:paraId="66C6E1E9">
      <w:pPr>
        <w:spacing w:after="166"/>
        <w:ind w:firstLine="500"/>
      </w:pPr>
      <w:r>
        <w:t>3.《110kV~750kV架空输电线路设计规范》(GB 50545—2010)</w:t>
      </w:r>
    </w:p>
    <w:p w14:paraId="3F182527">
      <w:pPr>
        <w:pStyle w:val="4"/>
        <w:numPr>
          <w:ilvl w:val="2"/>
          <w:numId w:val="5"/>
        </w:numPr>
        <w:spacing w:before="332" w:after="166"/>
        <w:rPr>
          <w:rFonts w:ascii="Times New Roman" w:hAnsi="Times New Roman"/>
          <w:lang w:val="en-US"/>
        </w:rPr>
      </w:pPr>
      <w:bookmarkStart w:id="32" w:name="_Toc42240776"/>
      <w:r>
        <w:rPr>
          <w:rFonts w:ascii="Times New Roman" w:hAnsi="Times New Roman"/>
          <w:lang w:val="en-US"/>
        </w:rPr>
        <w:t>规划原则</w:t>
      </w:r>
      <w:bookmarkEnd w:id="32"/>
    </w:p>
    <w:p w14:paraId="43C85862">
      <w:pPr>
        <w:spacing w:after="166"/>
        <w:ind w:firstLine="500"/>
      </w:pPr>
      <w:r>
        <w:rPr>
          <w:rStyle w:val="54"/>
          <w:rFonts w:hint="eastAsia"/>
        </w:rPr>
        <w:t>原则①：按需定用。</w:t>
      </w:r>
      <w:r>
        <w:t>以预测用电负荷为依据，适度超前规划变配电、电力通道等基础设施。</w:t>
      </w:r>
    </w:p>
    <w:p w14:paraId="6AA3E5AC">
      <w:pPr>
        <w:spacing w:after="166"/>
        <w:ind w:firstLine="500"/>
      </w:pPr>
      <w:r>
        <w:rPr>
          <w:rStyle w:val="54"/>
          <w:rFonts w:hint="eastAsia"/>
        </w:rPr>
        <w:t>原则</w:t>
      </w:r>
      <w:r>
        <w:rPr>
          <w:rStyle w:val="54"/>
          <w:rFonts w:hint="eastAsia" w:ascii="微软雅黑" w:hAnsi="微软雅黑" w:eastAsia="微软雅黑" w:cs="微软雅黑"/>
        </w:rPr>
        <w:t>②</w:t>
      </w:r>
      <w:r>
        <w:rPr>
          <w:rStyle w:val="54"/>
          <w:rFonts w:hint="eastAsia"/>
        </w:rPr>
        <w:t>：</w:t>
      </w:r>
      <w:r>
        <w:rPr>
          <w:rStyle w:val="54"/>
        </w:rPr>
        <w:t>集约紧凑</w:t>
      </w:r>
      <w:r>
        <w:rPr>
          <w:rStyle w:val="54"/>
          <w:rFonts w:hint="eastAsia"/>
        </w:rPr>
        <w:t>。</w:t>
      </w:r>
      <w:r>
        <w:t>采取先进技术和设备集约布置变配电设施，中压线路采用电缆方式集中敷设在地下电力通道内。</w:t>
      </w:r>
    </w:p>
    <w:p w14:paraId="6711F3B2">
      <w:pPr>
        <w:spacing w:after="166"/>
        <w:ind w:firstLine="500"/>
      </w:pPr>
      <w:r>
        <w:rPr>
          <w:rStyle w:val="54"/>
          <w:rFonts w:hint="eastAsia"/>
        </w:rPr>
        <w:t>原则</w:t>
      </w:r>
      <w:r>
        <w:rPr>
          <w:rStyle w:val="54"/>
          <w:rFonts w:hint="eastAsia" w:ascii="微软雅黑" w:hAnsi="微软雅黑" w:eastAsia="微软雅黑" w:cs="微软雅黑"/>
        </w:rPr>
        <w:t>③</w:t>
      </w:r>
      <w:r>
        <w:rPr>
          <w:rStyle w:val="54"/>
          <w:rFonts w:hint="eastAsia"/>
        </w:rPr>
        <w:t>：统筹协调。</w:t>
      </w:r>
      <w:r>
        <w:t>与上层次规划、专项规划相协调，变配电设施、电力通道与周边相邻区域合理衔接，并协调一致。</w:t>
      </w:r>
    </w:p>
    <w:p w14:paraId="2CD4D8D4">
      <w:pPr>
        <w:pStyle w:val="4"/>
        <w:numPr>
          <w:ilvl w:val="2"/>
          <w:numId w:val="5"/>
        </w:numPr>
        <w:spacing w:before="332" w:after="166"/>
        <w:rPr>
          <w:rFonts w:ascii="Times New Roman" w:hAnsi="Times New Roman"/>
          <w:lang w:val="en-US"/>
        </w:rPr>
      </w:pPr>
      <w:bookmarkStart w:id="33" w:name="_Toc42240777"/>
      <w:r>
        <w:rPr>
          <w:rFonts w:ascii="Times New Roman" w:hAnsi="Times New Roman"/>
          <w:lang w:val="en-US"/>
        </w:rPr>
        <w:t>负荷预测</w:t>
      </w:r>
      <w:bookmarkEnd w:id="33"/>
    </w:p>
    <w:p w14:paraId="6FD6353C">
      <w:pPr>
        <w:spacing w:after="166"/>
        <w:ind w:firstLine="500"/>
      </w:pPr>
      <w:r>
        <w:t>依据城市规划用地指标，采用地均负荷指标法测算，考虑同时用电系统为0.7，规划区总用电量为6.43万千瓦。用电量预测详见下表。</w:t>
      </w:r>
    </w:p>
    <w:p w14:paraId="2D3406E9">
      <w:pPr>
        <w:pStyle w:val="117"/>
      </w:pPr>
      <w:r>
        <w:rPr>
          <w:rFonts w:hint="eastAsia"/>
        </w:rPr>
        <w:t xml:space="preserve">表11-4  </w:t>
      </w:r>
      <w:r>
        <w:t>用电量测算一览表</w:t>
      </w:r>
    </w:p>
    <w:tbl>
      <w:tblPr>
        <w:tblStyle w:val="3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1"/>
        <w:gridCol w:w="2659"/>
        <w:gridCol w:w="1481"/>
        <w:gridCol w:w="1399"/>
        <w:gridCol w:w="2039"/>
      </w:tblGrid>
      <w:tr w14:paraId="29DF1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52" w:type="pct"/>
            <w:tcBorders>
              <w:top w:val="single" w:color="000000" w:sz="12" w:space="0"/>
              <w:left w:val="single" w:color="000000" w:sz="12" w:space="0"/>
              <w:bottom w:val="single" w:color="000000" w:sz="4" w:space="0"/>
              <w:right w:val="single" w:color="000000" w:sz="4" w:space="0"/>
              <w:tl2br w:val="nil"/>
            </w:tcBorders>
            <w:shd w:val="clear" w:color="auto" w:fill="FFFFFF"/>
            <w:noWrap/>
            <w:vAlign w:val="center"/>
          </w:tcPr>
          <w:p w14:paraId="19684F88">
            <w:pPr>
              <w:pStyle w:val="115"/>
              <w:jc w:val="center"/>
              <w:rPr>
                <w:b w:val="0"/>
                <w:color w:val="000000"/>
              </w:rPr>
            </w:pPr>
            <w:r>
              <w:rPr>
                <w:b w:val="0"/>
                <w:color w:val="000000"/>
              </w:rPr>
              <w:t>序号</w:t>
            </w:r>
          </w:p>
        </w:tc>
        <w:tc>
          <w:tcPr>
            <w:tcW w:w="1560" w:type="pct"/>
            <w:tcBorders>
              <w:top w:val="single" w:color="000000" w:sz="12" w:space="0"/>
              <w:left w:val="single" w:color="000000" w:sz="4" w:space="0"/>
              <w:bottom w:val="single" w:color="000000" w:sz="4" w:space="0"/>
              <w:right w:val="single" w:color="000000" w:sz="4" w:space="0"/>
            </w:tcBorders>
            <w:shd w:val="clear" w:color="auto" w:fill="FFFFFF"/>
            <w:noWrap/>
            <w:vAlign w:val="center"/>
          </w:tcPr>
          <w:p w14:paraId="58F7EB75">
            <w:pPr>
              <w:pStyle w:val="115"/>
              <w:jc w:val="center"/>
              <w:rPr>
                <w:b w:val="0"/>
                <w:color w:val="000000"/>
              </w:rPr>
            </w:pPr>
            <w:r>
              <w:rPr>
                <w:b w:val="0"/>
                <w:color w:val="000000"/>
              </w:rPr>
              <w:t>用地名称</w:t>
            </w:r>
          </w:p>
        </w:tc>
        <w:tc>
          <w:tcPr>
            <w:tcW w:w="869" w:type="pct"/>
            <w:tcBorders>
              <w:top w:val="single" w:color="000000" w:sz="12" w:space="0"/>
              <w:left w:val="single" w:color="000000" w:sz="4" w:space="0"/>
              <w:bottom w:val="single" w:color="000000" w:sz="4" w:space="0"/>
              <w:right w:val="single" w:color="000000" w:sz="4" w:space="0"/>
            </w:tcBorders>
            <w:shd w:val="clear" w:color="auto" w:fill="FFFFFF"/>
            <w:noWrap/>
            <w:vAlign w:val="center"/>
          </w:tcPr>
          <w:p w14:paraId="44502034">
            <w:pPr>
              <w:pStyle w:val="115"/>
              <w:jc w:val="center"/>
              <w:rPr>
                <w:b w:val="0"/>
                <w:color w:val="000000"/>
              </w:rPr>
            </w:pPr>
            <w:r>
              <w:rPr>
                <w:b w:val="0"/>
                <w:color w:val="000000"/>
              </w:rPr>
              <w:t>面积（ha）</w:t>
            </w:r>
          </w:p>
        </w:tc>
        <w:tc>
          <w:tcPr>
            <w:tcW w:w="821"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69DB05B4">
            <w:pPr>
              <w:pStyle w:val="115"/>
              <w:jc w:val="center"/>
              <w:rPr>
                <w:b w:val="0"/>
                <w:color w:val="000000"/>
              </w:rPr>
            </w:pPr>
            <w:r>
              <w:rPr>
                <w:b w:val="0"/>
                <w:color w:val="000000"/>
              </w:rPr>
              <w:t>用电量指标(kw/ha)</w:t>
            </w:r>
          </w:p>
        </w:tc>
        <w:tc>
          <w:tcPr>
            <w:tcW w:w="1196" w:type="pct"/>
            <w:tcBorders>
              <w:top w:val="single" w:color="000000" w:sz="12" w:space="0"/>
              <w:left w:val="single" w:color="000000" w:sz="4" w:space="0"/>
              <w:bottom w:val="single" w:color="000000" w:sz="4" w:space="0"/>
              <w:right w:val="single" w:color="000000" w:sz="12" w:space="0"/>
            </w:tcBorders>
            <w:shd w:val="clear" w:color="auto" w:fill="FFFFFF"/>
            <w:noWrap/>
            <w:vAlign w:val="center"/>
          </w:tcPr>
          <w:p w14:paraId="14BD69E6">
            <w:pPr>
              <w:pStyle w:val="115"/>
              <w:jc w:val="center"/>
              <w:rPr>
                <w:b w:val="0"/>
                <w:color w:val="000000"/>
              </w:rPr>
            </w:pPr>
            <w:r>
              <w:rPr>
                <w:b w:val="0"/>
                <w:color w:val="000000"/>
              </w:rPr>
              <w:t>用电量（kw）</w:t>
            </w:r>
          </w:p>
        </w:tc>
      </w:tr>
      <w:tr w14:paraId="04BA62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52" w:type="pct"/>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46B928D4">
            <w:pPr>
              <w:pStyle w:val="115"/>
              <w:jc w:val="center"/>
              <w:rPr>
                <w:b w:val="0"/>
                <w:color w:val="000000"/>
              </w:rPr>
            </w:pPr>
            <w:r>
              <w:rPr>
                <w:b w:val="0"/>
                <w:color w:val="000000"/>
              </w:rPr>
              <w:t>1</w:t>
            </w:r>
          </w:p>
        </w:tc>
        <w:tc>
          <w:tcPr>
            <w:tcW w:w="156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72AE57D">
            <w:pPr>
              <w:pStyle w:val="115"/>
              <w:jc w:val="center"/>
              <w:rPr>
                <w:b w:val="0"/>
                <w:color w:val="000000"/>
              </w:rPr>
            </w:pPr>
            <w:r>
              <w:rPr>
                <w:b w:val="0"/>
                <w:color w:val="000000"/>
              </w:rPr>
              <w:t>居住用地</w:t>
            </w:r>
          </w:p>
        </w:tc>
        <w:tc>
          <w:tcPr>
            <w:tcW w:w="86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CFA61CF">
            <w:pPr>
              <w:pStyle w:val="115"/>
              <w:jc w:val="center"/>
              <w:rPr>
                <w:b w:val="0"/>
                <w:color w:val="000000"/>
              </w:rPr>
            </w:pPr>
            <w:r>
              <w:rPr>
                <w:b w:val="0"/>
                <w:color w:val="000000"/>
              </w:rPr>
              <w:t>144.79</w:t>
            </w:r>
          </w:p>
        </w:tc>
        <w:tc>
          <w:tcPr>
            <w:tcW w:w="82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DF28F89">
            <w:pPr>
              <w:pStyle w:val="115"/>
              <w:jc w:val="center"/>
              <w:rPr>
                <w:b w:val="0"/>
                <w:color w:val="000000"/>
              </w:rPr>
            </w:pPr>
            <w:r>
              <w:rPr>
                <w:b w:val="0"/>
                <w:color w:val="000000"/>
              </w:rPr>
              <w:t>200</w:t>
            </w:r>
          </w:p>
        </w:tc>
        <w:tc>
          <w:tcPr>
            <w:tcW w:w="1196" w:type="pct"/>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7DCE6461">
            <w:pPr>
              <w:pStyle w:val="115"/>
              <w:jc w:val="center"/>
              <w:rPr>
                <w:b w:val="0"/>
                <w:color w:val="000000"/>
              </w:rPr>
            </w:pPr>
            <w:r>
              <w:rPr>
                <w:b w:val="0"/>
                <w:color w:val="000000"/>
              </w:rPr>
              <w:t>28958</w:t>
            </w:r>
          </w:p>
        </w:tc>
      </w:tr>
      <w:tr w14:paraId="2521CB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52" w:type="pct"/>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0E95BA1E">
            <w:pPr>
              <w:pStyle w:val="115"/>
              <w:jc w:val="center"/>
              <w:rPr>
                <w:b w:val="0"/>
                <w:color w:val="000000"/>
              </w:rPr>
            </w:pPr>
            <w:r>
              <w:rPr>
                <w:b w:val="0"/>
                <w:color w:val="000000"/>
              </w:rPr>
              <w:t>2</w:t>
            </w:r>
          </w:p>
        </w:tc>
        <w:tc>
          <w:tcPr>
            <w:tcW w:w="156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BC06720">
            <w:pPr>
              <w:pStyle w:val="115"/>
              <w:jc w:val="center"/>
              <w:rPr>
                <w:b w:val="0"/>
                <w:color w:val="000000"/>
              </w:rPr>
            </w:pPr>
            <w:r>
              <w:rPr>
                <w:b w:val="0"/>
                <w:color w:val="000000"/>
              </w:rPr>
              <w:t>公共管理与公共服务设施用地</w:t>
            </w:r>
          </w:p>
        </w:tc>
        <w:tc>
          <w:tcPr>
            <w:tcW w:w="86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B39D373">
            <w:pPr>
              <w:pStyle w:val="115"/>
              <w:jc w:val="center"/>
              <w:rPr>
                <w:b w:val="0"/>
                <w:color w:val="000000"/>
              </w:rPr>
            </w:pPr>
            <w:r>
              <w:rPr>
                <w:b w:val="0"/>
                <w:color w:val="000000"/>
              </w:rPr>
              <w:t>69.46</w:t>
            </w:r>
          </w:p>
        </w:tc>
        <w:tc>
          <w:tcPr>
            <w:tcW w:w="82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4B21861">
            <w:pPr>
              <w:pStyle w:val="115"/>
              <w:jc w:val="center"/>
              <w:rPr>
                <w:b w:val="0"/>
                <w:color w:val="000000"/>
              </w:rPr>
            </w:pPr>
            <w:r>
              <w:rPr>
                <w:b w:val="0"/>
                <w:color w:val="000000"/>
              </w:rPr>
              <w:t>300</w:t>
            </w:r>
          </w:p>
        </w:tc>
        <w:tc>
          <w:tcPr>
            <w:tcW w:w="1196" w:type="pct"/>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66A63728">
            <w:pPr>
              <w:pStyle w:val="115"/>
              <w:jc w:val="center"/>
              <w:rPr>
                <w:b w:val="0"/>
                <w:color w:val="000000"/>
              </w:rPr>
            </w:pPr>
            <w:r>
              <w:rPr>
                <w:b w:val="0"/>
                <w:color w:val="000000"/>
              </w:rPr>
              <w:t>20838</w:t>
            </w:r>
          </w:p>
        </w:tc>
      </w:tr>
      <w:tr w14:paraId="418224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52" w:type="pct"/>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73F9C0BA">
            <w:pPr>
              <w:pStyle w:val="115"/>
              <w:jc w:val="center"/>
              <w:rPr>
                <w:b w:val="0"/>
                <w:color w:val="000000"/>
              </w:rPr>
            </w:pPr>
            <w:r>
              <w:rPr>
                <w:b w:val="0"/>
                <w:color w:val="000000"/>
              </w:rPr>
              <w:t>3</w:t>
            </w:r>
          </w:p>
        </w:tc>
        <w:tc>
          <w:tcPr>
            <w:tcW w:w="156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E969E76">
            <w:pPr>
              <w:pStyle w:val="115"/>
              <w:jc w:val="center"/>
              <w:rPr>
                <w:b w:val="0"/>
                <w:color w:val="000000"/>
              </w:rPr>
            </w:pPr>
            <w:r>
              <w:rPr>
                <w:b w:val="0"/>
                <w:color w:val="000000"/>
              </w:rPr>
              <w:t>商业服务业设施用地</w:t>
            </w:r>
          </w:p>
        </w:tc>
        <w:tc>
          <w:tcPr>
            <w:tcW w:w="86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5F8E9AF">
            <w:pPr>
              <w:pStyle w:val="115"/>
              <w:jc w:val="center"/>
              <w:rPr>
                <w:b w:val="0"/>
                <w:color w:val="000000"/>
              </w:rPr>
            </w:pPr>
            <w:r>
              <w:rPr>
                <w:b w:val="0"/>
                <w:color w:val="000000"/>
              </w:rPr>
              <w:t>57.7</w:t>
            </w:r>
          </w:p>
        </w:tc>
        <w:tc>
          <w:tcPr>
            <w:tcW w:w="82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585305B">
            <w:pPr>
              <w:pStyle w:val="115"/>
              <w:jc w:val="center"/>
              <w:rPr>
                <w:b w:val="0"/>
                <w:color w:val="000000"/>
              </w:rPr>
            </w:pPr>
            <w:r>
              <w:rPr>
                <w:b w:val="0"/>
                <w:color w:val="000000"/>
              </w:rPr>
              <w:t>500</w:t>
            </w:r>
          </w:p>
        </w:tc>
        <w:tc>
          <w:tcPr>
            <w:tcW w:w="1196" w:type="pct"/>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168095AA">
            <w:pPr>
              <w:pStyle w:val="115"/>
              <w:jc w:val="center"/>
              <w:rPr>
                <w:b w:val="0"/>
                <w:color w:val="000000"/>
              </w:rPr>
            </w:pPr>
            <w:r>
              <w:rPr>
                <w:b w:val="0"/>
                <w:color w:val="000000"/>
              </w:rPr>
              <w:t>28850</w:t>
            </w:r>
          </w:p>
        </w:tc>
      </w:tr>
      <w:tr w14:paraId="102A20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52" w:type="pct"/>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349C9F4E">
            <w:pPr>
              <w:pStyle w:val="115"/>
              <w:jc w:val="center"/>
              <w:rPr>
                <w:b w:val="0"/>
                <w:color w:val="000000"/>
              </w:rPr>
            </w:pPr>
            <w:r>
              <w:rPr>
                <w:b w:val="0"/>
                <w:color w:val="000000"/>
              </w:rPr>
              <w:t>4</w:t>
            </w:r>
          </w:p>
        </w:tc>
        <w:tc>
          <w:tcPr>
            <w:tcW w:w="156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1BB3E0D">
            <w:pPr>
              <w:pStyle w:val="115"/>
              <w:jc w:val="center"/>
              <w:rPr>
                <w:b w:val="0"/>
                <w:color w:val="000000"/>
              </w:rPr>
            </w:pPr>
            <w:r>
              <w:rPr>
                <w:b w:val="0"/>
                <w:color w:val="000000"/>
              </w:rPr>
              <w:t>工矿用地</w:t>
            </w:r>
          </w:p>
        </w:tc>
        <w:tc>
          <w:tcPr>
            <w:tcW w:w="86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40DB8D8">
            <w:pPr>
              <w:pStyle w:val="115"/>
              <w:jc w:val="center"/>
              <w:rPr>
                <w:b w:val="0"/>
                <w:color w:val="000000"/>
              </w:rPr>
            </w:pPr>
            <w:r>
              <w:rPr>
                <w:b w:val="0"/>
                <w:color w:val="000000"/>
              </w:rPr>
              <w:t>16.76</w:t>
            </w:r>
          </w:p>
        </w:tc>
        <w:tc>
          <w:tcPr>
            <w:tcW w:w="82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01A39A3">
            <w:pPr>
              <w:pStyle w:val="115"/>
              <w:jc w:val="center"/>
              <w:rPr>
                <w:b w:val="0"/>
                <w:color w:val="000000"/>
              </w:rPr>
            </w:pPr>
            <w:r>
              <w:rPr>
                <w:b w:val="0"/>
                <w:color w:val="000000"/>
              </w:rPr>
              <w:t>300</w:t>
            </w:r>
          </w:p>
        </w:tc>
        <w:tc>
          <w:tcPr>
            <w:tcW w:w="1196" w:type="pct"/>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28382BF0">
            <w:pPr>
              <w:pStyle w:val="115"/>
              <w:jc w:val="center"/>
              <w:rPr>
                <w:b w:val="0"/>
                <w:color w:val="000000"/>
              </w:rPr>
            </w:pPr>
            <w:r>
              <w:rPr>
                <w:b w:val="0"/>
                <w:color w:val="000000"/>
              </w:rPr>
              <w:t>5028</w:t>
            </w:r>
          </w:p>
        </w:tc>
      </w:tr>
      <w:tr w14:paraId="03752A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52" w:type="pct"/>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046AD865">
            <w:pPr>
              <w:pStyle w:val="115"/>
              <w:jc w:val="center"/>
              <w:rPr>
                <w:b w:val="0"/>
                <w:color w:val="000000"/>
              </w:rPr>
            </w:pPr>
            <w:r>
              <w:rPr>
                <w:b w:val="0"/>
                <w:color w:val="000000"/>
              </w:rPr>
              <w:t>5</w:t>
            </w:r>
          </w:p>
        </w:tc>
        <w:tc>
          <w:tcPr>
            <w:tcW w:w="156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8B57B48">
            <w:pPr>
              <w:pStyle w:val="115"/>
              <w:jc w:val="center"/>
              <w:rPr>
                <w:b w:val="0"/>
                <w:color w:val="000000"/>
              </w:rPr>
            </w:pPr>
            <w:r>
              <w:rPr>
                <w:b w:val="0"/>
                <w:color w:val="000000"/>
              </w:rPr>
              <w:t>仓储用地</w:t>
            </w:r>
          </w:p>
        </w:tc>
        <w:tc>
          <w:tcPr>
            <w:tcW w:w="86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791DB5C">
            <w:pPr>
              <w:pStyle w:val="115"/>
              <w:jc w:val="center"/>
              <w:rPr>
                <w:b w:val="0"/>
                <w:color w:val="000000"/>
              </w:rPr>
            </w:pPr>
            <w:r>
              <w:rPr>
                <w:b w:val="0"/>
                <w:color w:val="000000"/>
              </w:rPr>
              <w:t>26.87</w:t>
            </w:r>
          </w:p>
        </w:tc>
        <w:tc>
          <w:tcPr>
            <w:tcW w:w="82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A4DE92E">
            <w:pPr>
              <w:pStyle w:val="115"/>
              <w:jc w:val="center"/>
              <w:rPr>
                <w:b w:val="0"/>
                <w:color w:val="000000"/>
              </w:rPr>
            </w:pPr>
            <w:r>
              <w:rPr>
                <w:b w:val="0"/>
                <w:color w:val="000000"/>
              </w:rPr>
              <w:t>30</w:t>
            </w:r>
          </w:p>
        </w:tc>
        <w:tc>
          <w:tcPr>
            <w:tcW w:w="1196" w:type="pct"/>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5DE3A5DC">
            <w:pPr>
              <w:pStyle w:val="115"/>
              <w:jc w:val="center"/>
              <w:rPr>
                <w:b w:val="0"/>
                <w:color w:val="000000"/>
              </w:rPr>
            </w:pPr>
            <w:r>
              <w:rPr>
                <w:b w:val="0"/>
                <w:color w:val="000000"/>
              </w:rPr>
              <w:t>806.1</w:t>
            </w:r>
          </w:p>
        </w:tc>
      </w:tr>
      <w:tr w14:paraId="20DAA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52" w:type="pct"/>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52798F90">
            <w:pPr>
              <w:pStyle w:val="115"/>
              <w:jc w:val="center"/>
              <w:rPr>
                <w:b w:val="0"/>
                <w:color w:val="000000"/>
              </w:rPr>
            </w:pPr>
            <w:r>
              <w:rPr>
                <w:b w:val="0"/>
                <w:color w:val="000000"/>
              </w:rPr>
              <w:t>6</w:t>
            </w:r>
          </w:p>
        </w:tc>
        <w:tc>
          <w:tcPr>
            <w:tcW w:w="156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04B56EA">
            <w:pPr>
              <w:pStyle w:val="115"/>
              <w:jc w:val="center"/>
              <w:rPr>
                <w:b w:val="0"/>
                <w:color w:val="000000"/>
              </w:rPr>
            </w:pPr>
            <w:r>
              <w:rPr>
                <w:b w:val="0"/>
                <w:color w:val="000000"/>
              </w:rPr>
              <w:t>交通运输用地</w:t>
            </w:r>
          </w:p>
        </w:tc>
        <w:tc>
          <w:tcPr>
            <w:tcW w:w="86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5E96B0D">
            <w:pPr>
              <w:pStyle w:val="115"/>
              <w:jc w:val="center"/>
              <w:rPr>
                <w:b w:val="0"/>
                <w:color w:val="000000"/>
              </w:rPr>
            </w:pPr>
            <w:r>
              <w:rPr>
                <w:b w:val="0"/>
                <w:color w:val="000000"/>
              </w:rPr>
              <w:t>103.16</w:t>
            </w:r>
          </w:p>
        </w:tc>
        <w:tc>
          <w:tcPr>
            <w:tcW w:w="82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32BAB88">
            <w:pPr>
              <w:pStyle w:val="115"/>
              <w:jc w:val="center"/>
              <w:rPr>
                <w:b w:val="0"/>
                <w:color w:val="000000"/>
              </w:rPr>
            </w:pPr>
            <w:r>
              <w:rPr>
                <w:b w:val="0"/>
                <w:color w:val="000000"/>
              </w:rPr>
              <w:t>15</w:t>
            </w:r>
          </w:p>
        </w:tc>
        <w:tc>
          <w:tcPr>
            <w:tcW w:w="1196" w:type="pct"/>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4129A44C">
            <w:pPr>
              <w:pStyle w:val="115"/>
              <w:jc w:val="center"/>
              <w:rPr>
                <w:b w:val="0"/>
                <w:color w:val="000000"/>
              </w:rPr>
            </w:pPr>
            <w:r>
              <w:rPr>
                <w:b w:val="0"/>
                <w:color w:val="000000"/>
              </w:rPr>
              <w:t>1547.4</w:t>
            </w:r>
          </w:p>
        </w:tc>
      </w:tr>
      <w:tr w14:paraId="43A8C1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52" w:type="pct"/>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2E3EF999">
            <w:pPr>
              <w:pStyle w:val="115"/>
              <w:jc w:val="center"/>
              <w:rPr>
                <w:b w:val="0"/>
                <w:color w:val="000000"/>
              </w:rPr>
            </w:pPr>
            <w:r>
              <w:rPr>
                <w:b w:val="0"/>
                <w:color w:val="000000"/>
              </w:rPr>
              <w:t>7</w:t>
            </w:r>
          </w:p>
        </w:tc>
        <w:tc>
          <w:tcPr>
            <w:tcW w:w="156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0150C32">
            <w:pPr>
              <w:pStyle w:val="115"/>
              <w:jc w:val="center"/>
              <w:rPr>
                <w:b w:val="0"/>
                <w:color w:val="000000"/>
              </w:rPr>
            </w:pPr>
            <w:r>
              <w:rPr>
                <w:b w:val="0"/>
                <w:color w:val="000000"/>
              </w:rPr>
              <w:t>公用设施用地</w:t>
            </w:r>
          </w:p>
        </w:tc>
        <w:tc>
          <w:tcPr>
            <w:tcW w:w="86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FD9E5E6">
            <w:pPr>
              <w:pStyle w:val="115"/>
              <w:jc w:val="center"/>
              <w:rPr>
                <w:b w:val="0"/>
                <w:color w:val="000000"/>
              </w:rPr>
            </w:pPr>
            <w:r>
              <w:rPr>
                <w:b w:val="0"/>
                <w:color w:val="000000"/>
              </w:rPr>
              <w:t>20.22</w:t>
            </w:r>
          </w:p>
        </w:tc>
        <w:tc>
          <w:tcPr>
            <w:tcW w:w="82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66F64EF">
            <w:pPr>
              <w:pStyle w:val="115"/>
              <w:jc w:val="center"/>
              <w:rPr>
                <w:b w:val="0"/>
                <w:color w:val="000000"/>
              </w:rPr>
            </w:pPr>
            <w:r>
              <w:rPr>
                <w:b w:val="0"/>
                <w:color w:val="000000"/>
              </w:rPr>
              <w:t>200</w:t>
            </w:r>
          </w:p>
        </w:tc>
        <w:tc>
          <w:tcPr>
            <w:tcW w:w="1196" w:type="pct"/>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58F544C4">
            <w:pPr>
              <w:pStyle w:val="115"/>
              <w:jc w:val="center"/>
              <w:rPr>
                <w:b w:val="0"/>
                <w:color w:val="000000"/>
              </w:rPr>
            </w:pPr>
            <w:r>
              <w:rPr>
                <w:b w:val="0"/>
                <w:color w:val="000000"/>
              </w:rPr>
              <w:t>4044</w:t>
            </w:r>
          </w:p>
        </w:tc>
      </w:tr>
      <w:tr w14:paraId="66758B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52" w:type="pct"/>
            <w:tcBorders>
              <w:top w:val="single" w:color="000000" w:sz="4" w:space="0"/>
              <w:left w:val="single" w:color="000000" w:sz="12" w:space="0"/>
              <w:bottom w:val="single" w:color="000000" w:sz="4" w:space="0"/>
              <w:right w:val="single" w:color="000000" w:sz="4" w:space="0"/>
            </w:tcBorders>
            <w:shd w:val="clear" w:color="auto" w:fill="FFFFFF"/>
            <w:noWrap/>
            <w:vAlign w:val="center"/>
          </w:tcPr>
          <w:p w14:paraId="78A3A228">
            <w:pPr>
              <w:pStyle w:val="115"/>
              <w:jc w:val="center"/>
              <w:rPr>
                <w:b w:val="0"/>
                <w:color w:val="000000"/>
              </w:rPr>
            </w:pPr>
            <w:r>
              <w:rPr>
                <w:b w:val="0"/>
                <w:color w:val="000000"/>
              </w:rPr>
              <w:t>8</w:t>
            </w:r>
          </w:p>
        </w:tc>
        <w:tc>
          <w:tcPr>
            <w:tcW w:w="156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9FB3FCB">
            <w:pPr>
              <w:pStyle w:val="115"/>
              <w:jc w:val="center"/>
              <w:rPr>
                <w:b w:val="0"/>
                <w:color w:val="000000"/>
              </w:rPr>
            </w:pPr>
            <w:r>
              <w:rPr>
                <w:b w:val="0"/>
                <w:color w:val="000000"/>
              </w:rPr>
              <w:t>绿地与开敞空间</w:t>
            </w:r>
          </w:p>
        </w:tc>
        <w:tc>
          <w:tcPr>
            <w:tcW w:w="86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9D6A8AA">
            <w:pPr>
              <w:pStyle w:val="115"/>
              <w:jc w:val="center"/>
              <w:rPr>
                <w:b w:val="0"/>
                <w:color w:val="000000"/>
              </w:rPr>
            </w:pPr>
            <w:r>
              <w:rPr>
                <w:b w:val="0"/>
                <w:color w:val="000000"/>
              </w:rPr>
              <w:t>182.14</w:t>
            </w:r>
          </w:p>
        </w:tc>
        <w:tc>
          <w:tcPr>
            <w:tcW w:w="82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C4A380F">
            <w:pPr>
              <w:pStyle w:val="115"/>
              <w:jc w:val="center"/>
              <w:rPr>
                <w:b w:val="0"/>
                <w:color w:val="000000"/>
              </w:rPr>
            </w:pPr>
            <w:r>
              <w:rPr>
                <w:b w:val="0"/>
                <w:color w:val="000000"/>
              </w:rPr>
              <w:t>10</w:t>
            </w:r>
          </w:p>
        </w:tc>
        <w:tc>
          <w:tcPr>
            <w:tcW w:w="1196" w:type="pct"/>
            <w:tcBorders>
              <w:top w:val="single" w:color="000000" w:sz="4" w:space="0"/>
              <w:left w:val="single" w:color="000000" w:sz="4" w:space="0"/>
              <w:bottom w:val="single" w:color="000000" w:sz="4" w:space="0"/>
              <w:right w:val="single" w:color="000000" w:sz="12" w:space="0"/>
            </w:tcBorders>
            <w:shd w:val="clear" w:color="auto" w:fill="FFFFFF"/>
            <w:noWrap/>
            <w:vAlign w:val="center"/>
          </w:tcPr>
          <w:p w14:paraId="2F74B357">
            <w:pPr>
              <w:pStyle w:val="115"/>
              <w:jc w:val="center"/>
              <w:rPr>
                <w:b w:val="0"/>
                <w:color w:val="000000"/>
              </w:rPr>
            </w:pPr>
            <w:r>
              <w:rPr>
                <w:b w:val="0"/>
                <w:color w:val="000000"/>
              </w:rPr>
              <w:t>1821.4</w:t>
            </w:r>
          </w:p>
        </w:tc>
      </w:tr>
      <w:tr w14:paraId="0BDEB3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52" w:type="pct"/>
            <w:tcBorders>
              <w:top w:val="single" w:color="000000" w:sz="4" w:space="0"/>
              <w:left w:val="single" w:color="000000" w:sz="12" w:space="0"/>
              <w:bottom w:val="single" w:color="000000" w:sz="12" w:space="0"/>
              <w:right w:val="single" w:color="000000" w:sz="4" w:space="0"/>
            </w:tcBorders>
            <w:shd w:val="clear" w:color="auto" w:fill="FFFFFF"/>
            <w:noWrap/>
            <w:vAlign w:val="center"/>
          </w:tcPr>
          <w:p w14:paraId="6A1856B4">
            <w:pPr>
              <w:pStyle w:val="115"/>
              <w:jc w:val="center"/>
              <w:rPr>
                <w:b w:val="0"/>
                <w:color w:val="000000"/>
              </w:rPr>
            </w:pPr>
            <w:r>
              <w:rPr>
                <w:b w:val="0"/>
                <w:color w:val="000000"/>
              </w:rPr>
              <w:t>合计</w:t>
            </w:r>
          </w:p>
        </w:tc>
        <w:tc>
          <w:tcPr>
            <w:tcW w:w="1560" w:type="pct"/>
            <w:tcBorders>
              <w:top w:val="single" w:color="000000" w:sz="4" w:space="0"/>
              <w:left w:val="single" w:color="000000" w:sz="4" w:space="0"/>
              <w:bottom w:val="single" w:color="000000" w:sz="12" w:space="0"/>
              <w:right w:val="single" w:color="000000" w:sz="4" w:space="0"/>
            </w:tcBorders>
            <w:shd w:val="clear" w:color="auto" w:fill="FFFFFF"/>
            <w:noWrap/>
            <w:vAlign w:val="center"/>
          </w:tcPr>
          <w:p w14:paraId="3EAEB0BA">
            <w:pPr>
              <w:pStyle w:val="115"/>
              <w:jc w:val="center"/>
              <w:rPr>
                <w:b w:val="0"/>
                <w:color w:val="000000"/>
              </w:rPr>
            </w:pPr>
          </w:p>
        </w:tc>
        <w:tc>
          <w:tcPr>
            <w:tcW w:w="869" w:type="pct"/>
            <w:tcBorders>
              <w:top w:val="single" w:color="000000" w:sz="4" w:space="0"/>
              <w:left w:val="single" w:color="000000" w:sz="4" w:space="0"/>
              <w:bottom w:val="single" w:color="000000" w:sz="12" w:space="0"/>
              <w:right w:val="single" w:color="000000" w:sz="4" w:space="0"/>
            </w:tcBorders>
            <w:shd w:val="clear" w:color="auto" w:fill="FFFFFF"/>
            <w:noWrap/>
            <w:vAlign w:val="center"/>
          </w:tcPr>
          <w:p w14:paraId="65F8B732">
            <w:pPr>
              <w:pStyle w:val="115"/>
              <w:jc w:val="center"/>
              <w:rPr>
                <w:b w:val="0"/>
                <w:color w:val="000000"/>
              </w:rPr>
            </w:pPr>
          </w:p>
        </w:tc>
        <w:tc>
          <w:tcPr>
            <w:tcW w:w="821"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20E7E84E">
            <w:pPr>
              <w:pStyle w:val="115"/>
              <w:jc w:val="center"/>
              <w:rPr>
                <w:b w:val="0"/>
                <w:color w:val="000000"/>
              </w:rPr>
            </w:pPr>
          </w:p>
        </w:tc>
        <w:tc>
          <w:tcPr>
            <w:tcW w:w="1196" w:type="pct"/>
            <w:tcBorders>
              <w:top w:val="single" w:color="000000" w:sz="4" w:space="0"/>
              <w:left w:val="single" w:color="000000" w:sz="4" w:space="0"/>
              <w:bottom w:val="single" w:color="000000" w:sz="12" w:space="0"/>
              <w:right w:val="single" w:color="000000" w:sz="12" w:space="0"/>
            </w:tcBorders>
            <w:shd w:val="clear" w:color="auto" w:fill="FFFFFF"/>
            <w:noWrap/>
            <w:vAlign w:val="center"/>
          </w:tcPr>
          <w:p w14:paraId="21FDBBF1">
            <w:pPr>
              <w:pStyle w:val="115"/>
              <w:jc w:val="center"/>
              <w:rPr>
                <w:b w:val="0"/>
                <w:color w:val="000000"/>
              </w:rPr>
            </w:pPr>
            <w:r>
              <w:rPr>
                <w:b w:val="0"/>
                <w:color w:val="000000"/>
              </w:rPr>
              <w:t>91892.9</w:t>
            </w:r>
          </w:p>
        </w:tc>
      </w:tr>
    </w:tbl>
    <w:p w14:paraId="3CE7E9BC">
      <w:pPr>
        <w:spacing w:after="166"/>
        <w:ind w:firstLine="500"/>
      </w:pPr>
    </w:p>
    <w:p w14:paraId="11558FEE">
      <w:pPr>
        <w:pStyle w:val="4"/>
        <w:numPr>
          <w:ilvl w:val="2"/>
          <w:numId w:val="5"/>
        </w:numPr>
        <w:spacing w:before="332" w:after="166"/>
        <w:rPr>
          <w:rFonts w:ascii="Times New Roman" w:hAnsi="Times New Roman"/>
          <w:lang w:val="en-US"/>
        </w:rPr>
      </w:pPr>
      <w:bookmarkStart w:id="34" w:name="_Toc42240778"/>
      <w:r>
        <w:rPr>
          <w:rFonts w:ascii="Times New Roman" w:hAnsi="Times New Roman"/>
          <w:lang w:val="en-US"/>
        </w:rPr>
        <w:t>电源规划</w:t>
      </w:r>
      <w:bookmarkEnd w:id="34"/>
    </w:p>
    <w:p w14:paraId="1E80DE25">
      <w:pPr>
        <w:spacing w:after="166"/>
        <w:ind w:firstLine="500"/>
      </w:pPr>
      <w:r>
        <w:t>规划区220kV电源为规划区东南侧望海变，110kV电源为规划区东北侧白云变。</w:t>
      </w:r>
    </w:p>
    <w:p w14:paraId="2E3EA33C">
      <w:pPr>
        <w:pStyle w:val="4"/>
        <w:numPr>
          <w:ilvl w:val="2"/>
          <w:numId w:val="5"/>
        </w:numPr>
        <w:spacing w:before="332" w:after="166"/>
        <w:rPr>
          <w:rFonts w:ascii="Times New Roman" w:hAnsi="Times New Roman"/>
          <w:lang w:val="en-US"/>
        </w:rPr>
      </w:pPr>
      <w:bookmarkStart w:id="35" w:name="_Toc42240779"/>
      <w:r>
        <w:rPr>
          <w:rFonts w:ascii="Times New Roman" w:hAnsi="Times New Roman"/>
          <w:lang w:val="en-US"/>
        </w:rPr>
        <w:t>高压电网规划</w:t>
      </w:r>
      <w:bookmarkEnd w:id="35"/>
    </w:p>
    <w:p w14:paraId="0FC0F00B">
      <w:pPr>
        <w:spacing w:after="166"/>
        <w:ind w:firstLine="500"/>
      </w:pPr>
      <w:r>
        <w:t>规划保留现状110kV望白线、包白线、固白线电力架空线，廊道宽度15~25米。</w:t>
      </w:r>
    </w:p>
    <w:p w14:paraId="66AB2D8A">
      <w:pPr>
        <w:pStyle w:val="4"/>
        <w:numPr>
          <w:ilvl w:val="2"/>
          <w:numId w:val="5"/>
        </w:numPr>
        <w:spacing w:before="332" w:after="166"/>
        <w:rPr>
          <w:rFonts w:ascii="Times New Roman" w:hAnsi="Times New Roman"/>
          <w:lang w:val="en-US"/>
        </w:rPr>
      </w:pPr>
      <w:r>
        <w:rPr>
          <w:rFonts w:ascii="Times New Roman" w:hAnsi="Times New Roman"/>
          <w:lang w:val="en-US"/>
        </w:rPr>
        <w:t>中压电网规划</w:t>
      </w:r>
    </w:p>
    <w:p w14:paraId="69B5E1C1">
      <w:pPr>
        <w:spacing w:after="166"/>
        <w:ind w:firstLine="500"/>
      </w:pPr>
      <w:r>
        <w:t>规划沿各道路预留10kV电力线通道，新建10kV电力线埋地敷设。电力线路原则上沿道路的东侧、南侧绿化带或人行道敷设，与弱电线路分设在道路的两侧。单元内电缆沟断面应根据10kV电缆数量确定。</w:t>
      </w:r>
    </w:p>
    <w:p w14:paraId="7B00CB76">
      <w:pPr>
        <w:spacing w:after="166"/>
        <w:ind w:firstLine="500"/>
      </w:pPr>
      <w:r>
        <w:t>在城网建设中，结合城网用电负荷情况，合理的选择使用开闭所，可以保证供电可靠性，规划建设开闭所14处。</w:t>
      </w:r>
    </w:p>
    <w:p w14:paraId="0B67FCAD">
      <w:pPr>
        <w:pStyle w:val="13"/>
        <w:spacing w:after="0" w:afterLines="0"/>
        <w:ind w:firstLine="0" w:firstLineChars="0"/>
        <w:rPr>
          <w:rFonts w:hint="eastAsia"/>
        </w:rPr>
      </w:pPr>
      <w:r>
        <w:drawing>
          <wp:inline distT="0" distB="0" distL="114300" distR="114300">
            <wp:extent cx="5273675" cy="4311015"/>
            <wp:effectExtent l="0" t="0" r="3175" b="13335"/>
            <wp:docPr id="3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5"/>
                    <pic:cNvPicPr>
                      <a:picLocks noChangeAspect="1"/>
                    </pic:cNvPicPr>
                  </pic:nvPicPr>
                  <pic:blipFill>
                    <a:blip r:embed="rId105"/>
                    <a:stretch>
                      <a:fillRect/>
                    </a:stretch>
                  </pic:blipFill>
                  <pic:spPr>
                    <a:xfrm>
                      <a:off x="0" y="0"/>
                      <a:ext cx="5273675" cy="4311015"/>
                    </a:xfrm>
                    <a:prstGeom prst="rect">
                      <a:avLst/>
                    </a:prstGeom>
                    <a:noFill/>
                    <a:ln>
                      <a:noFill/>
                    </a:ln>
                  </pic:spPr>
                </pic:pic>
              </a:graphicData>
            </a:graphic>
          </wp:inline>
        </w:drawing>
      </w:r>
    </w:p>
    <w:p w14:paraId="2A77E1E4">
      <w:pPr>
        <w:pStyle w:val="268"/>
      </w:pPr>
      <w:r>
        <w:rPr>
          <w:rFonts w:hint="eastAsia"/>
        </w:rPr>
        <w:t>图11-4  供电工程规划图</w:t>
      </w:r>
    </w:p>
    <w:p w14:paraId="3DFB0F1A">
      <w:pPr>
        <w:pStyle w:val="3"/>
        <w:numPr>
          <w:ilvl w:val="1"/>
          <w:numId w:val="5"/>
        </w:numPr>
        <w:spacing w:before="332" w:after="166"/>
        <w:rPr>
          <w:rFonts w:hint="eastAsia"/>
        </w:rPr>
      </w:pPr>
      <w:r>
        <w:rPr>
          <w:rFonts w:hint="eastAsia"/>
        </w:rPr>
        <w:t>通信工程规划</w:t>
      </w:r>
    </w:p>
    <w:p w14:paraId="419744DC">
      <w:pPr>
        <w:pStyle w:val="4"/>
        <w:numPr>
          <w:ilvl w:val="2"/>
          <w:numId w:val="5"/>
        </w:numPr>
        <w:spacing w:before="332" w:after="166"/>
        <w:rPr>
          <w:rFonts w:ascii="Times New Roman" w:hAnsi="Times New Roman"/>
          <w:lang w:val="en-US"/>
        </w:rPr>
      </w:pPr>
      <w:bookmarkStart w:id="36" w:name="_Toc42240781"/>
      <w:r>
        <w:rPr>
          <w:rFonts w:ascii="Times New Roman" w:hAnsi="Times New Roman"/>
          <w:lang w:val="en-US"/>
        </w:rPr>
        <w:t>通信现状</w:t>
      </w:r>
      <w:bookmarkEnd w:id="36"/>
    </w:p>
    <w:p w14:paraId="76CE5D6F">
      <w:pPr>
        <w:pStyle w:val="5"/>
        <w:numPr>
          <w:ilvl w:val="0"/>
          <w:numId w:val="34"/>
        </w:numPr>
      </w:pPr>
      <w:r>
        <w:t>通信局所</w:t>
      </w:r>
    </w:p>
    <w:p w14:paraId="77F2C84A">
      <w:pPr>
        <w:spacing w:after="166"/>
        <w:ind w:firstLine="500"/>
      </w:pPr>
      <w:r>
        <w:t>规划区现状有移动机房3处，其中矿山路机房与营业厅合建，总建筑面积约1000平方米，其中机房建筑面积约50平方米，稀土大街端局面积约40平方米，矿山公园端局面积约60平方米。</w:t>
      </w:r>
      <w:r>
        <w:rPr>
          <w:rFonts w:hint="eastAsia"/>
        </w:rPr>
        <w:t>现状有</w:t>
      </w:r>
      <w:r>
        <w:t>电信</w:t>
      </w:r>
      <w:r>
        <w:rPr>
          <w:rFonts w:hint="eastAsia"/>
        </w:rPr>
        <w:t>机房</w:t>
      </w:r>
      <w:r>
        <w:t>1座，</w:t>
      </w:r>
      <w:r>
        <w:rPr>
          <w:rFonts w:hint="eastAsia"/>
        </w:rPr>
        <w:t>与营业厅合建，</w:t>
      </w:r>
      <w:r>
        <w:t>其中机房面积约200平方米。</w:t>
      </w:r>
      <w:r>
        <w:rPr>
          <w:rFonts w:hint="eastAsia"/>
        </w:rPr>
        <w:t>现状</w:t>
      </w:r>
      <w:r>
        <w:t>联通</w:t>
      </w:r>
      <w:r>
        <w:rPr>
          <w:rFonts w:hint="eastAsia"/>
        </w:rPr>
        <w:t>机房1处</w:t>
      </w:r>
      <w:r>
        <w:t>，与营业厅合建，其中机房面积约100平方米。</w:t>
      </w:r>
    </w:p>
    <w:p w14:paraId="2D3BC0FA">
      <w:pPr>
        <w:pStyle w:val="5"/>
        <w:numPr>
          <w:ilvl w:val="0"/>
          <w:numId w:val="34"/>
        </w:numPr>
      </w:pPr>
      <w:r>
        <w:t>通信线路</w:t>
      </w:r>
    </w:p>
    <w:p w14:paraId="1D195D64">
      <w:pPr>
        <w:spacing w:after="166"/>
        <w:ind w:firstLine="500"/>
      </w:pPr>
      <w:r>
        <w:t>规划区道路下随路建设有通信电缆，供电信、移动、联通等运营商借用，部分沿道路建设有通信架空线。</w:t>
      </w:r>
    </w:p>
    <w:p w14:paraId="315AB879">
      <w:pPr>
        <w:pStyle w:val="4"/>
        <w:numPr>
          <w:ilvl w:val="2"/>
          <w:numId w:val="5"/>
        </w:numPr>
        <w:spacing w:before="332" w:after="166"/>
        <w:rPr>
          <w:rFonts w:ascii="Times New Roman" w:hAnsi="Times New Roman"/>
          <w:lang w:val="en-US"/>
        </w:rPr>
      </w:pPr>
      <w:r>
        <w:rPr>
          <w:rFonts w:ascii="Times New Roman" w:hAnsi="Times New Roman"/>
          <w:lang w:val="en-US"/>
        </w:rPr>
        <w:t>规划依据</w:t>
      </w:r>
    </w:p>
    <w:p w14:paraId="55094B9D">
      <w:pPr>
        <w:spacing w:after="0" w:afterLines="0"/>
        <w:ind w:firstLine="500"/>
      </w:pPr>
      <w:r>
        <w:t>1.《城市通信工程规划规范》（GB/T50853—2013）；</w:t>
      </w:r>
    </w:p>
    <w:p w14:paraId="6C4D905E">
      <w:pPr>
        <w:spacing w:after="166"/>
        <w:ind w:firstLine="500"/>
      </w:pPr>
      <w:r>
        <w:t>2.《通信线路工程设计规范》（GB51158—2015）；</w:t>
      </w:r>
    </w:p>
    <w:p w14:paraId="5F41B57F">
      <w:pPr>
        <w:pStyle w:val="4"/>
        <w:numPr>
          <w:ilvl w:val="2"/>
          <w:numId w:val="5"/>
        </w:numPr>
        <w:spacing w:before="332" w:after="166"/>
        <w:rPr>
          <w:rFonts w:ascii="Times New Roman" w:hAnsi="Times New Roman"/>
          <w:lang w:val="en-US"/>
        </w:rPr>
      </w:pPr>
      <w:bookmarkStart w:id="37" w:name="_Toc42240782"/>
      <w:r>
        <w:rPr>
          <w:rFonts w:ascii="Times New Roman" w:hAnsi="Times New Roman"/>
          <w:lang w:val="en-US"/>
        </w:rPr>
        <w:t>规划原则</w:t>
      </w:r>
      <w:bookmarkEnd w:id="37"/>
    </w:p>
    <w:p w14:paraId="53F76702">
      <w:pPr>
        <w:spacing w:after="166"/>
        <w:ind w:firstLine="500"/>
      </w:pPr>
      <w:r>
        <w:rPr>
          <w:rStyle w:val="54"/>
          <w:rFonts w:hint="eastAsia"/>
        </w:rPr>
        <w:t>原则①：按需定用，适度超前。</w:t>
      </w:r>
      <w:r>
        <w:t>选取合适指标预测通信业务，并以此为基础按照“少局址，大容量”通信机楼的组网原则，适度超前地规划通信设施用地；以广泛使用的光纤为主导传输介质，适度超前地规划通信管道容量。</w:t>
      </w:r>
    </w:p>
    <w:p w14:paraId="537720E4">
      <w:pPr>
        <w:spacing w:after="166"/>
        <w:ind w:firstLine="500"/>
      </w:pPr>
      <w:r>
        <w:rPr>
          <w:rStyle w:val="54"/>
          <w:rFonts w:hint="eastAsia"/>
        </w:rPr>
        <w:t>原则②：共建共享，统筹兼顾。</w:t>
      </w:r>
      <w:r>
        <w:t>针对多家通信企业平等竞争的独特格局，所有单独占地的通信设施均需兼顾其它通信企业的需求，所有附设式通信接入网及管道等设施均需共建共享。</w:t>
      </w:r>
    </w:p>
    <w:p w14:paraId="25B48B56">
      <w:pPr>
        <w:spacing w:after="166"/>
        <w:ind w:firstLine="500"/>
      </w:pPr>
      <w:r>
        <w:rPr>
          <w:rStyle w:val="54"/>
          <w:rFonts w:hint="eastAsia"/>
        </w:rPr>
        <w:t>原则</w:t>
      </w:r>
      <w:r>
        <w:rPr>
          <w:rStyle w:val="54"/>
          <w:rFonts w:hint="eastAsia" w:ascii="微软雅黑" w:hAnsi="微软雅黑" w:eastAsia="微软雅黑" w:cs="微软雅黑"/>
        </w:rPr>
        <w:t>③</w:t>
      </w:r>
      <w:r>
        <w:rPr>
          <w:rStyle w:val="54"/>
          <w:rFonts w:hint="eastAsia"/>
        </w:rPr>
        <w:t>：提高标准，入地敷设。</w:t>
      </w:r>
      <w:r>
        <w:t>所有通信线路均需入地敷设，集中敷设在地下公共通信管道内，统一规划并统一建设网状通信管道系统，满足各种城域网的使用要求。</w:t>
      </w:r>
    </w:p>
    <w:p w14:paraId="00BBDFEC">
      <w:pPr>
        <w:pStyle w:val="4"/>
        <w:numPr>
          <w:ilvl w:val="2"/>
          <w:numId w:val="5"/>
        </w:numPr>
        <w:spacing w:before="332" w:after="166"/>
        <w:rPr>
          <w:rFonts w:ascii="Times New Roman" w:hAnsi="Times New Roman"/>
          <w:lang w:val="en-US"/>
        </w:rPr>
      </w:pPr>
      <w:bookmarkStart w:id="38" w:name="_Toc42240783"/>
      <w:r>
        <w:rPr>
          <w:rFonts w:ascii="Times New Roman" w:hAnsi="Times New Roman"/>
          <w:lang w:val="en-US"/>
        </w:rPr>
        <w:t>电信容量预测</w:t>
      </w:r>
      <w:bookmarkEnd w:id="38"/>
    </w:p>
    <w:p w14:paraId="014CC750">
      <w:pPr>
        <w:spacing w:after="166"/>
        <w:ind w:firstLine="500"/>
      </w:pPr>
      <w:r>
        <w:t>移动通信用户量按130卡号/百人，移动用户量为3.9万户；宽带用户按50户/百人，宽带用户量为1.5万户；固话按60线/ 百人，固话量为1.8万户；有线电视用户按3人一个用户，每户两个端口，有线电视用户量2.0万户。</w:t>
      </w:r>
    </w:p>
    <w:p w14:paraId="2053CF43">
      <w:pPr>
        <w:pStyle w:val="4"/>
        <w:numPr>
          <w:ilvl w:val="2"/>
          <w:numId w:val="5"/>
        </w:numPr>
        <w:spacing w:before="332" w:after="166"/>
        <w:rPr>
          <w:rFonts w:ascii="Times New Roman" w:hAnsi="Times New Roman"/>
          <w:lang w:val="en-US"/>
        </w:rPr>
      </w:pPr>
      <w:bookmarkStart w:id="39" w:name="_Toc42240784"/>
      <w:r>
        <w:rPr>
          <w:rFonts w:ascii="Times New Roman" w:hAnsi="Times New Roman"/>
          <w:lang w:val="en-US"/>
        </w:rPr>
        <w:t>通信基础设施规划</w:t>
      </w:r>
      <w:bookmarkEnd w:id="39"/>
    </w:p>
    <w:p w14:paraId="7692E359">
      <w:pPr>
        <w:pStyle w:val="5"/>
        <w:numPr>
          <w:ilvl w:val="0"/>
          <w:numId w:val="35"/>
        </w:numPr>
      </w:pPr>
      <w:r>
        <w:t>邮政局所</w:t>
      </w:r>
    </w:p>
    <w:p w14:paraId="6CB601CA">
      <w:pPr>
        <w:spacing w:after="166"/>
        <w:ind w:firstLine="500"/>
      </w:pPr>
      <w:r>
        <w:t>规划保留现状</w:t>
      </w:r>
      <w:r>
        <w:rPr>
          <w:rFonts w:hint="eastAsia"/>
        </w:rPr>
        <w:t>邮政局所3处</w:t>
      </w:r>
      <w:r>
        <w:t>。邮政局所</w:t>
      </w:r>
      <w:r>
        <w:rPr>
          <w:rFonts w:hint="eastAsia"/>
        </w:rPr>
        <w:t>可</w:t>
      </w:r>
      <w:r>
        <w:t>采用附设式，附设于其它公共建筑物中，每座需建筑面积不小于200m²控制。</w:t>
      </w:r>
    </w:p>
    <w:p w14:paraId="2EF7AA37">
      <w:pPr>
        <w:pStyle w:val="5"/>
        <w:numPr>
          <w:ilvl w:val="0"/>
          <w:numId w:val="35"/>
        </w:numPr>
      </w:pPr>
      <w:r>
        <w:t>通信汇聚机房</w:t>
      </w:r>
    </w:p>
    <w:p w14:paraId="01B5E5C7">
      <w:pPr>
        <w:spacing w:after="166"/>
        <w:ind w:firstLine="500"/>
      </w:pPr>
      <w:r>
        <w:t>规划区保留现状</w:t>
      </w:r>
      <w:r>
        <w:rPr>
          <w:rFonts w:hint="eastAsia"/>
        </w:rPr>
        <w:t>机房5处</w:t>
      </w:r>
      <w:r>
        <w:t>，</w:t>
      </w:r>
      <w:r>
        <w:rPr>
          <w:rFonts w:hint="eastAsia"/>
        </w:rPr>
        <w:t>不独立占地，</w:t>
      </w:r>
      <w:r>
        <w:t>各运营商</w:t>
      </w:r>
      <w:r>
        <w:rPr>
          <w:rFonts w:hint="eastAsia"/>
        </w:rPr>
        <w:t>采用购买或租赁等市场化模式解决</w:t>
      </w:r>
      <w:r>
        <w:t>。</w:t>
      </w:r>
      <w:r>
        <w:rPr>
          <w:rFonts w:hint="eastAsia"/>
        </w:rPr>
        <w:t>鼓励各运营商之间采用共建共享模式。</w:t>
      </w:r>
    </w:p>
    <w:p w14:paraId="5D13F8CB">
      <w:pPr>
        <w:pStyle w:val="5"/>
        <w:numPr>
          <w:ilvl w:val="0"/>
          <w:numId w:val="35"/>
        </w:numPr>
      </w:pPr>
      <w:r>
        <w:t>数据通讯网</w:t>
      </w:r>
    </w:p>
    <w:p w14:paraId="0778BFC3">
      <w:pPr>
        <w:spacing w:after="166"/>
        <w:ind w:firstLine="500"/>
        <w:rPr>
          <w:highlight w:val="none"/>
        </w:rPr>
      </w:pPr>
      <w:r>
        <w:rPr>
          <w:highlight w:val="none"/>
        </w:rPr>
        <w:t>规划区内数据接入可通过多种方式。居住区用户以LAN接入为主，每个居住区及住宅楼需适当预留数据机房，每个居住区内预留8</w:t>
      </w:r>
      <w:r>
        <w:rPr>
          <w:highlight w:val="none"/>
          <w:lang w:bidi="ar"/>
        </w:rPr>
        <w:t>~</w:t>
      </w:r>
      <w:r>
        <w:rPr>
          <w:highlight w:val="none"/>
        </w:rPr>
        <w:t>15m²。</w:t>
      </w:r>
    </w:p>
    <w:p w14:paraId="46940EDE">
      <w:pPr>
        <w:pStyle w:val="5"/>
        <w:numPr>
          <w:ilvl w:val="0"/>
          <w:numId w:val="35"/>
        </w:numPr>
        <w:rPr>
          <w:highlight w:val="none"/>
        </w:rPr>
      </w:pPr>
      <w:r>
        <w:rPr>
          <w:highlight w:val="none"/>
        </w:rPr>
        <w:t>道路管孔</w:t>
      </w:r>
    </w:p>
    <w:p w14:paraId="2ECEF23B">
      <w:pPr>
        <w:spacing w:after="166"/>
        <w:ind w:firstLine="500"/>
        <w:rPr>
          <w:highlight w:val="none"/>
        </w:rPr>
      </w:pPr>
      <w:r>
        <w:rPr>
          <w:highlight w:val="none"/>
        </w:rPr>
        <w:t>规划沿道路下敷设4~16孔通信管道，通信管道采用PVC-φ110塑料管，规划通信管线与电力线隔路布置，沿道路的西侧和北侧埋地敷设，管道埋深为0.8</w:t>
      </w:r>
      <w:r>
        <w:rPr>
          <w:highlight w:val="none"/>
          <w:lang w:bidi="ar"/>
        </w:rPr>
        <w:t>~</w:t>
      </w:r>
      <w:r>
        <w:rPr>
          <w:highlight w:val="none"/>
        </w:rPr>
        <w:t>1.2米。</w:t>
      </w:r>
    </w:p>
    <w:p w14:paraId="2A27A3E7">
      <w:pPr>
        <w:pStyle w:val="5"/>
        <w:numPr>
          <w:ilvl w:val="0"/>
          <w:numId w:val="35"/>
        </w:numPr>
      </w:pPr>
      <w:r>
        <w:t>共建基站</w:t>
      </w:r>
    </w:p>
    <w:p w14:paraId="629A6147">
      <w:pPr>
        <w:spacing w:after="166"/>
        <w:ind w:firstLine="500"/>
      </w:pPr>
      <w:r>
        <w:t>规划区内基站采用共建共享形式，基站服务半径按500~800米控制。规划区共建基站8座，每个基站需在距离天线较近的地方预留移动通信的设备机房，每个设备机房需建筑面积约20~40平方米。</w:t>
      </w:r>
    </w:p>
    <w:p w14:paraId="613E3775">
      <w:pPr>
        <w:pStyle w:val="13"/>
        <w:spacing w:after="0" w:afterLines="0"/>
        <w:ind w:firstLine="0" w:firstLineChars="0"/>
        <w:rPr>
          <w:rFonts w:hint="eastAsia"/>
        </w:rPr>
      </w:pPr>
      <w:r>
        <w:drawing>
          <wp:inline distT="0" distB="0" distL="114300" distR="114300">
            <wp:extent cx="5273675" cy="4311015"/>
            <wp:effectExtent l="0" t="0" r="3175" b="13335"/>
            <wp:docPr id="3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6"/>
                    <pic:cNvPicPr>
                      <a:picLocks noChangeAspect="1"/>
                    </pic:cNvPicPr>
                  </pic:nvPicPr>
                  <pic:blipFill>
                    <a:blip r:embed="rId106"/>
                    <a:stretch>
                      <a:fillRect/>
                    </a:stretch>
                  </pic:blipFill>
                  <pic:spPr>
                    <a:xfrm>
                      <a:off x="0" y="0"/>
                      <a:ext cx="5273675" cy="4311015"/>
                    </a:xfrm>
                    <a:prstGeom prst="rect">
                      <a:avLst/>
                    </a:prstGeom>
                    <a:noFill/>
                    <a:ln>
                      <a:noFill/>
                    </a:ln>
                  </pic:spPr>
                </pic:pic>
              </a:graphicData>
            </a:graphic>
          </wp:inline>
        </w:drawing>
      </w:r>
    </w:p>
    <w:p w14:paraId="700B1C4F">
      <w:pPr>
        <w:pStyle w:val="268"/>
      </w:pPr>
      <w:r>
        <w:rPr>
          <w:rFonts w:hint="eastAsia"/>
        </w:rPr>
        <w:t>图11-5  通信工程规划图</w:t>
      </w:r>
    </w:p>
    <w:p w14:paraId="7C2EE5E9">
      <w:pPr>
        <w:pStyle w:val="3"/>
        <w:numPr>
          <w:ilvl w:val="1"/>
          <w:numId w:val="5"/>
        </w:numPr>
        <w:spacing w:before="332" w:after="166"/>
        <w:rPr>
          <w:rFonts w:hint="eastAsia"/>
        </w:rPr>
      </w:pPr>
      <w:r>
        <w:rPr>
          <w:rFonts w:hint="eastAsia"/>
        </w:rPr>
        <w:t>燃气工程规划</w:t>
      </w:r>
    </w:p>
    <w:p w14:paraId="7B3380C5">
      <w:pPr>
        <w:pStyle w:val="4"/>
        <w:numPr>
          <w:ilvl w:val="2"/>
          <w:numId w:val="5"/>
        </w:numPr>
        <w:spacing w:before="332" w:after="166"/>
        <w:rPr>
          <w:rFonts w:ascii="Times New Roman" w:hAnsi="Times New Roman"/>
          <w:lang w:val="en-US"/>
        </w:rPr>
      </w:pPr>
      <w:bookmarkStart w:id="40" w:name="_Toc42240786"/>
      <w:r>
        <w:rPr>
          <w:rFonts w:ascii="Times New Roman" w:hAnsi="Times New Roman"/>
          <w:lang w:val="en-US"/>
        </w:rPr>
        <w:t>燃气现状</w:t>
      </w:r>
      <w:bookmarkEnd w:id="40"/>
    </w:p>
    <w:p w14:paraId="65FCF7F9">
      <w:pPr>
        <w:pStyle w:val="5"/>
        <w:numPr>
          <w:ilvl w:val="0"/>
          <w:numId w:val="36"/>
        </w:numPr>
      </w:pPr>
      <w:r>
        <w:t>燃气设施</w:t>
      </w:r>
    </w:p>
    <w:p w14:paraId="4DCC5A2E">
      <w:pPr>
        <w:spacing w:after="166"/>
        <w:ind w:firstLine="500"/>
        <w:rPr>
          <w:sz w:val="22"/>
          <w:szCs w:val="22"/>
        </w:rPr>
      </w:pPr>
      <w:r>
        <w:t>规划区现状建设有L-CNG和LNG加气合建站1座，并设置LNG储配装置区，LNG气化输配装置区，占地面积约为23564.43m</w:t>
      </w:r>
      <w:r>
        <w:rPr>
          <w:vertAlign w:val="superscript"/>
        </w:rPr>
        <w:t>2</w:t>
      </w:r>
      <w:r>
        <w:t>。</w:t>
      </w:r>
    </w:p>
    <w:p w14:paraId="54707189">
      <w:pPr>
        <w:pStyle w:val="5"/>
        <w:numPr>
          <w:ilvl w:val="0"/>
          <w:numId w:val="36"/>
        </w:numPr>
      </w:pPr>
      <w:r>
        <w:t>燃气管网</w:t>
      </w:r>
    </w:p>
    <w:p w14:paraId="55DFA2D0">
      <w:pPr>
        <w:spacing w:after="166"/>
        <w:ind w:firstLine="500"/>
      </w:pPr>
      <w:r>
        <w:t>现状沿百灵道、</w:t>
      </w:r>
      <w:r>
        <w:rPr>
          <w:rFonts w:hint="eastAsia"/>
          <w:lang w:val="en-US"/>
        </w:rPr>
        <w:t>白云</w:t>
      </w:r>
      <w:r>
        <w:t>鄂博大街、丁道衡路等道路建设DN</w:t>
      </w:r>
      <w:r>
        <w:rPr>
          <w:rFonts w:hint="eastAsia"/>
        </w:rPr>
        <w:t>15</w:t>
      </w:r>
      <w:r>
        <w:t>0~DN300的中压管道。</w:t>
      </w:r>
    </w:p>
    <w:p w14:paraId="71E74E0C">
      <w:pPr>
        <w:pStyle w:val="4"/>
        <w:numPr>
          <w:ilvl w:val="2"/>
          <w:numId w:val="5"/>
        </w:numPr>
        <w:spacing w:before="332" w:after="166"/>
        <w:rPr>
          <w:rFonts w:ascii="Times New Roman" w:hAnsi="Times New Roman"/>
          <w:lang w:val="en-US"/>
        </w:rPr>
      </w:pPr>
      <w:r>
        <w:rPr>
          <w:rFonts w:hint="eastAsia" w:ascii="Times New Roman" w:hAnsi="Times New Roman"/>
          <w:lang w:val="en-US"/>
        </w:rPr>
        <w:t>主要</w:t>
      </w:r>
      <w:r>
        <w:rPr>
          <w:rFonts w:ascii="Times New Roman" w:hAnsi="Times New Roman"/>
          <w:lang w:val="en-US"/>
        </w:rPr>
        <w:t>规划依据</w:t>
      </w:r>
      <w:r>
        <w:rPr>
          <w:rFonts w:hint="eastAsia" w:ascii="Times New Roman" w:hAnsi="Times New Roman"/>
          <w:lang w:val="en-US"/>
        </w:rPr>
        <w:t>规范</w:t>
      </w:r>
    </w:p>
    <w:p w14:paraId="43420FE0">
      <w:pPr>
        <w:numPr>
          <w:ilvl w:val="0"/>
          <w:numId w:val="37"/>
        </w:numPr>
        <w:spacing w:after="0" w:afterLines="0"/>
        <w:ind w:firstLine="500"/>
      </w:pPr>
      <w:r>
        <w:t>《城镇燃气设计规范》（GB50028—2006）2020年版；</w:t>
      </w:r>
    </w:p>
    <w:p w14:paraId="05D05F51">
      <w:pPr>
        <w:numPr>
          <w:ilvl w:val="0"/>
          <w:numId w:val="37"/>
        </w:numPr>
        <w:spacing w:after="0" w:afterLines="0"/>
        <w:ind w:firstLine="500"/>
      </w:pPr>
      <w:r>
        <w:rPr>
          <w:rFonts w:hint="eastAsia"/>
        </w:rPr>
        <w:t>《</w:t>
      </w:r>
      <w:r>
        <w:t>汽车加油加气加氢站技术标准》（GB 50156—2021）；</w:t>
      </w:r>
    </w:p>
    <w:p w14:paraId="7FC472C4">
      <w:pPr>
        <w:numPr>
          <w:ilvl w:val="0"/>
          <w:numId w:val="37"/>
        </w:numPr>
        <w:spacing w:after="0" w:afterLines="0"/>
        <w:ind w:firstLine="500"/>
      </w:pPr>
      <w:r>
        <w:rPr>
          <w:rFonts w:hint="eastAsia"/>
        </w:rPr>
        <w:t>《</w:t>
      </w:r>
      <w:r>
        <w:t>液化天然气（LNG）汽车加气站技术规范》（NB/T1001-2011）</w:t>
      </w:r>
      <w:r>
        <w:rPr>
          <w:rFonts w:hint="eastAsia"/>
        </w:rPr>
        <w:t>。</w:t>
      </w:r>
    </w:p>
    <w:p w14:paraId="78D9EEDA">
      <w:pPr>
        <w:pStyle w:val="4"/>
        <w:numPr>
          <w:ilvl w:val="2"/>
          <w:numId w:val="5"/>
        </w:numPr>
        <w:spacing w:before="332" w:after="166"/>
        <w:rPr>
          <w:rFonts w:ascii="Times New Roman" w:hAnsi="Times New Roman"/>
          <w:lang w:val="en-US"/>
        </w:rPr>
      </w:pPr>
      <w:bookmarkStart w:id="41" w:name="_Toc42240787"/>
      <w:r>
        <w:rPr>
          <w:rFonts w:ascii="Times New Roman" w:hAnsi="Times New Roman"/>
          <w:lang w:val="en-US"/>
        </w:rPr>
        <w:t>规划原则</w:t>
      </w:r>
      <w:bookmarkEnd w:id="41"/>
    </w:p>
    <w:p w14:paraId="48A126AD">
      <w:pPr>
        <w:spacing w:after="166"/>
        <w:ind w:firstLine="500"/>
      </w:pPr>
      <w:r>
        <w:rPr>
          <w:rStyle w:val="54"/>
          <w:rFonts w:hint="eastAsia"/>
        </w:rPr>
        <w:t>原则①：协调衔接。</w:t>
      </w:r>
      <w:r>
        <w:t>与周边的燃气设施、供气管网进行衔接，既能保障本区用气供应，又能保证周边用气供应。</w:t>
      </w:r>
    </w:p>
    <w:p w14:paraId="5CAA978C">
      <w:pPr>
        <w:spacing w:after="166"/>
        <w:ind w:firstLine="500"/>
      </w:pPr>
      <w:r>
        <w:rPr>
          <w:rStyle w:val="54"/>
          <w:rFonts w:hint="eastAsia"/>
        </w:rPr>
        <w:t>原则②：合理布局。</w:t>
      </w:r>
      <w:r>
        <w:t>积极发展管道供气，结合规划区实际情况，进行负荷预测、设施布局、管网设计。</w:t>
      </w:r>
    </w:p>
    <w:p w14:paraId="5C8F914C">
      <w:pPr>
        <w:pStyle w:val="4"/>
        <w:numPr>
          <w:ilvl w:val="2"/>
          <w:numId w:val="5"/>
        </w:numPr>
        <w:spacing w:before="332" w:after="166"/>
        <w:rPr>
          <w:rFonts w:ascii="Times New Roman" w:hAnsi="Times New Roman"/>
          <w:lang w:val="en-US"/>
        </w:rPr>
      </w:pPr>
      <w:bookmarkStart w:id="42" w:name="_Toc42240788"/>
      <w:r>
        <w:rPr>
          <w:rFonts w:ascii="Times New Roman" w:hAnsi="Times New Roman"/>
          <w:lang w:val="en-US"/>
        </w:rPr>
        <w:t>用气量预测</w:t>
      </w:r>
      <w:bookmarkEnd w:id="42"/>
    </w:p>
    <w:p w14:paraId="032B78DD">
      <w:pPr>
        <w:spacing w:after="166"/>
        <w:ind w:firstLine="500"/>
      </w:pPr>
      <w:bookmarkStart w:id="43" w:name="_Toc42240789"/>
      <w:r>
        <w:t>用气量按每年每人100Nm</w:t>
      </w:r>
      <w:r>
        <w:rPr>
          <w:vertAlign w:val="superscript"/>
        </w:rPr>
        <w:t>3</w:t>
      </w:r>
      <w:r>
        <w:t>，商业等其他用量按居民用气量30%考虑，不可预估量按10%考虑，规划区年用气量约429万Nm</w:t>
      </w:r>
      <w:r>
        <w:rPr>
          <w:vertAlign w:val="superscript"/>
        </w:rPr>
        <w:t>3</w:t>
      </w:r>
      <w:r>
        <w:t>。</w:t>
      </w:r>
    </w:p>
    <w:p w14:paraId="7772A997">
      <w:pPr>
        <w:pStyle w:val="4"/>
        <w:numPr>
          <w:ilvl w:val="2"/>
          <w:numId w:val="5"/>
        </w:numPr>
        <w:spacing w:before="332" w:after="166"/>
        <w:rPr>
          <w:rFonts w:ascii="Times New Roman" w:hAnsi="Times New Roman"/>
          <w:lang w:val="en-US"/>
        </w:rPr>
      </w:pPr>
      <w:r>
        <w:rPr>
          <w:rFonts w:ascii="Times New Roman" w:hAnsi="Times New Roman"/>
          <w:lang w:val="en-US"/>
        </w:rPr>
        <w:t>压力级制</w:t>
      </w:r>
      <w:bookmarkEnd w:id="43"/>
    </w:p>
    <w:p w14:paraId="0AD56340">
      <w:pPr>
        <w:spacing w:after="166"/>
        <w:ind w:firstLine="500"/>
      </w:pPr>
      <w:r>
        <w:t>根据供气规模和供气半径，并结合规划区的具体情况，确定城区的输配管网压力级制为中压A 一级。中压干管起点压力为0.4 Mpa，中压干管末端压力为0.2 Mpa。</w:t>
      </w:r>
    </w:p>
    <w:p w14:paraId="33CA6734">
      <w:pPr>
        <w:pStyle w:val="4"/>
        <w:numPr>
          <w:ilvl w:val="2"/>
          <w:numId w:val="5"/>
        </w:numPr>
        <w:spacing w:before="332" w:after="166"/>
        <w:rPr>
          <w:rFonts w:ascii="Times New Roman" w:hAnsi="Times New Roman"/>
          <w:lang w:val="en-US"/>
        </w:rPr>
      </w:pPr>
      <w:bookmarkStart w:id="44" w:name="_Toc42240790"/>
      <w:r>
        <w:rPr>
          <w:rFonts w:ascii="Times New Roman" w:hAnsi="Times New Roman"/>
          <w:lang w:val="en-US"/>
        </w:rPr>
        <w:t>气源规划</w:t>
      </w:r>
      <w:bookmarkEnd w:id="44"/>
    </w:p>
    <w:p w14:paraId="1D718ABE">
      <w:pPr>
        <w:spacing w:after="166"/>
        <w:ind w:firstLine="500"/>
      </w:pPr>
      <w:r>
        <w:t>规划区气源为CNG、LNG及长输管线气源。</w:t>
      </w:r>
    </w:p>
    <w:p w14:paraId="6569575F">
      <w:pPr>
        <w:pStyle w:val="4"/>
        <w:numPr>
          <w:ilvl w:val="2"/>
          <w:numId w:val="5"/>
        </w:numPr>
        <w:spacing w:before="332" w:after="166"/>
        <w:rPr>
          <w:rFonts w:ascii="Times New Roman" w:hAnsi="Times New Roman"/>
          <w:lang w:val="en-US"/>
        </w:rPr>
      </w:pPr>
      <w:bookmarkStart w:id="45" w:name="_Toc42240791"/>
      <w:r>
        <w:rPr>
          <w:rFonts w:ascii="Times New Roman" w:hAnsi="Times New Roman"/>
          <w:lang w:val="en-US"/>
        </w:rPr>
        <w:t>天然气管道规划</w:t>
      </w:r>
      <w:bookmarkEnd w:id="45"/>
    </w:p>
    <w:p w14:paraId="60DB4CBF">
      <w:pPr>
        <w:spacing w:after="166"/>
        <w:ind w:firstLine="500"/>
      </w:pPr>
      <w:bookmarkStart w:id="46" w:name="_Toc42240792"/>
      <w:r>
        <w:t>规划天然气管道在主要道路下尽量布置成环状，规划中压管管径为DN150~DN400mm。燃气户外管道采用耐腐蚀的PE管，户内管采用水煤气镀锌钢管。</w:t>
      </w:r>
    </w:p>
    <w:p w14:paraId="2FBCF1D2">
      <w:pPr>
        <w:pStyle w:val="4"/>
        <w:numPr>
          <w:ilvl w:val="2"/>
          <w:numId w:val="5"/>
        </w:numPr>
        <w:spacing w:before="332" w:after="166"/>
        <w:rPr>
          <w:rFonts w:ascii="Times New Roman" w:hAnsi="Times New Roman"/>
          <w:lang w:val="en-US"/>
        </w:rPr>
      </w:pPr>
      <w:r>
        <w:rPr>
          <w:rFonts w:ascii="Times New Roman" w:hAnsi="Times New Roman"/>
          <w:lang w:val="en-US"/>
        </w:rPr>
        <w:t>场站设施规划</w:t>
      </w:r>
      <w:bookmarkEnd w:id="46"/>
    </w:p>
    <w:p w14:paraId="44CB7927">
      <w:pPr>
        <w:spacing w:after="166"/>
        <w:ind w:firstLine="500"/>
      </w:pPr>
      <w:r>
        <w:t>规划保留现状CNG、LNG站</w:t>
      </w:r>
      <w:r>
        <w:rPr>
          <w:rFonts w:hint="eastAsia"/>
        </w:rPr>
        <w:t>。</w:t>
      </w:r>
    </w:p>
    <w:p w14:paraId="19F139FD">
      <w:pPr>
        <w:spacing w:after="166"/>
        <w:ind w:firstLine="500"/>
      </w:pPr>
      <w:r>
        <w:t>中—低压调压箱按每2500户民用户设一座中低压调压箱，服务半径600米。根据用户分布情况及用气要求的不同，设置区域或专用中—低压调压房或楼栋式调压箱，由城市中压燃气管道接管。中—低压调压房每处占地10m</w:t>
      </w:r>
      <w:r>
        <w:rPr>
          <w:vertAlign w:val="superscript"/>
        </w:rPr>
        <w:t>2</w:t>
      </w:r>
      <w:r>
        <w:t>，周边防护距离6m。民用及公建用户经调压计量后低压进户使用。</w:t>
      </w:r>
    </w:p>
    <w:p w14:paraId="36BA9C81">
      <w:pPr>
        <w:pStyle w:val="268"/>
      </w:pPr>
      <w:r>
        <w:drawing>
          <wp:inline distT="0" distB="0" distL="114300" distR="114300">
            <wp:extent cx="5273675" cy="4311015"/>
            <wp:effectExtent l="0" t="0" r="3175" b="13335"/>
            <wp:docPr id="3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7"/>
                    <pic:cNvPicPr>
                      <a:picLocks noChangeAspect="1"/>
                    </pic:cNvPicPr>
                  </pic:nvPicPr>
                  <pic:blipFill>
                    <a:blip r:embed="rId107"/>
                    <a:stretch>
                      <a:fillRect/>
                    </a:stretch>
                  </pic:blipFill>
                  <pic:spPr>
                    <a:xfrm>
                      <a:off x="0" y="0"/>
                      <a:ext cx="5273675" cy="4311015"/>
                    </a:xfrm>
                    <a:prstGeom prst="rect">
                      <a:avLst/>
                    </a:prstGeom>
                    <a:noFill/>
                    <a:ln>
                      <a:noFill/>
                    </a:ln>
                  </pic:spPr>
                </pic:pic>
              </a:graphicData>
            </a:graphic>
          </wp:inline>
        </w:drawing>
      </w:r>
    </w:p>
    <w:p w14:paraId="56D2B01A">
      <w:pPr>
        <w:pStyle w:val="268"/>
      </w:pPr>
      <w:r>
        <w:rPr>
          <w:rFonts w:hint="eastAsia"/>
        </w:rPr>
        <w:t>图11-6  燃气工程规划图</w:t>
      </w:r>
    </w:p>
    <w:p w14:paraId="64101E20">
      <w:pPr>
        <w:pStyle w:val="3"/>
        <w:numPr>
          <w:ilvl w:val="1"/>
          <w:numId w:val="5"/>
        </w:numPr>
        <w:spacing w:before="332" w:after="166"/>
        <w:rPr>
          <w:rFonts w:hint="eastAsia"/>
        </w:rPr>
      </w:pPr>
      <w:r>
        <w:rPr>
          <w:rFonts w:hint="eastAsia"/>
        </w:rPr>
        <w:t>供热工程规划</w:t>
      </w:r>
    </w:p>
    <w:p w14:paraId="5AA863A8">
      <w:pPr>
        <w:pStyle w:val="4"/>
        <w:numPr>
          <w:ilvl w:val="2"/>
          <w:numId w:val="5"/>
        </w:numPr>
        <w:spacing w:before="332" w:after="166"/>
        <w:rPr>
          <w:rFonts w:ascii="Times New Roman" w:hAnsi="Times New Roman"/>
          <w:lang w:val="en-US"/>
        </w:rPr>
      </w:pPr>
      <w:r>
        <w:rPr>
          <w:rFonts w:ascii="Times New Roman" w:hAnsi="Times New Roman"/>
          <w:lang w:val="en-US"/>
        </w:rPr>
        <w:t>供热现状</w:t>
      </w:r>
    </w:p>
    <w:p w14:paraId="34404D14">
      <w:pPr>
        <w:pStyle w:val="5"/>
        <w:numPr>
          <w:ilvl w:val="0"/>
          <w:numId w:val="38"/>
        </w:numPr>
      </w:pPr>
      <w:r>
        <w:t>供热设施</w:t>
      </w:r>
    </w:p>
    <w:p w14:paraId="6F898C83">
      <w:pPr>
        <w:spacing w:after="166"/>
        <w:ind w:firstLine="500"/>
      </w:pPr>
      <w:r>
        <w:t>城区供热由金源热力公司和中浩热力两家企业负责供热，城区西侧为金源热力公司服务范围、城东属于中浩热力服务范围。</w:t>
      </w:r>
    </w:p>
    <w:p w14:paraId="01052B7D">
      <w:pPr>
        <w:spacing w:after="166"/>
        <w:ind w:firstLine="500"/>
      </w:pPr>
      <w:r>
        <w:t>金源热力热源厂为燃煤锅炉房，锅炉房配备2台锅炉，一台20t/h，一台80t/h。热媒为热水，热水温度为110℃。现状建设有16座换热站。</w:t>
      </w:r>
    </w:p>
    <w:p w14:paraId="5C7EEE36">
      <w:pPr>
        <w:spacing w:after="166"/>
        <w:ind w:firstLine="500"/>
      </w:pPr>
      <w:r>
        <w:t>中浩热力热源厂集供锅炉房现有三台20吨热水锅炉，每台炉最大供热量20t/h，额定压力1.25Mpa，额定功率14兆瓦，水温≤90℃，炉膛温度≤950℃，出水流量220 m</w:t>
      </w:r>
      <w:r>
        <w:rPr>
          <w:vertAlign w:val="superscript"/>
        </w:rPr>
        <w:t>3</w:t>
      </w:r>
      <w:r>
        <w:t>/h~350 m</w:t>
      </w:r>
      <w:r>
        <w:rPr>
          <w:vertAlign w:val="superscript"/>
        </w:rPr>
        <w:t>3</w:t>
      </w:r>
      <w:r>
        <w:t>/h，燃煤消耗30~110t/d。</w:t>
      </w:r>
    </w:p>
    <w:p w14:paraId="0D6152E9">
      <w:pPr>
        <w:pStyle w:val="5"/>
        <w:numPr>
          <w:ilvl w:val="0"/>
          <w:numId w:val="38"/>
        </w:numPr>
      </w:pPr>
      <w:r>
        <w:t>供热管网</w:t>
      </w:r>
    </w:p>
    <w:p w14:paraId="28FBC0E8">
      <w:pPr>
        <w:spacing w:after="166"/>
        <w:ind w:firstLine="500"/>
        <w:rPr>
          <w:lang w:val="en-US"/>
        </w:rPr>
      </w:pPr>
      <w:r>
        <w:rPr>
          <w:lang w:val="en-US"/>
        </w:rPr>
        <w:t>金源热力主要沿民族路、丁道衡路、通阳路等道路敷设DN159~DN325的供回水管。中浩燃气沿地质道、广场东道等道路敷设有DN159~DN325的供回水管。</w:t>
      </w:r>
    </w:p>
    <w:p w14:paraId="4C256EA0">
      <w:pPr>
        <w:pStyle w:val="4"/>
        <w:numPr>
          <w:ilvl w:val="2"/>
          <w:numId w:val="5"/>
        </w:numPr>
        <w:spacing w:before="332" w:after="166"/>
        <w:rPr>
          <w:rFonts w:ascii="Times New Roman" w:hAnsi="Times New Roman"/>
          <w:lang w:val="en-US"/>
        </w:rPr>
      </w:pPr>
      <w:r>
        <w:rPr>
          <w:rFonts w:ascii="Times New Roman" w:hAnsi="Times New Roman"/>
          <w:lang w:val="en-US"/>
        </w:rPr>
        <w:t>规划</w:t>
      </w:r>
      <w:r>
        <w:rPr>
          <w:rFonts w:hint="eastAsia" w:ascii="Times New Roman" w:hAnsi="Times New Roman"/>
          <w:lang w:val="en-US"/>
        </w:rPr>
        <w:t>主要</w:t>
      </w:r>
      <w:r>
        <w:rPr>
          <w:rFonts w:ascii="Times New Roman" w:hAnsi="Times New Roman"/>
          <w:lang w:val="en-US"/>
        </w:rPr>
        <w:t>依据</w:t>
      </w:r>
      <w:r>
        <w:rPr>
          <w:rFonts w:hint="eastAsia" w:ascii="Times New Roman" w:hAnsi="Times New Roman"/>
          <w:lang w:val="en-US"/>
        </w:rPr>
        <w:t>规范</w:t>
      </w:r>
    </w:p>
    <w:p w14:paraId="473D19C7">
      <w:pPr>
        <w:spacing w:after="0" w:afterLines="0"/>
        <w:ind w:firstLine="500"/>
        <w:rPr>
          <w:lang w:val="en-US"/>
        </w:rPr>
      </w:pPr>
      <w:r>
        <w:rPr>
          <w:lang w:val="en-US"/>
        </w:rPr>
        <w:t>1.《城市供热规划规范》（GB/T 51074—2015）；</w:t>
      </w:r>
    </w:p>
    <w:p w14:paraId="47C550F9">
      <w:pPr>
        <w:spacing w:after="0" w:afterLines="0"/>
        <w:ind w:firstLine="500"/>
        <w:rPr>
          <w:lang w:val="en-US"/>
        </w:rPr>
      </w:pPr>
      <w:r>
        <w:rPr>
          <w:lang w:val="en-US"/>
        </w:rPr>
        <w:t>2.《城镇供热用换热机组》（GB/T 28185—2011）；</w:t>
      </w:r>
    </w:p>
    <w:p w14:paraId="10750459">
      <w:pPr>
        <w:spacing w:after="166"/>
        <w:ind w:firstLine="500"/>
        <w:rPr>
          <w:lang w:val="en-US"/>
        </w:rPr>
      </w:pPr>
      <w:r>
        <w:rPr>
          <w:lang w:val="en-US"/>
        </w:rPr>
        <w:t>3.《城镇供热管网设计标准》（CJJ/T 34—2022）。</w:t>
      </w:r>
    </w:p>
    <w:p w14:paraId="55045A61">
      <w:pPr>
        <w:pStyle w:val="4"/>
        <w:numPr>
          <w:ilvl w:val="2"/>
          <w:numId w:val="5"/>
        </w:numPr>
        <w:spacing w:before="332" w:after="166"/>
        <w:rPr>
          <w:rFonts w:ascii="Times New Roman" w:hAnsi="Times New Roman"/>
          <w:lang w:val="en-US"/>
        </w:rPr>
      </w:pPr>
      <w:r>
        <w:rPr>
          <w:rFonts w:ascii="Times New Roman" w:hAnsi="Times New Roman"/>
          <w:lang w:val="en-US"/>
        </w:rPr>
        <w:t>规划原则</w:t>
      </w:r>
    </w:p>
    <w:p w14:paraId="7C575432">
      <w:pPr>
        <w:spacing w:after="166"/>
        <w:ind w:firstLine="500"/>
        <w:rPr>
          <w:lang w:val="en-US"/>
        </w:rPr>
      </w:pPr>
      <w:r>
        <w:rPr>
          <w:lang w:val="en-US"/>
        </w:rPr>
        <w:t>根据城市发展需要合理配置热源、热网，统筹安排。坚持贯彻“远近结合，以近期为主，合理布局，统筹安排，分期实施”的原则。</w:t>
      </w:r>
    </w:p>
    <w:p w14:paraId="751BA4C7">
      <w:pPr>
        <w:spacing w:after="166"/>
        <w:ind w:firstLine="500"/>
        <w:rPr>
          <w:lang w:val="en-US"/>
        </w:rPr>
      </w:pPr>
      <w:r>
        <w:rPr>
          <w:lang w:val="en-US"/>
        </w:rPr>
        <w:t>结合现状热力管网的条件，充分利用现状管网，节省建设投资及运行费用。充分考虑区域发展的需要，对区内供热管网进行合理规划，形成科学合理的管网布局。</w:t>
      </w:r>
    </w:p>
    <w:p w14:paraId="19AF41FF">
      <w:pPr>
        <w:pStyle w:val="4"/>
        <w:numPr>
          <w:ilvl w:val="2"/>
          <w:numId w:val="5"/>
        </w:numPr>
        <w:spacing w:before="332" w:after="166"/>
        <w:rPr>
          <w:rFonts w:ascii="Times New Roman" w:hAnsi="Times New Roman"/>
          <w:lang w:val="en-US"/>
        </w:rPr>
      </w:pPr>
      <w:r>
        <w:rPr>
          <w:rFonts w:ascii="Times New Roman" w:hAnsi="Times New Roman"/>
          <w:lang w:val="en-US"/>
        </w:rPr>
        <w:t>供热负荷预测</w:t>
      </w:r>
    </w:p>
    <w:p w14:paraId="7A07B23B">
      <w:pPr>
        <w:spacing w:after="166"/>
        <w:ind w:firstLine="500"/>
      </w:pPr>
      <w:r>
        <w:t>采暖热负荷采用单位建筑面积耗热指标法预测，规划区热负荷约205.46MW。</w:t>
      </w:r>
    </w:p>
    <w:p w14:paraId="55DA9971">
      <w:pPr>
        <w:pStyle w:val="117"/>
      </w:pPr>
      <w:r>
        <w:rPr>
          <w:rFonts w:hint="eastAsia"/>
        </w:rPr>
        <w:t>表11-5  供热负荷测算一览表</w:t>
      </w:r>
    </w:p>
    <w:tbl>
      <w:tblPr>
        <w:tblStyle w:val="36"/>
        <w:tblW w:w="8222" w:type="dxa"/>
        <w:tblInd w:w="0" w:type="dxa"/>
        <w:tblLayout w:type="fixed"/>
        <w:tblCellMar>
          <w:top w:w="0" w:type="dxa"/>
          <w:left w:w="108" w:type="dxa"/>
          <w:bottom w:w="0" w:type="dxa"/>
          <w:right w:w="108" w:type="dxa"/>
        </w:tblCellMar>
      </w:tblPr>
      <w:tblGrid>
        <w:gridCol w:w="704"/>
        <w:gridCol w:w="1953"/>
        <w:gridCol w:w="1097"/>
        <w:gridCol w:w="865"/>
        <w:gridCol w:w="900"/>
        <w:gridCol w:w="1304"/>
        <w:gridCol w:w="1399"/>
      </w:tblGrid>
      <w:tr w14:paraId="410F20DA">
        <w:tblPrEx>
          <w:tblCellMar>
            <w:top w:w="0" w:type="dxa"/>
            <w:left w:w="108" w:type="dxa"/>
            <w:bottom w:w="0" w:type="dxa"/>
            <w:right w:w="108" w:type="dxa"/>
          </w:tblCellMar>
        </w:tblPrEx>
        <w:trPr>
          <w:trHeight w:val="600" w:hRule="atLeast"/>
        </w:trPr>
        <w:tc>
          <w:tcPr>
            <w:tcW w:w="704" w:type="dxa"/>
            <w:tcBorders>
              <w:top w:val="single" w:color="000000" w:sz="12" w:space="0"/>
              <w:left w:val="single" w:color="000000" w:sz="12" w:space="0"/>
              <w:bottom w:val="single" w:color="000000" w:sz="4" w:space="0"/>
              <w:right w:val="single" w:color="000000" w:sz="4" w:space="0"/>
              <w:tl2br w:val="nil"/>
            </w:tcBorders>
            <w:shd w:val="clear" w:color="auto" w:fill="FFFFFF"/>
            <w:vAlign w:val="center"/>
          </w:tcPr>
          <w:p w14:paraId="20359090">
            <w:pPr>
              <w:pStyle w:val="115"/>
              <w:jc w:val="center"/>
              <w:rPr>
                <w:b w:val="0"/>
                <w:color w:val="000000"/>
              </w:rPr>
            </w:pPr>
            <w:r>
              <w:rPr>
                <w:b w:val="0"/>
                <w:color w:val="000000"/>
              </w:rPr>
              <w:t>序号</w:t>
            </w:r>
          </w:p>
        </w:tc>
        <w:tc>
          <w:tcPr>
            <w:tcW w:w="1953" w:type="dxa"/>
            <w:tcBorders>
              <w:top w:val="single" w:color="000000" w:sz="12" w:space="0"/>
              <w:left w:val="single" w:color="000000" w:sz="4" w:space="0"/>
              <w:bottom w:val="single" w:color="000000" w:sz="4" w:space="0"/>
              <w:right w:val="single" w:color="000000" w:sz="4" w:space="0"/>
            </w:tcBorders>
            <w:shd w:val="clear" w:color="auto" w:fill="FFFFFF"/>
            <w:vAlign w:val="center"/>
          </w:tcPr>
          <w:p w14:paraId="4CD6BE3E">
            <w:pPr>
              <w:pStyle w:val="115"/>
              <w:jc w:val="center"/>
              <w:rPr>
                <w:b w:val="0"/>
                <w:color w:val="000000"/>
              </w:rPr>
            </w:pPr>
            <w:r>
              <w:rPr>
                <w:b w:val="0"/>
                <w:color w:val="000000"/>
              </w:rPr>
              <w:t>用地类别</w:t>
            </w:r>
          </w:p>
        </w:tc>
        <w:tc>
          <w:tcPr>
            <w:tcW w:w="1097" w:type="dxa"/>
            <w:tcBorders>
              <w:top w:val="single" w:color="000000" w:sz="12" w:space="0"/>
              <w:left w:val="single" w:color="000000" w:sz="4" w:space="0"/>
              <w:bottom w:val="single" w:color="000000" w:sz="4" w:space="0"/>
              <w:right w:val="single" w:color="000000" w:sz="4" w:space="0"/>
            </w:tcBorders>
            <w:shd w:val="clear" w:color="auto" w:fill="FFFFFF"/>
            <w:vAlign w:val="center"/>
          </w:tcPr>
          <w:p w14:paraId="7C6A36A2">
            <w:pPr>
              <w:pStyle w:val="115"/>
              <w:jc w:val="center"/>
              <w:rPr>
                <w:b w:val="0"/>
                <w:color w:val="000000"/>
              </w:rPr>
            </w:pPr>
            <w:r>
              <w:rPr>
                <w:b w:val="0"/>
                <w:color w:val="000000"/>
              </w:rPr>
              <w:t>用地面积(ha)</w:t>
            </w:r>
          </w:p>
        </w:tc>
        <w:tc>
          <w:tcPr>
            <w:tcW w:w="865" w:type="dxa"/>
            <w:tcBorders>
              <w:top w:val="single" w:color="000000" w:sz="12" w:space="0"/>
              <w:left w:val="single" w:color="000000" w:sz="4" w:space="0"/>
              <w:bottom w:val="single" w:color="000000" w:sz="4" w:space="0"/>
              <w:right w:val="single" w:color="000000" w:sz="4" w:space="0"/>
            </w:tcBorders>
            <w:shd w:val="clear" w:color="auto" w:fill="FFFFFF"/>
            <w:vAlign w:val="center"/>
          </w:tcPr>
          <w:p w14:paraId="38196278">
            <w:pPr>
              <w:pStyle w:val="115"/>
              <w:jc w:val="center"/>
              <w:rPr>
                <w:b w:val="0"/>
                <w:color w:val="000000"/>
              </w:rPr>
            </w:pPr>
            <w:r>
              <w:rPr>
                <w:b w:val="0"/>
                <w:color w:val="000000"/>
              </w:rPr>
              <w:t>容积率</w:t>
            </w:r>
          </w:p>
        </w:tc>
        <w:tc>
          <w:tcPr>
            <w:tcW w:w="900" w:type="dxa"/>
            <w:tcBorders>
              <w:top w:val="single" w:color="000000" w:sz="12" w:space="0"/>
              <w:left w:val="single" w:color="000000" w:sz="4" w:space="0"/>
              <w:bottom w:val="single" w:color="000000" w:sz="4" w:space="0"/>
              <w:right w:val="single" w:color="000000" w:sz="4" w:space="0"/>
            </w:tcBorders>
            <w:shd w:val="clear" w:color="auto" w:fill="FFFFFF"/>
            <w:vAlign w:val="center"/>
          </w:tcPr>
          <w:p w14:paraId="740FFD52">
            <w:pPr>
              <w:pStyle w:val="115"/>
              <w:jc w:val="center"/>
              <w:rPr>
                <w:b w:val="0"/>
                <w:color w:val="000000"/>
              </w:rPr>
            </w:pPr>
            <w:r>
              <w:rPr>
                <w:b w:val="0"/>
                <w:color w:val="000000"/>
              </w:rPr>
              <w:t>采暖率</w:t>
            </w:r>
          </w:p>
        </w:tc>
        <w:tc>
          <w:tcPr>
            <w:tcW w:w="1304" w:type="dxa"/>
            <w:tcBorders>
              <w:top w:val="single" w:color="000000" w:sz="12" w:space="0"/>
              <w:left w:val="single" w:color="000000" w:sz="4" w:space="0"/>
              <w:bottom w:val="single" w:color="000000" w:sz="4" w:space="0"/>
              <w:right w:val="single" w:color="000000" w:sz="4" w:space="0"/>
            </w:tcBorders>
            <w:shd w:val="clear" w:color="auto" w:fill="FFFFFF"/>
            <w:vAlign w:val="center"/>
          </w:tcPr>
          <w:p w14:paraId="0F80E1FF">
            <w:pPr>
              <w:pStyle w:val="115"/>
              <w:jc w:val="center"/>
              <w:rPr>
                <w:b w:val="0"/>
                <w:color w:val="000000"/>
              </w:rPr>
            </w:pPr>
            <w:r>
              <w:rPr>
                <w:b w:val="0"/>
                <w:color w:val="000000"/>
              </w:rPr>
              <w:t>采暖指标(W/m2)</w:t>
            </w:r>
          </w:p>
        </w:tc>
        <w:tc>
          <w:tcPr>
            <w:tcW w:w="1399" w:type="dxa"/>
            <w:tcBorders>
              <w:top w:val="single" w:color="000000" w:sz="12" w:space="0"/>
              <w:left w:val="single" w:color="000000" w:sz="4" w:space="0"/>
              <w:bottom w:val="single" w:color="000000" w:sz="4" w:space="0"/>
              <w:right w:val="single" w:color="000000" w:sz="12" w:space="0"/>
            </w:tcBorders>
            <w:shd w:val="clear" w:color="auto" w:fill="FFFFFF"/>
            <w:vAlign w:val="center"/>
          </w:tcPr>
          <w:p w14:paraId="30DF9D6F">
            <w:pPr>
              <w:pStyle w:val="115"/>
              <w:jc w:val="center"/>
              <w:rPr>
                <w:b w:val="0"/>
                <w:color w:val="000000"/>
              </w:rPr>
            </w:pPr>
            <w:r>
              <w:rPr>
                <w:b w:val="0"/>
                <w:color w:val="000000"/>
              </w:rPr>
              <w:t>热负荷（MW）</w:t>
            </w:r>
          </w:p>
        </w:tc>
      </w:tr>
      <w:tr w14:paraId="69253F87">
        <w:tblPrEx>
          <w:tblCellMar>
            <w:top w:w="0" w:type="dxa"/>
            <w:left w:w="108" w:type="dxa"/>
            <w:bottom w:w="0" w:type="dxa"/>
            <w:right w:w="108" w:type="dxa"/>
          </w:tblCellMar>
        </w:tblPrEx>
        <w:trPr>
          <w:trHeight w:val="300" w:hRule="atLeast"/>
        </w:trPr>
        <w:tc>
          <w:tcPr>
            <w:tcW w:w="7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757768DC">
            <w:pPr>
              <w:pStyle w:val="115"/>
              <w:jc w:val="center"/>
              <w:rPr>
                <w:b w:val="0"/>
                <w:color w:val="000000"/>
              </w:rPr>
            </w:pPr>
            <w:r>
              <w:rPr>
                <w:b w:val="0"/>
                <w:color w:val="000000"/>
              </w:rPr>
              <w:t>1</w:t>
            </w:r>
          </w:p>
        </w:tc>
        <w:tc>
          <w:tcPr>
            <w:tcW w:w="195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BA5AC8B">
            <w:pPr>
              <w:pStyle w:val="115"/>
              <w:jc w:val="center"/>
              <w:rPr>
                <w:b w:val="0"/>
                <w:color w:val="000000"/>
              </w:rPr>
            </w:pPr>
            <w:r>
              <w:rPr>
                <w:b w:val="0"/>
                <w:color w:val="000000"/>
              </w:rPr>
              <w:t>居住用地</w:t>
            </w:r>
          </w:p>
        </w:tc>
        <w:tc>
          <w:tcPr>
            <w:tcW w:w="10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1317512">
            <w:pPr>
              <w:pStyle w:val="115"/>
              <w:jc w:val="center"/>
              <w:rPr>
                <w:b w:val="0"/>
                <w:color w:val="000000"/>
              </w:rPr>
            </w:pPr>
            <w:r>
              <w:rPr>
                <w:b w:val="0"/>
                <w:color w:val="000000"/>
              </w:rPr>
              <w:t>144.79</w:t>
            </w:r>
          </w:p>
        </w:tc>
        <w:tc>
          <w:tcPr>
            <w:tcW w:w="86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C039ED">
            <w:pPr>
              <w:pStyle w:val="115"/>
              <w:jc w:val="center"/>
              <w:rPr>
                <w:b w:val="0"/>
                <w:color w:val="000000"/>
              </w:rPr>
            </w:pPr>
            <w:r>
              <w:rPr>
                <w:b w:val="0"/>
                <w:color w:val="000000"/>
              </w:rPr>
              <w:t>1.2</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374F489">
            <w:pPr>
              <w:pStyle w:val="115"/>
              <w:jc w:val="center"/>
              <w:rPr>
                <w:b w:val="0"/>
                <w:color w:val="000000"/>
              </w:rPr>
            </w:pPr>
            <w:r>
              <w:rPr>
                <w:b w:val="0"/>
                <w:color w:val="000000"/>
              </w:rPr>
              <w:t>0.8</w:t>
            </w:r>
          </w:p>
        </w:tc>
        <w:tc>
          <w:tcPr>
            <w:tcW w:w="130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0DB03A0">
            <w:pPr>
              <w:pStyle w:val="115"/>
              <w:jc w:val="center"/>
              <w:rPr>
                <w:b w:val="0"/>
                <w:color w:val="000000"/>
              </w:rPr>
            </w:pPr>
            <w:r>
              <w:rPr>
                <w:b w:val="0"/>
                <w:color w:val="000000"/>
              </w:rPr>
              <w:t>70</w:t>
            </w:r>
          </w:p>
        </w:tc>
        <w:tc>
          <w:tcPr>
            <w:tcW w:w="1399"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2CEDBBB4">
            <w:pPr>
              <w:pStyle w:val="115"/>
              <w:jc w:val="center"/>
              <w:rPr>
                <w:b w:val="0"/>
                <w:color w:val="000000"/>
              </w:rPr>
            </w:pPr>
            <w:r>
              <w:rPr>
                <w:b w:val="0"/>
                <w:color w:val="000000"/>
              </w:rPr>
              <w:t>97.30</w:t>
            </w:r>
          </w:p>
        </w:tc>
      </w:tr>
      <w:tr w14:paraId="36E413DF">
        <w:tblPrEx>
          <w:tblCellMar>
            <w:top w:w="0" w:type="dxa"/>
            <w:left w:w="108" w:type="dxa"/>
            <w:bottom w:w="0" w:type="dxa"/>
            <w:right w:w="108" w:type="dxa"/>
          </w:tblCellMar>
        </w:tblPrEx>
        <w:trPr>
          <w:trHeight w:val="258" w:hRule="atLeast"/>
        </w:trPr>
        <w:tc>
          <w:tcPr>
            <w:tcW w:w="7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1CE8E701">
            <w:pPr>
              <w:pStyle w:val="115"/>
              <w:jc w:val="center"/>
              <w:rPr>
                <w:b w:val="0"/>
                <w:color w:val="000000"/>
              </w:rPr>
            </w:pPr>
            <w:r>
              <w:rPr>
                <w:b w:val="0"/>
                <w:color w:val="000000"/>
              </w:rPr>
              <w:t>2</w:t>
            </w:r>
          </w:p>
        </w:tc>
        <w:tc>
          <w:tcPr>
            <w:tcW w:w="195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07A751F">
            <w:pPr>
              <w:pStyle w:val="115"/>
              <w:jc w:val="center"/>
              <w:rPr>
                <w:b w:val="0"/>
                <w:color w:val="000000"/>
              </w:rPr>
            </w:pPr>
            <w:r>
              <w:rPr>
                <w:b w:val="0"/>
                <w:color w:val="000000"/>
              </w:rPr>
              <w:t>公共管理与公共服务设施用地</w:t>
            </w:r>
          </w:p>
        </w:tc>
        <w:tc>
          <w:tcPr>
            <w:tcW w:w="10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E7536D">
            <w:pPr>
              <w:pStyle w:val="115"/>
              <w:jc w:val="center"/>
              <w:rPr>
                <w:b w:val="0"/>
                <w:color w:val="000000"/>
              </w:rPr>
            </w:pPr>
            <w:r>
              <w:rPr>
                <w:b w:val="0"/>
                <w:color w:val="000000"/>
              </w:rPr>
              <w:t>69.46</w:t>
            </w:r>
          </w:p>
        </w:tc>
        <w:tc>
          <w:tcPr>
            <w:tcW w:w="86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B03A409">
            <w:pPr>
              <w:pStyle w:val="115"/>
              <w:jc w:val="center"/>
              <w:rPr>
                <w:b w:val="0"/>
                <w:color w:val="000000"/>
              </w:rPr>
            </w:pPr>
            <w:r>
              <w:rPr>
                <w:b w:val="0"/>
                <w:color w:val="000000"/>
              </w:rPr>
              <w:t>1.2</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38148A1">
            <w:pPr>
              <w:pStyle w:val="115"/>
              <w:jc w:val="center"/>
              <w:rPr>
                <w:b w:val="0"/>
                <w:color w:val="000000"/>
              </w:rPr>
            </w:pPr>
            <w:r>
              <w:rPr>
                <w:b w:val="0"/>
                <w:color w:val="000000"/>
              </w:rPr>
              <w:t>0.8</w:t>
            </w:r>
          </w:p>
        </w:tc>
        <w:tc>
          <w:tcPr>
            <w:tcW w:w="130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95D0F25">
            <w:pPr>
              <w:pStyle w:val="115"/>
              <w:jc w:val="center"/>
              <w:rPr>
                <w:b w:val="0"/>
                <w:color w:val="000000"/>
              </w:rPr>
            </w:pPr>
            <w:r>
              <w:rPr>
                <w:b w:val="0"/>
                <w:color w:val="000000"/>
              </w:rPr>
              <w:t>70</w:t>
            </w:r>
          </w:p>
        </w:tc>
        <w:tc>
          <w:tcPr>
            <w:tcW w:w="1399"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6B69B71F">
            <w:pPr>
              <w:pStyle w:val="115"/>
              <w:jc w:val="center"/>
              <w:rPr>
                <w:b w:val="0"/>
                <w:color w:val="000000"/>
              </w:rPr>
            </w:pPr>
            <w:r>
              <w:rPr>
                <w:b w:val="0"/>
                <w:color w:val="000000"/>
              </w:rPr>
              <w:t>46.68</w:t>
            </w:r>
          </w:p>
        </w:tc>
      </w:tr>
      <w:tr w14:paraId="083575BD">
        <w:tblPrEx>
          <w:tblCellMar>
            <w:top w:w="0" w:type="dxa"/>
            <w:left w:w="108" w:type="dxa"/>
            <w:bottom w:w="0" w:type="dxa"/>
            <w:right w:w="108" w:type="dxa"/>
          </w:tblCellMar>
        </w:tblPrEx>
        <w:trPr>
          <w:trHeight w:val="90" w:hRule="atLeast"/>
        </w:trPr>
        <w:tc>
          <w:tcPr>
            <w:tcW w:w="7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37CA1030">
            <w:pPr>
              <w:pStyle w:val="115"/>
              <w:jc w:val="center"/>
              <w:rPr>
                <w:b w:val="0"/>
                <w:color w:val="000000"/>
              </w:rPr>
            </w:pPr>
            <w:r>
              <w:rPr>
                <w:b w:val="0"/>
                <w:color w:val="000000"/>
              </w:rPr>
              <w:t>3</w:t>
            </w:r>
          </w:p>
        </w:tc>
        <w:tc>
          <w:tcPr>
            <w:tcW w:w="195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9F22BCF">
            <w:pPr>
              <w:pStyle w:val="115"/>
              <w:jc w:val="center"/>
              <w:rPr>
                <w:b w:val="0"/>
                <w:color w:val="000000"/>
              </w:rPr>
            </w:pPr>
            <w:r>
              <w:rPr>
                <w:b w:val="0"/>
                <w:color w:val="000000"/>
              </w:rPr>
              <w:t>商业服务业设施用地</w:t>
            </w:r>
          </w:p>
        </w:tc>
        <w:tc>
          <w:tcPr>
            <w:tcW w:w="10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A462357">
            <w:pPr>
              <w:pStyle w:val="115"/>
              <w:jc w:val="center"/>
              <w:rPr>
                <w:b w:val="0"/>
                <w:color w:val="000000"/>
              </w:rPr>
            </w:pPr>
            <w:r>
              <w:rPr>
                <w:b w:val="0"/>
                <w:color w:val="000000"/>
              </w:rPr>
              <w:t>57.7</w:t>
            </w:r>
          </w:p>
        </w:tc>
        <w:tc>
          <w:tcPr>
            <w:tcW w:w="86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70793CA">
            <w:pPr>
              <w:pStyle w:val="115"/>
              <w:jc w:val="center"/>
              <w:rPr>
                <w:b w:val="0"/>
                <w:color w:val="000000"/>
              </w:rPr>
            </w:pPr>
            <w:r>
              <w:rPr>
                <w:b w:val="0"/>
                <w:color w:val="000000"/>
              </w:rPr>
              <w:t>1.2</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26A1C89">
            <w:pPr>
              <w:pStyle w:val="115"/>
              <w:jc w:val="center"/>
              <w:rPr>
                <w:b w:val="0"/>
                <w:color w:val="000000"/>
              </w:rPr>
            </w:pPr>
            <w:r>
              <w:rPr>
                <w:b w:val="0"/>
                <w:color w:val="000000"/>
              </w:rPr>
              <w:t>0.8</w:t>
            </w:r>
          </w:p>
        </w:tc>
        <w:tc>
          <w:tcPr>
            <w:tcW w:w="130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F945803">
            <w:pPr>
              <w:pStyle w:val="115"/>
              <w:jc w:val="center"/>
              <w:rPr>
                <w:b w:val="0"/>
                <w:color w:val="000000"/>
              </w:rPr>
            </w:pPr>
            <w:r>
              <w:rPr>
                <w:b w:val="0"/>
                <w:color w:val="000000"/>
              </w:rPr>
              <w:t>70</w:t>
            </w:r>
          </w:p>
        </w:tc>
        <w:tc>
          <w:tcPr>
            <w:tcW w:w="1399"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4D8F231F">
            <w:pPr>
              <w:pStyle w:val="115"/>
              <w:jc w:val="center"/>
              <w:rPr>
                <w:b w:val="0"/>
                <w:color w:val="000000"/>
              </w:rPr>
            </w:pPr>
            <w:r>
              <w:rPr>
                <w:b w:val="0"/>
                <w:color w:val="000000"/>
              </w:rPr>
              <w:t>38.77</w:t>
            </w:r>
          </w:p>
        </w:tc>
      </w:tr>
      <w:tr w14:paraId="4C25F870">
        <w:tblPrEx>
          <w:tblCellMar>
            <w:top w:w="0" w:type="dxa"/>
            <w:left w:w="108" w:type="dxa"/>
            <w:bottom w:w="0" w:type="dxa"/>
            <w:right w:w="108" w:type="dxa"/>
          </w:tblCellMar>
        </w:tblPrEx>
        <w:trPr>
          <w:trHeight w:val="300" w:hRule="atLeast"/>
        </w:trPr>
        <w:tc>
          <w:tcPr>
            <w:tcW w:w="7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75C474D1">
            <w:pPr>
              <w:pStyle w:val="115"/>
              <w:jc w:val="center"/>
              <w:rPr>
                <w:b w:val="0"/>
                <w:color w:val="000000"/>
              </w:rPr>
            </w:pPr>
            <w:r>
              <w:rPr>
                <w:b w:val="0"/>
                <w:color w:val="000000"/>
              </w:rPr>
              <w:t>4</w:t>
            </w:r>
          </w:p>
        </w:tc>
        <w:tc>
          <w:tcPr>
            <w:tcW w:w="195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EF7EB25">
            <w:pPr>
              <w:pStyle w:val="115"/>
              <w:jc w:val="center"/>
              <w:rPr>
                <w:b w:val="0"/>
                <w:color w:val="000000"/>
              </w:rPr>
            </w:pPr>
            <w:r>
              <w:rPr>
                <w:b w:val="0"/>
                <w:color w:val="000000"/>
              </w:rPr>
              <w:t>工业用地</w:t>
            </w:r>
          </w:p>
        </w:tc>
        <w:tc>
          <w:tcPr>
            <w:tcW w:w="10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6AD8FD4">
            <w:pPr>
              <w:pStyle w:val="115"/>
              <w:jc w:val="center"/>
              <w:rPr>
                <w:b w:val="0"/>
                <w:color w:val="000000"/>
              </w:rPr>
            </w:pPr>
            <w:r>
              <w:rPr>
                <w:b w:val="0"/>
                <w:color w:val="000000"/>
              </w:rPr>
              <w:t>16.76</w:t>
            </w:r>
          </w:p>
        </w:tc>
        <w:tc>
          <w:tcPr>
            <w:tcW w:w="86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FDAA6E9">
            <w:pPr>
              <w:pStyle w:val="115"/>
              <w:jc w:val="center"/>
              <w:rPr>
                <w:b w:val="0"/>
                <w:color w:val="000000"/>
              </w:rPr>
            </w:pPr>
            <w:r>
              <w:rPr>
                <w:b w:val="0"/>
                <w:color w:val="000000"/>
              </w:rPr>
              <w:t>0.6</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59F4B3D">
            <w:pPr>
              <w:pStyle w:val="115"/>
              <w:jc w:val="center"/>
              <w:rPr>
                <w:b w:val="0"/>
                <w:color w:val="000000"/>
              </w:rPr>
            </w:pPr>
            <w:r>
              <w:rPr>
                <w:b w:val="0"/>
                <w:color w:val="000000"/>
              </w:rPr>
              <w:t>0.5</w:t>
            </w:r>
          </w:p>
        </w:tc>
        <w:tc>
          <w:tcPr>
            <w:tcW w:w="130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A7D5E63">
            <w:pPr>
              <w:pStyle w:val="115"/>
              <w:jc w:val="center"/>
              <w:rPr>
                <w:b w:val="0"/>
                <w:color w:val="000000"/>
              </w:rPr>
            </w:pPr>
            <w:r>
              <w:rPr>
                <w:b w:val="0"/>
                <w:color w:val="000000"/>
              </w:rPr>
              <w:t>60</w:t>
            </w:r>
          </w:p>
        </w:tc>
        <w:tc>
          <w:tcPr>
            <w:tcW w:w="1399"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4580249C">
            <w:pPr>
              <w:pStyle w:val="115"/>
              <w:jc w:val="center"/>
              <w:rPr>
                <w:b w:val="0"/>
                <w:color w:val="000000"/>
              </w:rPr>
            </w:pPr>
            <w:r>
              <w:rPr>
                <w:b w:val="0"/>
                <w:color w:val="000000"/>
              </w:rPr>
              <w:t>3.02</w:t>
            </w:r>
          </w:p>
        </w:tc>
      </w:tr>
      <w:tr w14:paraId="0D5CAE0D">
        <w:tblPrEx>
          <w:tblCellMar>
            <w:top w:w="0" w:type="dxa"/>
            <w:left w:w="108" w:type="dxa"/>
            <w:bottom w:w="0" w:type="dxa"/>
            <w:right w:w="108" w:type="dxa"/>
          </w:tblCellMar>
        </w:tblPrEx>
        <w:trPr>
          <w:trHeight w:val="300" w:hRule="atLeast"/>
        </w:trPr>
        <w:tc>
          <w:tcPr>
            <w:tcW w:w="7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793BD060">
            <w:pPr>
              <w:pStyle w:val="115"/>
              <w:jc w:val="center"/>
              <w:rPr>
                <w:b w:val="0"/>
                <w:color w:val="000000"/>
              </w:rPr>
            </w:pPr>
            <w:r>
              <w:rPr>
                <w:b w:val="0"/>
                <w:color w:val="000000"/>
              </w:rPr>
              <w:t>5</w:t>
            </w:r>
          </w:p>
        </w:tc>
        <w:tc>
          <w:tcPr>
            <w:tcW w:w="195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68C02DA">
            <w:pPr>
              <w:pStyle w:val="115"/>
              <w:jc w:val="center"/>
              <w:rPr>
                <w:b w:val="0"/>
                <w:color w:val="000000"/>
              </w:rPr>
            </w:pPr>
            <w:r>
              <w:rPr>
                <w:b w:val="0"/>
                <w:color w:val="000000"/>
              </w:rPr>
              <w:t>仓储用地</w:t>
            </w:r>
          </w:p>
        </w:tc>
        <w:tc>
          <w:tcPr>
            <w:tcW w:w="10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317AB98">
            <w:pPr>
              <w:pStyle w:val="115"/>
              <w:jc w:val="center"/>
              <w:rPr>
                <w:b w:val="0"/>
                <w:color w:val="000000"/>
              </w:rPr>
            </w:pPr>
            <w:r>
              <w:rPr>
                <w:b w:val="0"/>
                <w:color w:val="000000"/>
              </w:rPr>
              <w:t>26.87</w:t>
            </w:r>
          </w:p>
        </w:tc>
        <w:tc>
          <w:tcPr>
            <w:tcW w:w="86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59BBDEF">
            <w:pPr>
              <w:pStyle w:val="115"/>
              <w:jc w:val="center"/>
              <w:rPr>
                <w:b w:val="0"/>
                <w:color w:val="000000"/>
              </w:rPr>
            </w:pPr>
            <w:r>
              <w:rPr>
                <w:b w:val="0"/>
                <w:color w:val="000000"/>
              </w:rPr>
              <w:t>1</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29FAE4A">
            <w:pPr>
              <w:pStyle w:val="115"/>
              <w:jc w:val="center"/>
              <w:rPr>
                <w:b w:val="0"/>
                <w:color w:val="000000"/>
              </w:rPr>
            </w:pPr>
            <w:r>
              <w:rPr>
                <w:b w:val="0"/>
                <w:color w:val="000000"/>
              </w:rPr>
              <w:t>0.8</w:t>
            </w:r>
          </w:p>
        </w:tc>
        <w:tc>
          <w:tcPr>
            <w:tcW w:w="130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90A9B14">
            <w:pPr>
              <w:pStyle w:val="115"/>
              <w:jc w:val="center"/>
              <w:rPr>
                <w:b w:val="0"/>
                <w:color w:val="000000"/>
              </w:rPr>
            </w:pPr>
            <w:r>
              <w:rPr>
                <w:b w:val="0"/>
                <w:color w:val="000000"/>
              </w:rPr>
              <w:t>60</w:t>
            </w:r>
          </w:p>
        </w:tc>
        <w:tc>
          <w:tcPr>
            <w:tcW w:w="1399"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5FA05657">
            <w:pPr>
              <w:pStyle w:val="115"/>
              <w:jc w:val="center"/>
              <w:rPr>
                <w:b w:val="0"/>
                <w:color w:val="000000"/>
              </w:rPr>
            </w:pPr>
            <w:r>
              <w:rPr>
                <w:b w:val="0"/>
                <w:color w:val="000000"/>
              </w:rPr>
              <w:t>12.90</w:t>
            </w:r>
          </w:p>
        </w:tc>
      </w:tr>
      <w:tr w14:paraId="4C03E8F7">
        <w:tblPrEx>
          <w:tblCellMar>
            <w:top w:w="0" w:type="dxa"/>
            <w:left w:w="108" w:type="dxa"/>
            <w:bottom w:w="0" w:type="dxa"/>
            <w:right w:w="108" w:type="dxa"/>
          </w:tblCellMar>
        </w:tblPrEx>
        <w:trPr>
          <w:trHeight w:val="90" w:hRule="atLeast"/>
        </w:trPr>
        <w:tc>
          <w:tcPr>
            <w:tcW w:w="704"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3F0137C0">
            <w:pPr>
              <w:pStyle w:val="115"/>
              <w:jc w:val="center"/>
              <w:rPr>
                <w:b w:val="0"/>
                <w:color w:val="000000"/>
              </w:rPr>
            </w:pPr>
            <w:r>
              <w:rPr>
                <w:b w:val="0"/>
                <w:color w:val="000000"/>
              </w:rPr>
              <w:t>6</w:t>
            </w:r>
          </w:p>
        </w:tc>
        <w:tc>
          <w:tcPr>
            <w:tcW w:w="195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A58A56B">
            <w:pPr>
              <w:pStyle w:val="115"/>
              <w:jc w:val="center"/>
              <w:rPr>
                <w:b w:val="0"/>
                <w:color w:val="000000"/>
              </w:rPr>
            </w:pPr>
            <w:r>
              <w:rPr>
                <w:b w:val="0"/>
                <w:color w:val="000000"/>
              </w:rPr>
              <w:t>公用设施用地</w:t>
            </w:r>
          </w:p>
        </w:tc>
        <w:tc>
          <w:tcPr>
            <w:tcW w:w="109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16B57BB">
            <w:pPr>
              <w:pStyle w:val="115"/>
              <w:jc w:val="center"/>
              <w:rPr>
                <w:b w:val="0"/>
                <w:color w:val="000000"/>
              </w:rPr>
            </w:pPr>
            <w:r>
              <w:rPr>
                <w:b w:val="0"/>
                <w:color w:val="000000"/>
              </w:rPr>
              <w:t>20.22</w:t>
            </w:r>
          </w:p>
        </w:tc>
        <w:tc>
          <w:tcPr>
            <w:tcW w:w="86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93FE917">
            <w:pPr>
              <w:pStyle w:val="115"/>
              <w:jc w:val="center"/>
              <w:rPr>
                <w:b w:val="0"/>
                <w:color w:val="000000"/>
              </w:rPr>
            </w:pPr>
            <w:r>
              <w:rPr>
                <w:b w:val="0"/>
                <w:color w:val="000000"/>
              </w:rPr>
              <w:t>0.6</w:t>
            </w:r>
          </w:p>
        </w:tc>
        <w:tc>
          <w:tcPr>
            <w:tcW w:w="9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32CE8D9">
            <w:pPr>
              <w:pStyle w:val="115"/>
              <w:jc w:val="center"/>
              <w:rPr>
                <w:b w:val="0"/>
                <w:color w:val="000000"/>
              </w:rPr>
            </w:pPr>
            <w:r>
              <w:rPr>
                <w:b w:val="0"/>
                <w:color w:val="000000"/>
              </w:rPr>
              <w:t>0.8</w:t>
            </w:r>
          </w:p>
        </w:tc>
        <w:tc>
          <w:tcPr>
            <w:tcW w:w="130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FE13C9D">
            <w:pPr>
              <w:pStyle w:val="115"/>
              <w:jc w:val="center"/>
              <w:rPr>
                <w:b w:val="0"/>
                <w:color w:val="000000"/>
              </w:rPr>
            </w:pPr>
            <w:r>
              <w:rPr>
                <w:b w:val="0"/>
                <w:color w:val="000000"/>
              </w:rPr>
              <w:t>70</w:t>
            </w:r>
          </w:p>
        </w:tc>
        <w:tc>
          <w:tcPr>
            <w:tcW w:w="1399"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0D3D0BA1">
            <w:pPr>
              <w:pStyle w:val="115"/>
              <w:jc w:val="center"/>
              <w:rPr>
                <w:b w:val="0"/>
                <w:color w:val="000000"/>
              </w:rPr>
            </w:pPr>
            <w:r>
              <w:rPr>
                <w:b w:val="0"/>
                <w:color w:val="000000"/>
              </w:rPr>
              <w:t>6.79</w:t>
            </w:r>
          </w:p>
        </w:tc>
      </w:tr>
      <w:tr w14:paraId="4A550963">
        <w:tblPrEx>
          <w:tblCellMar>
            <w:top w:w="0" w:type="dxa"/>
            <w:left w:w="108" w:type="dxa"/>
            <w:bottom w:w="0" w:type="dxa"/>
            <w:right w:w="108" w:type="dxa"/>
          </w:tblCellMar>
        </w:tblPrEx>
        <w:trPr>
          <w:trHeight w:val="285" w:hRule="atLeast"/>
        </w:trPr>
        <w:tc>
          <w:tcPr>
            <w:tcW w:w="704" w:type="dxa"/>
            <w:tcBorders>
              <w:top w:val="single" w:color="000000" w:sz="4" w:space="0"/>
              <w:left w:val="single" w:color="000000" w:sz="12" w:space="0"/>
              <w:bottom w:val="single" w:color="000000" w:sz="12" w:space="0"/>
              <w:right w:val="single" w:color="000000" w:sz="4" w:space="0"/>
            </w:tcBorders>
            <w:shd w:val="clear" w:color="auto" w:fill="FFFFFF"/>
            <w:noWrap/>
            <w:vAlign w:val="center"/>
          </w:tcPr>
          <w:p w14:paraId="118B76C7">
            <w:pPr>
              <w:pStyle w:val="115"/>
              <w:jc w:val="center"/>
              <w:rPr>
                <w:b w:val="0"/>
                <w:color w:val="000000"/>
              </w:rPr>
            </w:pPr>
            <w:r>
              <w:rPr>
                <w:b w:val="0"/>
                <w:color w:val="000000"/>
              </w:rPr>
              <w:t>合计</w:t>
            </w:r>
          </w:p>
        </w:tc>
        <w:tc>
          <w:tcPr>
            <w:tcW w:w="1953" w:type="dxa"/>
            <w:tcBorders>
              <w:top w:val="single" w:color="000000" w:sz="4" w:space="0"/>
              <w:left w:val="single" w:color="000000" w:sz="4" w:space="0"/>
              <w:bottom w:val="single" w:color="000000" w:sz="12" w:space="0"/>
              <w:right w:val="single" w:color="000000" w:sz="4" w:space="0"/>
            </w:tcBorders>
            <w:shd w:val="clear" w:color="auto" w:fill="FFFFFF"/>
            <w:noWrap/>
            <w:vAlign w:val="center"/>
          </w:tcPr>
          <w:p w14:paraId="4EDA7F2C">
            <w:pPr>
              <w:pStyle w:val="115"/>
              <w:jc w:val="center"/>
              <w:rPr>
                <w:b w:val="0"/>
                <w:color w:val="000000"/>
              </w:rPr>
            </w:pPr>
          </w:p>
        </w:tc>
        <w:tc>
          <w:tcPr>
            <w:tcW w:w="1097" w:type="dxa"/>
            <w:tcBorders>
              <w:top w:val="single" w:color="000000" w:sz="4" w:space="0"/>
              <w:left w:val="single" w:color="000000" w:sz="4" w:space="0"/>
              <w:bottom w:val="single" w:color="000000" w:sz="12" w:space="0"/>
              <w:right w:val="single" w:color="000000" w:sz="4" w:space="0"/>
            </w:tcBorders>
            <w:shd w:val="clear" w:color="auto" w:fill="FFFFFF"/>
            <w:noWrap/>
            <w:vAlign w:val="center"/>
          </w:tcPr>
          <w:p w14:paraId="3DD84C20">
            <w:pPr>
              <w:pStyle w:val="115"/>
              <w:jc w:val="center"/>
              <w:rPr>
                <w:b w:val="0"/>
                <w:color w:val="000000"/>
              </w:rPr>
            </w:pPr>
          </w:p>
        </w:tc>
        <w:tc>
          <w:tcPr>
            <w:tcW w:w="865" w:type="dxa"/>
            <w:tcBorders>
              <w:top w:val="single" w:color="000000" w:sz="4" w:space="0"/>
              <w:left w:val="single" w:color="000000" w:sz="4" w:space="0"/>
              <w:bottom w:val="single" w:color="000000" w:sz="12" w:space="0"/>
              <w:right w:val="single" w:color="000000" w:sz="4" w:space="0"/>
            </w:tcBorders>
            <w:shd w:val="clear" w:color="auto" w:fill="FFFFFF"/>
            <w:noWrap/>
            <w:vAlign w:val="center"/>
          </w:tcPr>
          <w:p w14:paraId="0DD89639">
            <w:pPr>
              <w:pStyle w:val="115"/>
              <w:jc w:val="center"/>
              <w:rPr>
                <w:b w:val="0"/>
                <w:color w:val="000000"/>
              </w:rPr>
            </w:pPr>
          </w:p>
        </w:tc>
        <w:tc>
          <w:tcPr>
            <w:tcW w:w="900" w:type="dxa"/>
            <w:tcBorders>
              <w:top w:val="single" w:color="000000" w:sz="4" w:space="0"/>
              <w:left w:val="single" w:color="000000" w:sz="4" w:space="0"/>
              <w:bottom w:val="single" w:color="000000" w:sz="12" w:space="0"/>
              <w:right w:val="single" w:color="000000" w:sz="4" w:space="0"/>
            </w:tcBorders>
            <w:shd w:val="clear" w:color="auto" w:fill="FFFFFF"/>
            <w:noWrap/>
            <w:vAlign w:val="center"/>
          </w:tcPr>
          <w:p w14:paraId="724CE1FD">
            <w:pPr>
              <w:pStyle w:val="115"/>
              <w:jc w:val="center"/>
              <w:rPr>
                <w:b w:val="0"/>
                <w:color w:val="000000"/>
              </w:rPr>
            </w:pPr>
          </w:p>
        </w:tc>
        <w:tc>
          <w:tcPr>
            <w:tcW w:w="1304" w:type="dxa"/>
            <w:tcBorders>
              <w:top w:val="single" w:color="000000" w:sz="4" w:space="0"/>
              <w:left w:val="single" w:color="000000" w:sz="4" w:space="0"/>
              <w:bottom w:val="single" w:color="000000" w:sz="12" w:space="0"/>
              <w:right w:val="single" w:color="000000" w:sz="4" w:space="0"/>
            </w:tcBorders>
            <w:shd w:val="clear" w:color="auto" w:fill="FFFFFF"/>
            <w:noWrap/>
            <w:vAlign w:val="center"/>
          </w:tcPr>
          <w:p w14:paraId="6EAE9B94">
            <w:pPr>
              <w:pStyle w:val="115"/>
              <w:jc w:val="center"/>
              <w:rPr>
                <w:b w:val="0"/>
                <w:color w:val="000000"/>
              </w:rPr>
            </w:pPr>
          </w:p>
        </w:tc>
        <w:tc>
          <w:tcPr>
            <w:tcW w:w="1399" w:type="dxa"/>
            <w:tcBorders>
              <w:top w:val="single" w:color="000000" w:sz="4" w:space="0"/>
              <w:left w:val="single" w:color="000000" w:sz="4" w:space="0"/>
              <w:bottom w:val="single" w:color="000000" w:sz="12" w:space="0"/>
              <w:right w:val="single" w:color="000000" w:sz="12" w:space="0"/>
            </w:tcBorders>
            <w:shd w:val="clear" w:color="auto" w:fill="FFFFFF"/>
            <w:noWrap/>
            <w:vAlign w:val="center"/>
          </w:tcPr>
          <w:p w14:paraId="1410C1B2">
            <w:pPr>
              <w:pStyle w:val="115"/>
              <w:jc w:val="center"/>
              <w:rPr>
                <w:b w:val="0"/>
                <w:color w:val="000000"/>
              </w:rPr>
            </w:pPr>
            <w:r>
              <w:rPr>
                <w:b w:val="0"/>
                <w:color w:val="000000"/>
              </w:rPr>
              <w:t>205.46</w:t>
            </w:r>
          </w:p>
        </w:tc>
      </w:tr>
    </w:tbl>
    <w:p w14:paraId="3F14408A">
      <w:pPr>
        <w:pStyle w:val="4"/>
        <w:numPr>
          <w:ilvl w:val="2"/>
          <w:numId w:val="5"/>
        </w:numPr>
        <w:spacing w:before="332" w:after="166"/>
        <w:rPr>
          <w:rFonts w:ascii="Times New Roman" w:hAnsi="Times New Roman"/>
          <w:lang w:val="en-US"/>
        </w:rPr>
      </w:pPr>
      <w:r>
        <w:rPr>
          <w:rFonts w:ascii="Times New Roman" w:hAnsi="Times New Roman"/>
          <w:lang w:val="en-US"/>
        </w:rPr>
        <w:t>供热设施</w:t>
      </w:r>
    </w:p>
    <w:p w14:paraId="5301EAF6">
      <w:pPr>
        <w:spacing w:after="166"/>
        <w:ind w:firstLine="500"/>
      </w:pPr>
      <w:r>
        <w:t>规划保留现状2座热源厂，分别为金源热力热源厂、中浩热力热源厂，供热能力维持现状。未来规划区由金源热力、中浩热力及北通元新能力源联合供热。结合地块开发及现状热交换站的分布，规划</w:t>
      </w:r>
      <w:r>
        <w:rPr>
          <w:rFonts w:hint="eastAsia"/>
        </w:rPr>
        <w:t>建设</w:t>
      </w:r>
      <w:r>
        <w:t>热交换站</w:t>
      </w:r>
      <w:r>
        <w:rPr>
          <w:rFonts w:hint="eastAsia"/>
        </w:rPr>
        <w:t>共</w:t>
      </w:r>
      <w:r>
        <w:t>27</w:t>
      </w:r>
      <w:r>
        <w:rPr>
          <w:rFonts w:hint="eastAsia"/>
        </w:rPr>
        <w:t>座</w:t>
      </w:r>
      <w:r>
        <w:t>。</w:t>
      </w:r>
    </w:p>
    <w:p w14:paraId="6CF7E854">
      <w:pPr>
        <w:pStyle w:val="4"/>
        <w:numPr>
          <w:ilvl w:val="2"/>
          <w:numId w:val="5"/>
        </w:numPr>
        <w:spacing w:before="332" w:after="166"/>
        <w:rPr>
          <w:rFonts w:ascii="Times New Roman" w:hAnsi="Times New Roman"/>
          <w:lang w:val="en-US"/>
        </w:rPr>
      </w:pPr>
      <w:r>
        <w:rPr>
          <w:rFonts w:ascii="Times New Roman" w:hAnsi="Times New Roman"/>
          <w:lang w:val="en-US"/>
        </w:rPr>
        <w:t>供热管道</w:t>
      </w:r>
    </w:p>
    <w:p w14:paraId="4A066AD0">
      <w:pPr>
        <w:spacing w:after="166"/>
        <w:ind w:firstLine="500"/>
      </w:pPr>
      <w:r>
        <w:t>规划保留现状一次供热管道，规划沿稀土大街新建2xDN400~2xDN500的一次供热管道，将北通元新能源系统接入现状金源热力、中浩热力供热系统。结合地块开发及热交换站的布置，沿部分道路新建供热管道。</w:t>
      </w:r>
    </w:p>
    <w:p w14:paraId="2BE116D1">
      <w:pPr>
        <w:pStyle w:val="13"/>
        <w:spacing w:after="0" w:afterLines="0"/>
        <w:ind w:firstLine="0" w:firstLineChars="0"/>
        <w:rPr>
          <w:rFonts w:hint="eastAsia"/>
        </w:rPr>
      </w:pPr>
      <w:r>
        <w:drawing>
          <wp:inline distT="0" distB="0" distL="114300" distR="114300">
            <wp:extent cx="5273675" cy="4311015"/>
            <wp:effectExtent l="0" t="0" r="3175" b="13335"/>
            <wp:docPr id="3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8"/>
                    <pic:cNvPicPr>
                      <a:picLocks noChangeAspect="1"/>
                    </pic:cNvPicPr>
                  </pic:nvPicPr>
                  <pic:blipFill>
                    <a:blip r:embed="rId108"/>
                    <a:stretch>
                      <a:fillRect/>
                    </a:stretch>
                  </pic:blipFill>
                  <pic:spPr>
                    <a:xfrm>
                      <a:off x="0" y="0"/>
                      <a:ext cx="5273675" cy="4311015"/>
                    </a:xfrm>
                    <a:prstGeom prst="rect">
                      <a:avLst/>
                    </a:prstGeom>
                    <a:noFill/>
                    <a:ln>
                      <a:noFill/>
                    </a:ln>
                  </pic:spPr>
                </pic:pic>
              </a:graphicData>
            </a:graphic>
          </wp:inline>
        </w:drawing>
      </w:r>
    </w:p>
    <w:p w14:paraId="4F8A2006">
      <w:pPr>
        <w:pStyle w:val="268"/>
      </w:pPr>
      <w:r>
        <w:rPr>
          <w:rFonts w:hint="eastAsia"/>
        </w:rPr>
        <w:t>图11-7  供热工程规划图</w:t>
      </w:r>
    </w:p>
    <w:p w14:paraId="46769BC3">
      <w:pPr>
        <w:pStyle w:val="3"/>
        <w:numPr>
          <w:ilvl w:val="1"/>
          <w:numId w:val="5"/>
        </w:numPr>
        <w:spacing w:before="332" w:after="166"/>
        <w:rPr>
          <w:rFonts w:hint="eastAsia"/>
        </w:rPr>
      </w:pPr>
      <w:r>
        <w:rPr>
          <w:rFonts w:hint="eastAsia"/>
        </w:rPr>
        <w:t>再生水工程规划</w:t>
      </w:r>
    </w:p>
    <w:p w14:paraId="5135B437">
      <w:pPr>
        <w:pStyle w:val="4"/>
        <w:numPr>
          <w:ilvl w:val="2"/>
          <w:numId w:val="5"/>
        </w:numPr>
        <w:spacing w:before="332" w:after="166"/>
        <w:rPr>
          <w:rFonts w:ascii="Times New Roman" w:hAnsi="Times New Roman"/>
          <w:lang w:val="en-US"/>
        </w:rPr>
      </w:pPr>
      <w:r>
        <w:rPr>
          <w:rFonts w:ascii="Times New Roman" w:hAnsi="Times New Roman"/>
          <w:lang w:val="en-US"/>
        </w:rPr>
        <w:t>现状概况</w:t>
      </w:r>
    </w:p>
    <w:p w14:paraId="3E6A674C">
      <w:pPr>
        <w:spacing w:after="166"/>
        <w:ind w:firstLine="500"/>
        <w:jc w:val="left"/>
        <w:rPr>
          <w:lang w:val="en-US"/>
        </w:rPr>
      </w:pPr>
      <w:r>
        <w:rPr>
          <w:rFonts w:hint="eastAsia" w:cs="宋体"/>
          <w:lang w:val="en-US" w:bidi="ar"/>
        </w:rPr>
        <w:t>目前规划区内白云鄂博矿区污水处理厂已进行深度处理，出水满足再生回用要求，沿矿山路已敷设</w:t>
      </w:r>
      <w:r>
        <w:rPr>
          <w:lang w:val="en-US" w:bidi="ar"/>
        </w:rPr>
        <w:t>DN200</w:t>
      </w:r>
      <w:r>
        <w:rPr>
          <w:rFonts w:hint="eastAsia" w:cs="宋体"/>
          <w:lang w:val="en-US" w:bidi="ar"/>
        </w:rPr>
        <w:t>的再生水管道。</w:t>
      </w:r>
    </w:p>
    <w:p w14:paraId="52575BF5">
      <w:pPr>
        <w:pStyle w:val="4"/>
        <w:numPr>
          <w:ilvl w:val="2"/>
          <w:numId w:val="5"/>
        </w:numPr>
        <w:spacing w:before="332" w:after="166"/>
        <w:rPr>
          <w:rFonts w:ascii="Times New Roman" w:hAnsi="Times New Roman"/>
          <w:lang w:val="en-US"/>
        </w:rPr>
      </w:pPr>
      <w:r>
        <w:rPr>
          <w:rFonts w:ascii="Times New Roman" w:hAnsi="Times New Roman"/>
          <w:lang w:val="en-US"/>
        </w:rPr>
        <w:t>规划用途</w:t>
      </w:r>
    </w:p>
    <w:p w14:paraId="70341F67">
      <w:pPr>
        <w:spacing w:after="166"/>
        <w:ind w:firstLine="500"/>
        <w:jc w:val="left"/>
        <w:rPr>
          <w:lang w:val="en-US"/>
        </w:rPr>
      </w:pPr>
      <w:r>
        <w:rPr>
          <w:rFonts w:hint="eastAsia" w:cs="宋体"/>
          <w:lang w:val="en-US" w:bidi="ar"/>
        </w:rPr>
        <w:t>城市污水再生处理后可用作绿化用水、道路浇洒、工业用水、生活杂用水、景观河道用水、农业灌溉用水，冲洗用水等。规划区污水再生后主要用于工业用水、绿化浇洒及道路浇洒。</w:t>
      </w:r>
    </w:p>
    <w:p w14:paraId="713AFC7A">
      <w:pPr>
        <w:pStyle w:val="4"/>
        <w:numPr>
          <w:ilvl w:val="2"/>
          <w:numId w:val="5"/>
        </w:numPr>
        <w:spacing w:before="332" w:after="166"/>
        <w:rPr>
          <w:rFonts w:ascii="Times New Roman" w:hAnsi="Times New Roman"/>
          <w:lang w:val="en-US"/>
        </w:rPr>
      </w:pPr>
      <w:r>
        <w:rPr>
          <w:rFonts w:ascii="Times New Roman" w:hAnsi="Times New Roman"/>
          <w:lang w:val="en-US"/>
        </w:rPr>
        <w:t>再生水管网规划</w:t>
      </w:r>
    </w:p>
    <w:p w14:paraId="72952705">
      <w:pPr>
        <w:spacing w:after="166"/>
        <w:ind w:firstLine="500"/>
        <w:jc w:val="left"/>
        <w:rPr>
          <w:lang w:val="en-US"/>
        </w:rPr>
      </w:pPr>
      <w:r>
        <w:rPr>
          <w:rFonts w:hint="eastAsia" w:cs="宋体"/>
          <w:lang w:val="en-US" w:bidi="ar"/>
        </w:rPr>
        <w:t>规划保留矿山路现状</w:t>
      </w:r>
      <w:r>
        <w:rPr>
          <w:lang w:val="en-US" w:bidi="ar"/>
        </w:rPr>
        <w:t>DN200</w:t>
      </w:r>
      <w:r>
        <w:rPr>
          <w:rFonts w:hint="eastAsia" w:cs="宋体"/>
          <w:lang w:val="en-US" w:bidi="ar"/>
        </w:rPr>
        <w:t>再生水管道，规划沿稀土大道敷设</w:t>
      </w:r>
      <w:r>
        <w:rPr>
          <w:lang w:val="en-US" w:bidi="ar"/>
        </w:rPr>
        <w:t>DN400</w:t>
      </w:r>
      <w:r>
        <w:rPr>
          <w:rFonts w:hint="eastAsia" w:cs="宋体"/>
          <w:lang w:val="en-US" w:bidi="ar"/>
        </w:rPr>
        <w:t>再生水主干管，沿丁道衡路、通阳道、百灵道布置</w:t>
      </w:r>
      <w:r>
        <w:rPr>
          <w:lang w:val="en-US" w:bidi="ar"/>
        </w:rPr>
        <w:t>DN200~DN300</w:t>
      </w:r>
      <w:r>
        <w:rPr>
          <w:rFonts w:hint="eastAsia" w:cs="宋体"/>
          <w:lang w:val="en-US" w:bidi="ar"/>
        </w:rPr>
        <w:t>支管。</w:t>
      </w:r>
    </w:p>
    <w:p w14:paraId="70CA6D0F">
      <w:pPr>
        <w:spacing w:after="0" w:afterLines="0"/>
        <w:ind w:firstLine="0" w:firstLineChars="0"/>
      </w:pPr>
      <w:r>
        <w:drawing>
          <wp:inline distT="0" distB="0" distL="114300" distR="114300">
            <wp:extent cx="5273675" cy="4311015"/>
            <wp:effectExtent l="0" t="0" r="3175" b="13335"/>
            <wp:docPr id="3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9"/>
                    <pic:cNvPicPr>
                      <a:picLocks noChangeAspect="1"/>
                    </pic:cNvPicPr>
                  </pic:nvPicPr>
                  <pic:blipFill>
                    <a:blip r:embed="rId109"/>
                    <a:stretch>
                      <a:fillRect/>
                    </a:stretch>
                  </pic:blipFill>
                  <pic:spPr>
                    <a:xfrm>
                      <a:off x="0" y="0"/>
                      <a:ext cx="5273675" cy="4311015"/>
                    </a:xfrm>
                    <a:prstGeom prst="rect">
                      <a:avLst/>
                    </a:prstGeom>
                    <a:noFill/>
                    <a:ln>
                      <a:noFill/>
                    </a:ln>
                  </pic:spPr>
                </pic:pic>
              </a:graphicData>
            </a:graphic>
          </wp:inline>
        </w:drawing>
      </w:r>
    </w:p>
    <w:p w14:paraId="6EED9106">
      <w:pPr>
        <w:pStyle w:val="268"/>
      </w:pPr>
      <w:r>
        <w:rPr>
          <w:rFonts w:hint="eastAsia"/>
        </w:rPr>
        <w:t>图11-8  再生水工程规划图</w:t>
      </w:r>
    </w:p>
    <w:p w14:paraId="5BEDF04D">
      <w:pPr>
        <w:pStyle w:val="3"/>
        <w:numPr>
          <w:ilvl w:val="1"/>
          <w:numId w:val="5"/>
        </w:numPr>
        <w:spacing w:before="332" w:after="166"/>
        <w:rPr>
          <w:rFonts w:hint="eastAsia"/>
        </w:rPr>
      </w:pPr>
      <w:r>
        <w:rPr>
          <w:rFonts w:hint="eastAsia"/>
        </w:rPr>
        <w:t>环卫工程规划</w:t>
      </w:r>
    </w:p>
    <w:p w14:paraId="0611BF38">
      <w:pPr>
        <w:pStyle w:val="4"/>
        <w:numPr>
          <w:ilvl w:val="2"/>
          <w:numId w:val="5"/>
        </w:numPr>
        <w:spacing w:before="332" w:after="166"/>
        <w:rPr>
          <w:rFonts w:ascii="Times New Roman" w:hAnsi="Times New Roman"/>
          <w:lang w:val="en-US"/>
        </w:rPr>
      </w:pPr>
      <w:bookmarkStart w:id="47" w:name="_Toc42240794"/>
      <w:r>
        <w:rPr>
          <w:rFonts w:ascii="Times New Roman" w:hAnsi="Times New Roman"/>
          <w:lang w:val="en-US"/>
        </w:rPr>
        <w:t>现状概况</w:t>
      </w:r>
      <w:bookmarkEnd w:id="47"/>
    </w:p>
    <w:p w14:paraId="7D189871">
      <w:pPr>
        <w:spacing w:after="166"/>
        <w:ind w:firstLine="500"/>
      </w:pPr>
      <w:r>
        <w:t>目前规划区内现状有1处垃圾转运站，位于矿山路以北，负责整个城区的垃圾转运。</w:t>
      </w:r>
    </w:p>
    <w:p w14:paraId="3B0D61B1">
      <w:pPr>
        <w:pStyle w:val="4"/>
        <w:numPr>
          <w:ilvl w:val="2"/>
          <w:numId w:val="5"/>
        </w:numPr>
        <w:spacing w:before="332" w:after="166"/>
        <w:rPr>
          <w:rFonts w:ascii="Times New Roman" w:hAnsi="Times New Roman"/>
          <w:lang w:val="en-US"/>
        </w:rPr>
      </w:pPr>
      <w:r>
        <w:rPr>
          <w:rFonts w:ascii="Times New Roman" w:hAnsi="Times New Roman"/>
          <w:lang w:val="en-US"/>
        </w:rPr>
        <w:t>规划依据</w:t>
      </w:r>
    </w:p>
    <w:p w14:paraId="11D08B14">
      <w:pPr>
        <w:spacing w:after="0" w:afterLines="0"/>
        <w:ind w:firstLine="500"/>
      </w:pPr>
      <w:r>
        <w:t>1.《城市环境卫生设施规划规范》（GB50337</w:t>
      </w:r>
      <w:r>
        <w:rPr>
          <w:lang w:val="en-US"/>
        </w:rPr>
        <w:t>—</w:t>
      </w:r>
      <w:r>
        <w:t>2018）</w:t>
      </w:r>
    </w:p>
    <w:p w14:paraId="5E4A2E5F">
      <w:pPr>
        <w:spacing w:after="0" w:afterLines="0"/>
        <w:ind w:firstLine="500"/>
      </w:pPr>
      <w:r>
        <w:t>2.《环境卫生设施设置标准》（CJJ27</w:t>
      </w:r>
      <w:r>
        <w:rPr>
          <w:lang w:val="en-US"/>
        </w:rPr>
        <w:t>—</w:t>
      </w:r>
      <w:r>
        <w:t>2012）</w:t>
      </w:r>
    </w:p>
    <w:p w14:paraId="61CE7957">
      <w:pPr>
        <w:spacing w:after="0" w:afterLines="0"/>
        <w:ind w:firstLine="500"/>
      </w:pPr>
      <w:r>
        <w:t>3.《城市生活垃圾分类及其评价标准》（CJJ/T102</w:t>
      </w:r>
      <w:r>
        <w:rPr>
          <w:lang w:val="en-US"/>
        </w:rPr>
        <w:t>—</w:t>
      </w:r>
      <w:r>
        <w:t>2004 J373</w:t>
      </w:r>
      <w:r>
        <w:rPr>
          <w:lang w:val="en-US"/>
        </w:rPr>
        <w:t>—</w:t>
      </w:r>
      <w:r>
        <w:t>2004）</w:t>
      </w:r>
    </w:p>
    <w:p w14:paraId="4681B880">
      <w:pPr>
        <w:spacing w:after="166"/>
        <w:ind w:firstLine="500"/>
      </w:pPr>
      <w:r>
        <w:t>4.《生活垃圾转运站技术规范》（CJJ47</w:t>
      </w:r>
      <w:r>
        <w:rPr>
          <w:lang w:val="en-US"/>
        </w:rPr>
        <w:t>—</w:t>
      </w:r>
      <w:r>
        <w:t>2016）</w:t>
      </w:r>
    </w:p>
    <w:p w14:paraId="07128E5E">
      <w:pPr>
        <w:pStyle w:val="4"/>
        <w:numPr>
          <w:ilvl w:val="2"/>
          <w:numId w:val="5"/>
        </w:numPr>
        <w:spacing w:before="332" w:after="166"/>
        <w:rPr>
          <w:rFonts w:ascii="Times New Roman" w:hAnsi="Times New Roman"/>
          <w:lang w:val="en-US"/>
        </w:rPr>
      </w:pPr>
      <w:bookmarkStart w:id="48" w:name="_Toc42240795"/>
      <w:r>
        <w:rPr>
          <w:rFonts w:ascii="Times New Roman" w:hAnsi="Times New Roman"/>
          <w:lang w:val="en-US"/>
        </w:rPr>
        <w:t>垃圾量预测</w:t>
      </w:r>
      <w:bookmarkEnd w:id="48"/>
    </w:p>
    <w:p w14:paraId="6D51A040">
      <w:pPr>
        <w:spacing w:after="166"/>
        <w:ind w:firstLine="500"/>
      </w:pPr>
      <w:r>
        <w:t>人均生活垃圾产量按1.0kg/人·d</w:t>
      </w:r>
      <w:r>
        <w:rPr>
          <w:rFonts w:hint="eastAsia"/>
          <w:lang w:val="en-US"/>
        </w:rPr>
        <w:t>计算</w:t>
      </w:r>
      <w:r>
        <w:t>，规划区垃圾产生量约为30t/d</w:t>
      </w:r>
      <w:r>
        <w:rPr>
          <w:rFonts w:hint="eastAsia"/>
        </w:rPr>
        <w:t>，</w:t>
      </w:r>
      <w:r>
        <w:rPr>
          <w:rFonts w:hint="eastAsia"/>
          <w:lang w:val="en-US"/>
        </w:rPr>
        <w:t>即日均产生垃圾30吨</w:t>
      </w:r>
      <w:r>
        <w:t>。</w:t>
      </w:r>
    </w:p>
    <w:p w14:paraId="7651DE74">
      <w:pPr>
        <w:pStyle w:val="4"/>
        <w:numPr>
          <w:ilvl w:val="2"/>
          <w:numId w:val="5"/>
        </w:numPr>
        <w:spacing w:before="332" w:after="166"/>
        <w:rPr>
          <w:rFonts w:ascii="Times New Roman" w:hAnsi="Times New Roman"/>
          <w:lang w:val="en-US"/>
        </w:rPr>
      </w:pPr>
      <w:r>
        <w:rPr>
          <w:rFonts w:ascii="Times New Roman" w:hAnsi="Times New Roman"/>
          <w:lang w:val="en-US"/>
        </w:rPr>
        <w:t>环卫设施</w:t>
      </w:r>
    </w:p>
    <w:p w14:paraId="5188DA68">
      <w:pPr>
        <w:pStyle w:val="5"/>
        <w:numPr>
          <w:ilvl w:val="0"/>
          <w:numId w:val="39"/>
        </w:numPr>
      </w:pPr>
      <w:r>
        <w:t>环卫综合体</w:t>
      </w:r>
    </w:p>
    <w:p w14:paraId="2972CE95">
      <w:pPr>
        <w:spacing w:after="166"/>
        <w:ind w:firstLine="500"/>
      </w:pPr>
      <w:r>
        <w:t>规划环卫综合体两处，其中一处位于矿山路以北，功能包含垃圾转运站、垃圾资源化中心、环卫停车场及环卫工人休息。另一处位于广场西路东侧，功能包括垃圾转运站、公共厕所及环卫工人休息。</w:t>
      </w:r>
    </w:p>
    <w:p w14:paraId="1893EA24">
      <w:pPr>
        <w:pStyle w:val="5"/>
        <w:numPr>
          <w:ilvl w:val="0"/>
          <w:numId w:val="39"/>
        </w:numPr>
      </w:pPr>
      <w:r>
        <w:t>垃圾收集点</w:t>
      </w:r>
    </w:p>
    <w:p w14:paraId="7463A9F5">
      <w:pPr>
        <w:spacing w:after="166"/>
        <w:ind w:firstLine="500"/>
      </w:pPr>
      <w:r>
        <w:rPr>
          <w:rFonts w:hint="eastAsia"/>
        </w:rPr>
        <w:t>规划</w:t>
      </w:r>
      <w:r>
        <w:t>区内全面推广垃圾分类收集、处理。生活垃圾收集点的服务半径一般不应超过70米。</w:t>
      </w:r>
    </w:p>
    <w:p w14:paraId="3E3E2FB4">
      <w:pPr>
        <w:pStyle w:val="5"/>
        <w:numPr>
          <w:ilvl w:val="0"/>
          <w:numId w:val="39"/>
        </w:numPr>
      </w:pPr>
      <w:r>
        <w:t>废物箱</w:t>
      </w:r>
    </w:p>
    <w:p w14:paraId="4B31C6F7">
      <w:pPr>
        <w:spacing w:after="166"/>
        <w:ind w:firstLine="500"/>
      </w:pPr>
      <w:r>
        <w:t>废物箱设置间距为商业街道：50～80米；主干路、次干路：100～200米；支路：200～400米。</w:t>
      </w:r>
    </w:p>
    <w:p w14:paraId="0155D45A">
      <w:pPr>
        <w:pStyle w:val="5"/>
        <w:numPr>
          <w:ilvl w:val="0"/>
          <w:numId w:val="39"/>
        </w:numPr>
      </w:pPr>
      <w:r>
        <w:t>公共厕所</w:t>
      </w:r>
    </w:p>
    <w:p w14:paraId="7D659D29">
      <w:pPr>
        <w:spacing w:after="166"/>
        <w:ind w:firstLine="500"/>
      </w:pPr>
      <w:r>
        <w:rPr>
          <w:rFonts w:hint="eastAsia"/>
        </w:rPr>
        <w:t>规划公共厕所13座。商业闹市区道路、公共场所公共厕所间距为300-500米，居住区公共厕所间距为500～800 米，公共厕所不小于60m²/座，优先与商业网点、绿地、垃圾中转站、社区中心及基层社区中心一并设置。</w:t>
      </w:r>
      <w:r>
        <w:t>环卫车辆及设施配建</w:t>
      </w:r>
    </w:p>
    <w:p w14:paraId="5C8E202E">
      <w:pPr>
        <w:spacing w:after="166"/>
        <w:ind w:firstLine="500"/>
      </w:pPr>
      <w:r>
        <w:t>规划配置8辆环卫车，规划</w:t>
      </w:r>
      <w:r>
        <w:rPr>
          <w:rFonts w:hint="eastAsia"/>
        </w:rPr>
        <w:t>5</w:t>
      </w:r>
      <w:r>
        <w:t>处环卫工人休息点，每个休息点建筑面积不小于</w:t>
      </w:r>
      <w:r>
        <w:rPr>
          <w:rFonts w:hint="eastAsia"/>
        </w:rPr>
        <w:t>2</w:t>
      </w:r>
      <w:r>
        <w:t>0平方米。</w:t>
      </w:r>
    </w:p>
    <w:p w14:paraId="13DCC318">
      <w:pPr>
        <w:pStyle w:val="13"/>
        <w:spacing w:after="0" w:afterLines="0"/>
        <w:ind w:firstLine="0" w:firstLineChars="0"/>
        <w:rPr>
          <w:rFonts w:hint="eastAsia"/>
        </w:rPr>
      </w:pPr>
      <w:r>
        <w:drawing>
          <wp:inline distT="0" distB="0" distL="114300" distR="114300">
            <wp:extent cx="5088255" cy="4159885"/>
            <wp:effectExtent l="0" t="0" r="17145" b="12065"/>
            <wp:docPr id="3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0"/>
                    <pic:cNvPicPr>
                      <a:picLocks noChangeAspect="1"/>
                    </pic:cNvPicPr>
                  </pic:nvPicPr>
                  <pic:blipFill>
                    <a:blip r:embed="rId110"/>
                    <a:stretch>
                      <a:fillRect/>
                    </a:stretch>
                  </pic:blipFill>
                  <pic:spPr>
                    <a:xfrm>
                      <a:off x="0" y="0"/>
                      <a:ext cx="5088255" cy="4159885"/>
                    </a:xfrm>
                    <a:prstGeom prst="rect">
                      <a:avLst/>
                    </a:prstGeom>
                    <a:noFill/>
                    <a:ln>
                      <a:noFill/>
                    </a:ln>
                  </pic:spPr>
                </pic:pic>
              </a:graphicData>
            </a:graphic>
          </wp:inline>
        </w:drawing>
      </w:r>
    </w:p>
    <w:p w14:paraId="339EC3B5">
      <w:pPr>
        <w:pStyle w:val="268"/>
      </w:pPr>
      <w:r>
        <w:rPr>
          <w:rFonts w:hint="eastAsia"/>
        </w:rPr>
        <w:t>图11-9  环卫设施规划图</w:t>
      </w:r>
    </w:p>
    <w:p w14:paraId="493DEB66">
      <w:pPr>
        <w:pStyle w:val="3"/>
        <w:numPr>
          <w:ilvl w:val="1"/>
          <w:numId w:val="5"/>
        </w:numPr>
        <w:spacing w:before="332" w:after="166"/>
      </w:pPr>
      <w:r>
        <w:rPr>
          <w:rFonts w:hint="eastAsia"/>
        </w:rPr>
        <w:t>管线综合规划</w:t>
      </w:r>
    </w:p>
    <w:p w14:paraId="7DB34125">
      <w:pPr>
        <w:pStyle w:val="4"/>
        <w:numPr>
          <w:ilvl w:val="2"/>
          <w:numId w:val="5"/>
        </w:numPr>
        <w:spacing w:before="332" w:after="166"/>
        <w:rPr>
          <w:rFonts w:hint="eastAsia" w:ascii="Times New Roman" w:hAnsi="Times New Roman"/>
          <w:lang w:val="en-US"/>
        </w:rPr>
      </w:pPr>
      <w:r>
        <w:rPr>
          <w:rFonts w:hint="eastAsia" w:ascii="Times New Roman" w:hAnsi="Times New Roman"/>
          <w:lang w:val="en-US"/>
        </w:rPr>
        <w:t>市政管线敷设形式</w:t>
      </w:r>
    </w:p>
    <w:p w14:paraId="104E3EAB">
      <w:pPr>
        <w:spacing w:after="166"/>
        <w:ind w:firstLine="500"/>
        <w:rPr>
          <w:rFonts w:hint="eastAsia"/>
        </w:rPr>
      </w:pPr>
      <w:r>
        <w:rPr>
          <w:rFonts w:hint="eastAsia"/>
        </w:rPr>
        <w:t>城市市政管线应根据城市发展定位，经济条件、城市建设条件、景观要求等因素进行分区分类控制，在</w:t>
      </w:r>
      <w:r>
        <w:rPr>
          <w:rFonts w:hint="eastAsia"/>
          <w:lang w:val="en-US" w:eastAsia="zh-CN"/>
        </w:rPr>
        <w:t>保留</w:t>
      </w:r>
      <w:r>
        <w:rPr>
          <w:rFonts w:hint="eastAsia"/>
        </w:rPr>
        <w:t>区</w:t>
      </w:r>
      <w:r>
        <w:rPr>
          <w:rFonts w:hint="eastAsia"/>
          <w:lang w:val="en-US" w:eastAsia="zh-CN"/>
        </w:rPr>
        <w:t>/改建区</w:t>
      </w:r>
      <w:r>
        <w:rPr>
          <w:rFonts w:hint="eastAsia"/>
        </w:rPr>
        <w:t>、新建区</w:t>
      </w:r>
      <w:r>
        <w:rPr>
          <w:rFonts w:hint="eastAsia"/>
          <w:lang w:val="en-US" w:eastAsia="zh-CN"/>
        </w:rPr>
        <w:t>宜</w:t>
      </w:r>
      <w:r>
        <w:rPr>
          <w:rFonts w:hint="eastAsia"/>
        </w:rPr>
        <w:t>采用不同的形式。</w:t>
      </w:r>
    </w:p>
    <w:p w14:paraId="657114B3">
      <w:pPr>
        <w:pStyle w:val="5"/>
        <w:numPr>
          <w:ilvl w:val="0"/>
          <w:numId w:val="40"/>
        </w:numPr>
        <w:rPr>
          <w:rFonts w:hint="eastAsia"/>
        </w:rPr>
      </w:pPr>
      <w:r>
        <w:rPr>
          <w:rFonts w:hint="eastAsia"/>
        </w:rPr>
        <w:t>电力</w:t>
      </w:r>
    </w:p>
    <w:p w14:paraId="496798CE">
      <w:pPr>
        <w:spacing w:after="166"/>
        <w:ind w:firstLine="500"/>
        <w:rPr>
          <w:rFonts w:hint="eastAsia"/>
        </w:rPr>
      </w:pPr>
      <w:r>
        <w:rPr>
          <w:rFonts w:hint="eastAsia"/>
        </w:rPr>
        <w:t>500 千伏以上的电力线宜采用架空形式，电力廊道宽度应不小于 60 米；220千伏一般采用架空形式，电力廊道宽度应不小于 30 米；110 千伏及以下的电力线在用地紧张区域应进行埋地敷设，一般区域可采用架空形式，电力廊道宽度应不小于 15 米。电力廊道建设应采用同塔双回或多回，提高廊道利用效率。</w:t>
      </w:r>
    </w:p>
    <w:p w14:paraId="72710DC3">
      <w:pPr>
        <w:pStyle w:val="5"/>
        <w:numPr>
          <w:ilvl w:val="0"/>
          <w:numId w:val="40"/>
        </w:numPr>
        <w:rPr>
          <w:rFonts w:hint="eastAsia"/>
        </w:rPr>
      </w:pPr>
      <w:r>
        <w:rPr>
          <w:rFonts w:hint="eastAsia"/>
        </w:rPr>
        <w:t>通信</w:t>
      </w:r>
    </w:p>
    <w:p w14:paraId="33052029">
      <w:pPr>
        <w:spacing w:after="166"/>
        <w:ind w:firstLine="500"/>
        <w:rPr>
          <w:rFonts w:hint="eastAsia"/>
        </w:rPr>
      </w:pPr>
      <w:r>
        <w:rPr>
          <w:rFonts w:hint="eastAsia"/>
        </w:rPr>
        <w:t>通信管线敷设一般有两种形式，排管和架空敷设。在建成区、新建区新建通信管线应采用排管敷设，农村地区可采用架空敷设。</w:t>
      </w:r>
    </w:p>
    <w:p w14:paraId="730C80F2">
      <w:pPr>
        <w:pStyle w:val="5"/>
        <w:numPr>
          <w:ilvl w:val="0"/>
          <w:numId w:val="40"/>
        </w:numPr>
        <w:rPr>
          <w:rFonts w:hint="eastAsia"/>
        </w:rPr>
      </w:pPr>
      <w:r>
        <w:rPr>
          <w:rFonts w:hint="eastAsia"/>
        </w:rPr>
        <w:t>燃气、给水、热力、中水</w:t>
      </w:r>
    </w:p>
    <w:p w14:paraId="345F13E7">
      <w:pPr>
        <w:spacing w:after="166"/>
        <w:ind w:firstLine="500"/>
        <w:rPr>
          <w:rFonts w:hint="eastAsia"/>
        </w:rPr>
      </w:pPr>
      <w:r>
        <w:rPr>
          <w:rFonts w:hint="eastAsia"/>
        </w:rPr>
        <w:t>燃气、给水、热力、中水管线主要有支架和埋地敷设两种形式，在建成区、新建区应采用埋地敷设，其他区域可采用支架形式。</w:t>
      </w:r>
    </w:p>
    <w:p w14:paraId="3F2A6423">
      <w:pPr>
        <w:pStyle w:val="5"/>
        <w:numPr>
          <w:ilvl w:val="0"/>
          <w:numId w:val="40"/>
        </w:numPr>
        <w:rPr>
          <w:rFonts w:hint="eastAsia"/>
        </w:rPr>
      </w:pPr>
      <w:r>
        <w:rPr>
          <w:rFonts w:hint="eastAsia"/>
        </w:rPr>
        <w:t>其他</w:t>
      </w:r>
    </w:p>
    <w:p w14:paraId="4A574A51">
      <w:pPr>
        <w:spacing w:after="166"/>
        <w:ind w:firstLine="500"/>
        <w:rPr>
          <w:rFonts w:hint="eastAsia"/>
        </w:rPr>
      </w:pPr>
      <w:r>
        <w:rPr>
          <w:rFonts w:hint="eastAsia"/>
        </w:rPr>
        <w:t>其他管线主要包括雨水、污水、路灯管线。雨水、污水管线一般有重力流与压力流两种形态，一般均为埋地形式。路灯一般均埋地处理。</w:t>
      </w:r>
    </w:p>
    <w:p w14:paraId="75FAA7FF">
      <w:pPr>
        <w:pStyle w:val="4"/>
        <w:numPr>
          <w:ilvl w:val="2"/>
          <w:numId w:val="5"/>
        </w:numPr>
        <w:spacing w:before="332" w:after="166"/>
        <w:rPr>
          <w:rFonts w:hint="eastAsia" w:ascii="Times New Roman" w:hAnsi="Times New Roman"/>
          <w:lang w:val="en-US"/>
        </w:rPr>
      </w:pPr>
      <w:r>
        <w:rPr>
          <w:rFonts w:hint="eastAsia" w:ascii="Times New Roman" w:hAnsi="Times New Roman"/>
          <w:lang w:val="en-US"/>
        </w:rPr>
        <w:t>管线的平面布置</w:t>
      </w:r>
    </w:p>
    <w:p w14:paraId="5C40B3CC">
      <w:pPr>
        <w:spacing w:after="166"/>
        <w:ind w:firstLine="500"/>
        <w:rPr>
          <w:rFonts w:hint="eastAsia"/>
        </w:rPr>
      </w:pPr>
      <w:r>
        <w:rPr>
          <w:rFonts w:hint="eastAsia"/>
        </w:rPr>
        <w:t>市政管线的敷设主要有两种形式，地下敷设及架空敷设。</w:t>
      </w:r>
      <w:r>
        <w:rPr>
          <w:rFonts w:hint="eastAsia"/>
          <w:lang w:val="en-US" w:eastAsia="zh-CN"/>
        </w:rPr>
        <w:t>引导白云城区逐步形成</w:t>
      </w:r>
      <w:r>
        <w:rPr>
          <w:rFonts w:hint="eastAsia"/>
        </w:rPr>
        <w:t>道路下敷设为主</w:t>
      </w:r>
      <w:r>
        <w:rPr>
          <w:rFonts w:hint="eastAsia"/>
          <w:lang w:eastAsia="zh-CN"/>
        </w:rPr>
        <w:t>（</w:t>
      </w:r>
      <w:r>
        <w:rPr>
          <w:rFonts w:hint="eastAsia"/>
        </w:rPr>
        <w:t>部分如高压电力线路采用架空管线</w:t>
      </w:r>
      <w:r>
        <w:rPr>
          <w:rFonts w:hint="eastAsia"/>
          <w:lang w:eastAsia="zh-CN"/>
        </w:rPr>
        <w:t>）</w:t>
      </w:r>
      <w:r>
        <w:rPr>
          <w:rFonts w:hint="eastAsia"/>
          <w:lang w:val="en-US" w:eastAsia="zh-CN"/>
        </w:rPr>
        <w:t>的辐射模式</w:t>
      </w:r>
      <w:r>
        <w:rPr>
          <w:rFonts w:hint="eastAsia"/>
        </w:rPr>
        <w:t>。</w:t>
      </w:r>
      <w:r>
        <w:rPr>
          <w:rFonts w:hint="eastAsia"/>
          <w:lang w:val="en-US" w:eastAsia="zh-CN"/>
        </w:rPr>
        <w:t>城区边缘或暂不开发地块可采用局部</w:t>
      </w:r>
      <w:r>
        <w:rPr>
          <w:rFonts w:hint="eastAsia"/>
        </w:rPr>
        <w:t>架空方式</w:t>
      </w:r>
      <w:r>
        <w:rPr>
          <w:rFonts w:hint="eastAsia"/>
          <w:lang w:val="en-US" w:eastAsia="zh-CN"/>
        </w:rPr>
        <w:t>作为补充</w:t>
      </w:r>
      <w:r>
        <w:rPr>
          <w:rFonts w:hint="eastAsia"/>
        </w:rPr>
        <w:t>。</w:t>
      </w:r>
    </w:p>
    <w:p w14:paraId="3BEBD287">
      <w:pPr>
        <w:spacing w:after="166"/>
        <w:ind w:firstLine="500"/>
        <w:rPr>
          <w:rFonts w:hint="eastAsia"/>
        </w:rPr>
      </w:pPr>
      <w:r>
        <w:rPr>
          <w:rFonts w:hint="eastAsia"/>
          <w:lang w:val="en-US" w:eastAsia="zh-CN"/>
        </w:rPr>
        <w:t>地下敷设管线</w:t>
      </w:r>
      <w:r>
        <w:t>路西或路北从道路中心向外依次为雨水、污水、给水、燃气、联合通信电缆。路东或路南从道路中心向外依次为污水、雨水、供热、回用水、电力电缆。</w:t>
      </w:r>
    </w:p>
    <w:p w14:paraId="11EF5A09">
      <w:pPr>
        <w:spacing w:after="166"/>
        <w:ind w:firstLine="500"/>
        <w:rPr>
          <w:rFonts w:hint="eastAsia"/>
        </w:rPr>
      </w:pPr>
      <w:r>
        <w:rPr>
          <w:rFonts w:hint="eastAsia"/>
          <w:lang w:val="en-US" w:eastAsia="zh-CN"/>
        </w:rPr>
        <w:t>引导</w:t>
      </w:r>
      <w:r>
        <w:rPr>
          <w:rFonts w:hint="eastAsia"/>
        </w:rPr>
        <w:t>各类管线在</w:t>
      </w:r>
      <w:r>
        <w:rPr>
          <w:rFonts w:hint="eastAsia"/>
          <w:lang w:val="en-US" w:eastAsia="zh-CN"/>
        </w:rPr>
        <w:t>集中在</w:t>
      </w:r>
      <w:r>
        <w:rPr>
          <w:rFonts w:hint="eastAsia"/>
        </w:rPr>
        <w:t>廊道内敷设，在廊道内规划位置宜相对固定，规划的工程管线应与管道廊道平行，不宜从廊道一侧转到另一侧，避免来回交叉，提高廊道的利用率。同类管线应集中布置，不同类管线结合管线的性质相互影响较大的应尽量避免相邻布置。电力高压线采用同塔双回或多回架设，提高廊道的利用效率。</w:t>
      </w:r>
    </w:p>
    <w:p w14:paraId="65B2B41F">
      <w:pPr>
        <w:spacing w:after="166"/>
        <w:ind w:firstLine="500"/>
        <w:rPr>
          <w:rFonts w:hint="eastAsia"/>
        </w:rPr>
      </w:pPr>
      <w:r>
        <w:rPr>
          <w:rFonts w:hint="eastAsia"/>
        </w:rPr>
        <w:t>沿</w:t>
      </w:r>
      <w:r>
        <w:rPr>
          <w:rFonts w:hint="eastAsia"/>
          <w:lang w:val="en-US" w:eastAsia="zh-CN"/>
        </w:rPr>
        <w:t>铁路、公路和城市道路</w:t>
      </w:r>
      <w:r>
        <w:rPr>
          <w:rFonts w:hint="eastAsia"/>
        </w:rPr>
        <w:t>敷设的工程管线应与</w:t>
      </w:r>
      <w:r>
        <w:rPr>
          <w:rFonts w:hint="eastAsia"/>
          <w:lang w:val="en-US" w:eastAsia="zh-CN"/>
        </w:rPr>
        <w:t>相应</w:t>
      </w:r>
      <w:r>
        <w:rPr>
          <w:rFonts w:hint="eastAsia"/>
        </w:rPr>
        <w:t>线路平行。当工程管线与</w:t>
      </w:r>
      <w:r>
        <w:rPr>
          <w:rFonts w:hint="eastAsia"/>
          <w:lang w:val="en-US" w:eastAsia="zh-CN"/>
        </w:rPr>
        <w:t>铁路、公路和城市道路</w:t>
      </w:r>
      <w:r>
        <w:rPr>
          <w:rFonts w:hint="eastAsia"/>
        </w:rPr>
        <w:t>交叉时宜采用垂直交叉方式布置；受条件限制，可倾斜交叉布置，其最小交叉角宜大于30 度。</w:t>
      </w:r>
    </w:p>
    <w:p w14:paraId="193EAA86">
      <w:pPr>
        <w:pStyle w:val="4"/>
        <w:numPr>
          <w:ilvl w:val="2"/>
          <w:numId w:val="5"/>
        </w:numPr>
        <w:spacing w:before="332" w:after="166"/>
        <w:rPr>
          <w:rFonts w:hint="eastAsia" w:ascii="Times New Roman" w:hAnsi="Times New Roman"/>
          <w:lang w:val="en-US"/>
        </w:rPr>
      </w:pPr>
      <w:r>
        <w:rPr>
          <w:rFonts w:hint="eastAsia" w:ascii="Times New Roman" w:hAnsi="Times New Roman"/>
          <w:lang w:val="en-US"/>
        </w:rPr>
        <w:t>管线的竖向关系</w:t>
      </w:r>
    </w:p>
    <w:p w14:paraId="52143D25">
      <w:pPr>
        <w:spacing w:after="166"/>
        <w:ind w:firstLine="500"/>
        <w:rPr>
          <w:rFonts w:hint="eastAsia"/>
        </w:rPr>
      </w:pPr>
      <w:r>
        <w:rPr>
          <w:rFonts w:hint="eastAsia"/>
        </w:rPr>
        <w:t>地下管线交叉敷设时，自地表面向下的排列顺序宜为：通信、电力、燃气、热力、给水、再生水、雨水、污水管线。</w:t>
      </w:r>
    </w:p>
    <w:p w14:paraId="536305CD">
      <w:pPr>
        <w:spacing w:after="166"/>
        <w:ind w:firstLine="500"/>
      </w:pPr>
      <w:r>
        <w:rPr>
          <w:rFonts w:hint="eastAsia"/>
        </w:rPr>
        <w:t>应尽量减少道路交叉口的管线交叉点；各类地下管线的敷设除交叉外，不得上下重叠。</w:t>
      </w:r>
      <w:r>
        <w:t>当管线竖向位置产生矛盾时，应采取下列避让原则。</w:t>
      </w:r>
    </w:p>
    <w:p w14:paraId="36B60252">
      <w:pPr>
        <w:spacing w:after="166"/>
        <w:ind w:firstLine="500"/>
      </w:pPr>
      <w:r>
        <w:t>（1）临时管线避让永久管线；</w:t>
      </w:r>
    </w:p>
    <w:p w14:paraId="11C0EF28">
      <w:pPr>
        <w:spacing w:after="166"/>
        <w:ind w:firstLine="500"/>
      </w:pPr>
      <w:r>
        <w:t>（2）支管让主管；</w:t>
      </w:r>
    </w:p>
    <w:p w14:paraId="5F4D4FA0">
      <w:pPr>
        <w:spacing w:after="166"/>
        <w:ind w:firstLine="500"/>
      </w:pPr>
      <w:r>
        <w:t>（3）易弯管让不易弯管；</w:t>
      </w:r>
    </w:p>
    <w:p w14:paraId="13A1CCC9">
      <w:pPr>
        <w:spacing w:after="166"/>
        <w:ind w:firstLine="500"/>
      </w:pPr>
      <w:r>
        <w:t>（4）小口径管让大口径管；</w:t>
      </w:r>
    </w:p>
    <w:p w14:paraId="39B31F1D">
      <w:pPr>
        <w:spacing w:after="166"/>
        <w:ind w:firstLine="500"/>
      </w:pPr>
      <w:r>
        <w:t>（5）压力管让重力管；</w:t>
      </w:r>
    </w:p>
    <w:p w14:paraId="5EF57D92">
      <w:pPr>
        <w:spacing w:after="166"/>
        <w:ind w:firstLine="500"/>
      </w:pPr>
      <w:r>
        <w:t>（6）技术要求低的管线让技术要求高的管线。</w:t>
      </w:r>
    </w:p>
    <w:p w14:paraId="0E522C85">
      <w:pPr>
        <w:spacing w:after="166"/>
        <w:ind w:firstLine="500"/>
        <w:rPr>
          <w:rFonts w:hint="eastAsia"/>
        </w:rPr>
      </w:pPr>
      <w:r>
        <w:t>管线之间、管线与建（构）筑物之间、管线与树木之间的水平净距及管线之间的垂直净距、管顶覆土均应按国家有关规范执行。</w:t>
      </w:r>
      <w:r>
        <w:rPr>
          <w:rFonts w:hint="eastAsia"/>
        </w:rPr>
        <w:t>各类地下管线应在满足最大冰冻厚度要求的同时，满足管线埋设的最小覆土厚度要求。地下管线的最小覆土深度要求应满足下表的要求，当不能满足要求时，应采取有效的安全防护措施。地下综合管廊覆土深度应根据道路施工、行车荷载、其他地下管线、绿化种植以及当地的冰冻深度等因素综合确定。</w:t>
      </w:r>
    </w:p>
    <w:p w14:paraId="7A4AB5C3">
      <w:pPr>
        <w:keepNext w:val="0"/>
        <w:keepLines w:val="0"/>
        <w:widowControl/>
        <w:suppressLineNumbers w:val="0"/>
        <w:jc w:val="left"/>
      </w:pPr>
      <w:r>
        <w:rPr>
          <w:rFonts w:ascii="黑体" w:hAnsi="宋体" w:eastAsia="黑体" w:cs="黑体"/>
          <w:color w:val="000000"/>
          <w:kern w:val="0"/>
          <w:sz w:val="21"/>
          <w:szCs w:val="21"/>
          <w:lang w:val="en-US" w:eastAsia="zh-CN" w:bidi="ar"/>
        </w:rPr>
        <w:t>地下管线的最小覆土深度（</w:t>
      </w:r>
      <w:r>
        <w:rPr>
          <w:rFonts w:hint="default" w:ascii="Times New Roman" w:hAnsi="Times New Roman" w:eastAsia="宋体" w:cs="Times New Roman"/>
          <w:color w:val="000000"/>
          <w:kern w:val="0"/>
          <w:sz w:val="21"/>
          <w:szCs w:val="21"/>
          <w:lang w:val="en-US" w:eastAsia="zh-CN" w:bidi="ar"/>
        </w:rPr>
        <w:t>m</w:t>
      </w:r>
      <w:r>
        <w:rPr>
          <w:rFonts w:hint="eastAsia" w:ascii="黑体" w:hAnsi="宋体" w:eastAsia="黑体" w:cs="黑体"/>
          <w:color w:val="000000"/>
          <w:kern w:val="0"/>
          <w:sz w:val="21"/>
          <w:szCs w:val="21"/>
          <w:lang w:val="en-US" w:eastAsia="zh-CN" w:bidi="ar"/>
        </w:rPr>
        <w:t>）</w:t>
      </w:r>
    </w:p>
    <w:p w14:paraId="4B3FB7BD">
      <w:pPr>
        <w:spacing w:after="166"/>
        <w:ind w:firstLine="500"/>
        <w:rPr>
          <w:rFonts w:hint="eastAsia"/>
        </w:rPr>
      </w:pPr>
    </w:p>
    <w:p w14:paraId="06EF815C">
      <w:pPr>
        <w:spacing w:after="166"/>
        <w:ind w:firstLine="500"/>
        <w:rPr>
          <w:rFonts w:hint="eastAsia"/>
        </w:rPr>
      </w:pPr>
      <w:r>
        <w:drawing>
          <wp:inline distT="0" distB="0" distL="114300" distR="114300">
            <wp:extent cx="5272405" cy="2432685"/>
            <wp:effectExtent l="0" t="0" r="4445" b="5715"/>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111"/>
                    <a:stretch>
                      <a:fillRect/>
                    </a:stretch>
                  </pic:blipFill>
                  <pic:spPr>
                    <a:xfrm>
                      <a:off x="0" y="0"/>
                      <a:ext cx="5272405" cy="2432685"/>
                    </a:xfrm>
                    <a:prstGeom prst="rect">
                      <a:avLst/>
                    </a:prstGeom>
                    <a:noFill/>
                    <a:ln>
                      <a:noFill/>
                    </a:ln>
                  </pic:spPr>
                </pic:pic>
              </a:graphicData>
            </a:graphic>
          </wp:inline>
        </w:drawing>
      </w:r>
    </w:p>
    <w:p w14:paraId="1525B3A7">
      <w:pPr>
        <w:pStyle w:val="4"/>
        <w:numPr>
          <w:ilvl w:val="2"/>
          <w:numId w:val="5"/>
        </w:numPr>
        <w:spacing w:before="332" w:after="166"/>
        <w:rPr>
          <w:rFonts w:ascii="Times New Roman" w:hAnsi="Times New Roman"/>
          <w:lang w:val="en-US"/>
        </w:rPr>
      </w:pPr>
      <w:r>
        <w:rPr>
          <w:rFonts w:ascii="Times New Roman" w:hAnsi="Times New Roman"/>
          <w:lang w:val="en-US"/>
        </w:rPr>
        <w:t>1管线平面布置</w:t>
      </w:r>
    </w:p>
    <w:p w14:paraId="2FB9931D">
      <w:pPr>
        <w:pStyle w:val="4"/>
        <w:numPr>
          <w:ilvl w:val="2"/>
          <w:numId w:val="5"/>
        </w:numPr>
        <w:spacing w:before="332" w:after="166"/>
        <w:rPr>
          <w:rFonts w:ascii="Times New Roman" w:hAnsi="Times New Roman"/>
          <w:lang w:val="en-US"/>
        </w:rPr>
      </w:pPr>
      <w:r>
        <w:rPr>
          <w:rFonts w:ascii="Times New Roman" w:hAnsi="Times New Roman"/>
          <w:lang w:val="en-US"/>
        </w:rPr>
        <w:t>管线竖向布置</w:t>
      </w:r>
    </w:p>
    <w:p w14:paraId="5AC5A54A">
      <w:pPr>
        <w:spacing w:after="166"/>
        <w:ind w:firstLine="500"/>
        <w:rPr>
          <w:lang w:val="en-US" w:bidi="ar"/>
        </w:rPr>
      </w:pPr>
      <w:r>
        <w:rPr>
          <w:lang w:val="en-US" w:bidi="ar"/>
        </w:rPr>
        <w:br w:type="page"/>
      </w:r>
    </w:p>
    <w:p w14:paraId="7E23CC53">
      <w:pPr>
        <w:pStyle w:val="2"/>
        <w:numPr>
          <w:ilvl w:val="0"/>
          <w:numId w:val="5"/>
        </w:numPr>
        <w:rPr>
          <w:rFonts w:ascii="Times New Roman" w:hAnsi="Times New Roman"/>
        </w:rPr>
      </w:pPr>
      <w:bookmarkStart w:id="49" w:name="_Toc19842"/>
      <w:r>
        <w:rPr>
          <w:rFonts w:ascii="Times New Roman" w:hAnsi="Times New Roman"/>
        </w:rPr>
        <w:t>城市安</w:t>
      </w:r>
      <w:r>
        <w:rPr>
          <w:rFonts w:hint="eastAsia" w:ascii="Times New Roman" w:hAnsi="Times New Roman"/>
        </w:rPr>
        <w:t>全</w:t>
      </w:r>
      <w:r>
        <w:rPr>
          <w:rFonts w:ascii="Times New Roman" w:hAnsi="Times New Roman"/>
        </w:rPr>
        <w:t>与综合防灾</w:t>
      </w:r>
      <w:bookmarkEnd w:id="49"/>
    </w:p>
    <w:p w14:paraId="1522D470">
      <w:pPr>
        <w:pStyle w:val="3"/>
        <w:numPr>
          <w:ilvl w:val="1"/>
          <w:numId w:val="5"/>
        </w:numPr>
        <w:spacing w:before="332" w:after="166"/>
        <w:rPr>
          <w:rFonts w:hint="eastAsia"/>
        </w:rPr>
      </w:pPr>
      <w:r>
        <w:rPr>
          <w:rFonts w:hint="eastAsia"/>
        </w:rPr>
        <w:t>防洪排涝规划</w:t>
      </w:r>
    </w:p>
    <w:p w14:paraId="7E94F2EC">
      <w:pPr>
        <w:pStyle w:val="4"/>
        <w:numPr>
          <w:ilvl w:val="2"/>
          <w:numId w:val="5"/>
        </w:numPr>
        <w:spacing w:before="332" w:after="166"/>
        <w:rPr>
          <w:rFonts w:ascii="Times New Roman" w:hAnsi="Times New Roman"/>
          <w:lang w:val="en-US"/>
        </w:rPr>
      </w:pPr>
      <w:r>
        <w:rPr>
          <w:rFonts w:hint="eastAsia" w:ascii="Times New Roman" w:hAnsi="Times New Roman"/>
          <w:lang w:val="en-US"/>
        </w:rPr>
        <w:t>主要</w:t>
      </w:r>
      <w:r>
        <w:rPr>
          <w:rFonts w:ascii="Times New Roman" w:hAnsi="Times New Roman"/>
          <w:lang w:val="en-US"/>
        </w:rPr>
        <w:t>规划依据</w:t>
      </w:r>
      <w:r>
        <w:rPr>
          <w:rFonts w:hint="eastAsia" w:ascii="Times New Roman" w:hAnsi="Times New Roman"/>
          <w:lang w:val="en-US"/>
        </w:rPr>
        <w:t>规范</w:t>
      </w:r>
    </w:p>
    <w:p w14:paraId="5D92BB6D">
      <w:pPr>
        <w:spacing w:after="0" w:afterLines="0"/>
        <w:ind w:firstLine="500"/>
      </w:pPr>
      <w:r>
        <w:t>1.《城市排水工程规划规范》（GB50318—2017）；</w:t>
      </w:r>
    </w:p>
    <w:p w14:paraId="77DD0CF7">
      <w:pPr>
        <w:spacing w:after="0" w:afterLines="0"/>
        <w:ind w:firstLine="500"/>
      </w:pPr>
      <w:r>
        <w:t>2.《室外排水设计标准》（GB50014—2021）；</w:t>
      </w:r>
    </w:p>
    <w:p w14:paraId="3BC84C29">
      <w:pPr>
        <w:spacing w:after="166"/>
        <w:ind w:firstLine="500"/>
      </w:pPr>
      <w:r>
        <w:t>3. 《防洪标准》（GB50201-2014）。</w:t>
      </w:r>
    </w:p>
    <w:p w14:paraId="16F93AD6">
      <w:pPr>
        <w:pStyle w:val="4"/>
        <w:numPr>
          <w:ilvl w:val="2"/>
          <w:numId w:val="5"/>
        </w:numPr>
        <w:spacing w:before="332" w:after="166"/>
        <w:rPr>
          <w:rFonts w:ascii="Times New Roman" w:hAnsi="Times New Roman"/>
          <w:lang w:val="en-US"/>
        </w:rPr>
      </w:pPr>
      <w:bookmarkStart w:id="50" w:name="_Toc42240801"/>
      <w:r>
        <w:rPr>
          <w:rFonts w:hint="eastAsia" w:ascii="Times New Roman" w:hAnsi="Times New Roman"/>
          <w:lang w:val="en-US"/>
        </w:rPr>
        <w:t>防洪排涝标准</w:t>
      </w:r>
      <w:bookmarkEnd w:id="50"/>
    </w:p>
    <w:p w14:paraId="6B4986F8">
      <w:pPr>
        <w:pStyle w:val="5"/>
        <w:numPr>
          <w:ilvl w:val="0"/>
          <w:numId w:val="41"/>
        </w:numPr>
      </w:pPr>
      <w:bookmarkStart w:id="51" w:name="_Hlk171583353"/>
      <w:r>
        <w:t>防洪标准</w:t>
      </w:r>
    </w:p>
    <w:p w14:paraId="41DD0D04">
      <w:pPr>
        <w:spacing w:after="166"/>
        <w:ind w:firstLine="500"/>
      </w:pPr>
      <w:r>
        <w:t>规划区防洪建设标准50年一遇。</w:t>
      </w:r>
    </w:p>
    <w:p w14:paraId="234BC13D">
      <w:pPr>
        <w:pStyle w:val="5"/>
        <w:numPr>
          <w:ilvl w:val="0"/>
          <w:numId w:val="41"/>
        </w:numPr>
      </w:pPr>
      <w:r>
        <w:t>排涝标准</w:t>
      </w:r>
    </w:p>
    <w:p w14:paraId="5315517F">
      <w:pPr>
        <w:spacing w:after="166"/>
        <w:ind w:firstLine="500"/>
      </w:pPr>
      <w:r>
        <w:t>规划区内涝防治标准为30年一遇。遭遇30年一遇的强降雨，居民住宅和工商业建筑物的底层不进水且道路中一条车道的积水深度不超过15cm。</w:t>
      </w:r>
    </w:p>
    <w:bookmarkEnd w:id="51"/>
    <w:p w14:paraId="2CF7CAF6">
      <w:pPr>
        <w:pStyle w:val="4"/>
        <w:numPr>
          <w:ilvl w:val="2"/>
          <w:numId w:val="5"/>
        </w:numPr>
        <w:spacing w:before="332" w:after="166"/>
        <w:rPr>
          <w:rFonts w:ascii="Times New Roman" w:hAnsi="Times New Roman"/>
          <w:lang w:val="en-US"/>
        </w:rPr>
      </w:pPr>
      <w:bookmarkStart w:id="52" w:name="_Toc42240802"/>
      <w:r>
        <w:rPr>
          <w:rFonts w:hint="eastAsia" w:ascii="Times New Roman" w:hAnsi="Times New Roman"/>
          <w:lang w:val="en-US"/>
        </w:rPr>
        <w:t>防洪排涝</w:t>
      </w:r>
      <w:bookmarkEnd w:id="52"/>
      <w:r>
        <w:rPr>
          <w:rFonts w:hint="eastAsia" w:ascii="Times New Roman" w:hAnsi="Times New Roman"/>
          <w:lang w:val="en-US"/>
        </w:rPr>
        <w:t>工程</w:t>
      </w:r>
    </w:p>
    <w:p w14:paraId="13F78509">
      <w:pPr>
        <w:pStyle w:val="5"/>
        <w:numPr>
          <w:ilvl w:val="0"/>
          <w:numId w:val="42"/>
        </w:numPr>
      </w:pPr>
      <w:bookmarkStart w:id="53" w:name="_Hlk171583450"/>
      <w:r>
        <w:t>防洪工程</w:t>
      </w:r>
    </w:p>
    <w:p w14:paraId="157BF0F7">
      <w:pPr>
        <w:spacing w:after="166"/>
        <w:ind w:firstLine="500"/>
      </w:pPr>
      <w:r>
        <w:t>规划区以流域防洪为依托，城区设防与流域屏障相结合；按照统一规划、近远结合、标本兼治的原则，以防为主，防排结合，考虑防洪安全、并兼顾调蓄利用。</w:t>
      </w:r>
    </w:p>
    <w:p w14:paraId="6CB916E3">
      <w:pPr>
        <w:spacing w:after="166"/>
        <w:ind w:firstLine="500"/>
      </w:pPr>
      <w:r>
        <w:t>防洪措施上，工程措施与非工程措施相结合，建设与管理并重。防洪规划与水利、交通、城建、环保、旅游及绿化相结合，综合规划，合理布局，统一管理。</w:t>
      </w:r>
    </w:p>
    <w:p w14:paraId="09ADE2FE">
      <w:pPr>
        <w:pStyle w:val="5"/>
        <w:numPr>
          <w:ilvl w:val="0"/>
          <w:numId w:val="42"/>
        </w:numPr>
      </w:pPr>
      <w:r>
        <w:t>排涝工程</w:t>
      </w:r>
    </w:p>
    <w:p w14:paraId="18E7CD36">
      <w:pPr>
        <w:spacing w:after="166"/>
        <w:ind w:firstLine="500"/>
      </w:pPr>
      <w:r>
        <w:t>根据自然地形、场地标高，合理划分排水区域，规划以自排的排涝方式，确保规划区不受涝。</w:t>
      </w:r>
    </w:p>
    <w:p w14:paraId="0FD26FE2">
      <w:pPr>
        <w:spacing w:after="166"/>
        <w:ind w:firstLine="500"/>
      </w:pPr>
      <w:r>
        <w:t>加强对城市蓝绿空间的保护和修复，合理控制不透水下垫面比例，预留足够的雨水渗透和存蓄空间，合理确定道路场地竖向，构建集排水管渠、公园绿地、调蓄空间等为一体的现代化内涝防治体系，保障城区安全。</w:t>
      </w:r>
    </w:p>
    <w:bookmarkEnd w:id="53"/>
    <w:p w14:paraId="1428F0D9">
      <w:pPr>
        <w:pStyle w:val="3"/>
        <w:numPr>
          <w:ilvl w:val="1"/>
          <w:numId w:val="5"/>
        </w:numPr>
        <w:spacing w:before="332" w:after="166"/>
        <w:rPr>
          <w:rFonts w:hint="eastAsia"/>
        </w:rPr>
      </w:pPr>
      <w:r>
        <w:rPr>
          <w:rFonts w:hint="eastAsia"/>
        </w:rPr>
        <w:t>消防工程规划</w:t>
      </w:r>
    </w:p>
    <w:p w14:paraId="6076F524">
      <w:pPr>
        <w:pStyle w:val="4"/>
        <w:numPr>
          <w:ilvl w:val="2"/>
          <w:numId w:val="5"/>
        </w:numPr>
        <w:spacing w:before="332" w:after="166"/>
        <w:rPr>
          <w:rFonts w:ascii="Times New Roman" w:hAnsi="Times New Roman"/>
          <w:lang w:val="en-US"/>
        </w:rPr>
      </w:pPr>
      <w:bookmarkStart w:id="54" w:name="_Toc42240805"/>
      <w:r>
        <w:rPr>
          <w:rFonts w:hint="eastAsia" w:ascii="Times New Roman" w:hAnsi="Times New Roman"/>
          <w:lang w:val="en-US"/>
        </w:rPr>
        <w:t>消防现状概况</w:t>
      </w:r>
      <w:bookmarkEnd w:id="54"/>
    </w:p>
    <w:p w14:paraId="2AA65AEE">
      <w:pPr>
        <w:spacing w:after="166"/>
        <w:ind w:firstLine="500"/>
      </w:pPr>
      <w:r>
        <w:t>规划区内现状有2座消防站，消防力量较强，能满足城区的消防任务。</w:t>
      </w:r>
    </w:p>
    <w:p w14:paraId="67FEBA92">
      <w:pPr>
        <w:pStyle w:val="4"/>
        <w:numPr>
          <w:ilvl w:val="2"/>
          <w:numId w:val="5"/>
        </w:numPr>
        <w:spacing w:before="332" w:after="166"/>
        <w:rPr>
          <w:rFonts w:ascii="Times New Roman" w:hAnsi="Times New Roman"/>
          <w:lang w:val="en-US"/>
        </w:rPr>
      </w:pPr>
      <w:r>
        <w:rPr>
          <w:rFonts w:hint="eastAsia" w:ascii="Times New Roman" w:hAnsi="Times New Roman"/>
          <w:lang w:val="en-US"/>
        </w:rPr>
        <w:t>规划依据</w:t>
      </w:r>
    </w:p>
    <w:p w14:paraId="274C4064">
      <w:pPr>
        <w:spacing w:after="0" w:afterLines="0"/>
        <w:ind w:firstLine="500"/>
      </w:pPr>
      <w:r>
        <w:t>1.《城市消防规划规范》（GB51080—2015）；</w:t>
      </w:r>
    </w:p>
    <w:p w14:paraId="698DD0F0">
      <w:pPr>
        <w:spacing w:after="0" w:afterLines="0"/>
        <w:ind w:firstLine="500"/>
      </w:pPr>
      <w:r>
        <w:t>2.《城市消防站建设标准》（建标152—2017）；</w:t>
      </w:r>
    </w:p>
    <w:p w14:paraId="7073B3C8">
      <w:pPr>
        <w:spacing w:after="166"/>
        <w:ind w:firstLine="500"/>
      </w:pPr>
      <w:r>
        <w:t>3.《建筑设计防火规范》（GB50016—2014）（2018年版）。</w:t>
      </w:r>
    </w:p>
    <w:p w14:paraId="00043757">
      <w:pPr>
        <w:pStyle w:val="4"/>
        <w:numPr>
          <w:ilvl w:val="2"/>
          <w:numId w:val="5"/>
        </w:numPr>
        <w:spacing w:before="332" w:after="166"/>
        <w:rPr>
          <w:rFonts w:ascii="Times New Roman" w:hAnsi="Times New Roman"/>
          <w:lang w:val="en-US"/>
        </w:rPr>
      </w:pPr>
      <w:bookmarkStart w:id="55" w:name="_Toc42240806"/>
      <w:r>
        <w:rPr>
          <w:rFonts w:hint="eastAsia" w:ascii="Times New Roman" w:hAnsi="Times New Roman"/>
          <w:lang w:val="en-US"/>
        </w:rPr>
        <w:t>规划原则</w:t>
      </w:r>
      <w:bookmarkEnd w:id="55"/>
    </w:p>
    <w:p w14:paraId="40754ED5">
      <w:pPr>
        <w:spacing w:after="166"/>
        <w:ind w:firstLine="500"/>
      </w:pPr>
      <w:r>
        <w:t>（1）因地制宜、循序渐进，有计划、按步骤地实现规划消防建设目标。</w:t>
      </w:r>
    </w:p>
    <w:p w14:paraId="04531C8C">
      <w:pPr>
        <w:spacing w:after="166"/>
        <w:ind w:firstLine="500"/>
      </w:pPr>
      <w:r>
        <w:t>（2）科学规划、突出重点，注重规划的可操作性。</w:t>
      </w:r>
    </w:p>
    <w:p w14:paraId="2D18AFA6">
      <w:pPr>
        <w:spacing w:after="166"/>
        <w:ind w:firstLine="500"/>
      </w:pPr>
      <w:r>
        <w:t>（3）贯彻“预防为主、防消结合”的方针，科学合理地规划城市消防安全体系和消防安全布局，以“高标准、高水平、高起点”的要求来规划城市消防安全设施。</w:t>
      </w:r>
    </w:p>
    <w:p w14:paraId="107B66C1">
      <w:pPr>
        <w:spacing w:after="166"/>
        <w:ind w:firstLine="500"/>
      </w:pPr>
      <w:r>
        <w:t>（4）规划区内普通消防站的设置，应以消防队从接警起5 分钟内到达责任区最远点为原则。</w:t>
      </w:r>
    </w:p>
    <w:p w14:paraId="27244FD1">
      <w:pPr>
        <w:spacing w:after="166"/>
        <w:ind w:firstLine="500"/>
      </w:pPr>
      <w:r>
        <w:t>（5）消防站尽量设在责任区中心或靠近中心的位置，并设在交通便捷、利于消防车迅速出发的地点。每个消防站的责任区面积为4~7 平方公里。</w:t>
      </w:r>
    </w:p>
    <w:p w14:paraId="48455CB1">
      <w:pPr>
        <w:pStyle w:val="4"/>
        <w:numPr>
          <w:ilvl w:val="2"/>
          <w:numId w:val="5"/>
        </w:numPr>
        <w:spacing w:before="332" w:after="166"/>
        <w:rPr>
          <w:rFonts w:ascii="Times New Roman" w:hAnsi="Times New Roman"/>
          <w:lang w:val="en-US"/>
        </w:rPr>
      </w:pPr>
      <w:bookmarkStart w:id="56" w:name="_Toc42240807"/>
      <w:r>
        <w:rPr>
          <w:rFonts w:hint="eastAsia" w:ascii="Times New Roman" w:hAnsi="Times New Roman"/>
          <w:lang w:val="en-US"/>
        </w:rPr>
        <w:t>消防安全布局</w:t>
      </w:r>
      <w:bookmarkEnd w:id="56"/>
    </w:p>
    <w:p w14:paraId="62BE0066">
      <w:pPr>
        <w:spacing w:after="166"/>
        <w:ind w:firstLine="500"/>
      </w:pPr>
      <w:bookmarkStart w:id="57" w:name="_Hlk171583861"/>
      <w:r>
        <w:t>根据消防重点单位“四大”(火灾危险性大，发生火灾后损失大，伤亡大，影响大)确定重点消防区。</w:t>
      </w:r>
    </w:p>
    <w:p w14:paraId="5D9DB413">
      <w:pPr>
        <w:spacing w:after="166"/>
        <w:ind w:firstLine="500"/>
      </w:pPr>
      <w:r>
        <w:t>公共建筑应留有人流、车流缓冲的地带，周围建筑要满足消防车的扑救作业要求。街面广告和居住小区围栏等不得随意设立，确需设立的不得堵塞消防车通道和影响消火栓使用。</w:t>
      </w:r>
    </w:p>
    <w:bookmarkEnd w:id="57"/>
    <w:p w14:paraId="587AC1A5">
      <w:pPr>
        <w:pStyle w:val="4"/>
        <w:numPr>
          <w:ilvl w:val="2"/>
          <w:numId w:val="5"/>
        </w:numPr>
        <w:spacing w:before="332" w:after="166"/>
        <w:rPr>
          <w:rFonts w:ascii="Times New Roman" w:hAnsi="Times New Roman"/>
          <w:lang w:val="en-US"/>
        </w:rPr>
      </w:pPr>
      <w:bookmarkStart w:id="58" w:name="_Toc42240808"/>
      <w:r>
        <w:rPr>
          <w:rFonts w:hint="eastAsia" w:ascii="Times New Roman" w:hAnsi="Times New Roman"/>
          <w:lang w:val="en-US"/>
        </w:rPr>
        <w:t>建筑耐火等级</w:t>
      </w:r>
      <w:bookmarkEnd w:id="58"/>
    </w:p>
    <w:p w14:paraId="562D9BE6">
      <w:pPr>
        <w:spacing w:after="166"/>
        <w:ind w:firstLine="500"/>
      </w:pPr>
      <w:r>
        <w:t>规划区建筑耐火等级以一、二级为主，控制三级耐火等级建筑。重点建筑物按照《建筑设计防火规范》（GB50016-2014）有关要求设计。</w:t>
      </w:r>
    </w:p>
    <w:p w14:paraId="1E218815">
      <w:pPr>
        <w:pStyle w:val="4"/>
        <w:numPr>
          <w:ilvl w:val="2"/>
          <w:numId w:val="5"/>
        </w:numPr>
        <w:spacing w:before="332" w:after="166"/>
        <w:rPr>
          <w:rFonts w:ascii="Times New Roman" w:hAnsi="Times New Roman"/>
          <w:lang w:val="en-US"/>
        </w:rPr>
      </w:pPr>
      <w:bookmarkStart w:id="59" w:name="_Toc42240809"/>
      <w:r>
        <w:rPr>
          <w:rFonts w:hint="eastAsia" w:ascii="Times New Roman" w:hAnsi="Times New Roman"/>
          <w:lang w:val="en-US"/>
        </w:rPr>
        <w:t>公共消防基础设施</w:t>
      </w:r>
      <w:bookmarkEnd w:id="59"/>
    </w:p>
    <w:p w14:paraId="11E94FC1">
      <w:pPr>
        <w:pStyle w:val="5"/>
        <w:numPr>
          <w:ilvl w:val="0"/>
          <w:numId w:val="43"/>
        </w:numPr>
      </w:pPr>
      <w:bookmarkStart w:id="60" w:name="_Hlk171583929"/>
      <w:r>
        <w:t>消防站规划</w:t>
      </w:r>
    </w:p>
    <w:p w14:paraId="0FC1B7D1">
      <w:pPr>
        <w:spacing w:after="166"/>
        <w:ind w:firstLine="500"/>
      </w:pPr>
      <w:r>
        <w:t>规划保留2座普通一级消防站，每个消防站按标准配备5辆执勤车、30名消防人员。</w:t>
      </w:r>
    </w:p>
    <w:p w14:paraId="16EC643A">
      <w:pPr>
        <w:pStyle w:val="5"/>
        <w:numPr>
          <w:ilvl w:val="0"/>
          <w:numId w:val="43"/>
        </w:numPr>
      </w:pPr>
      <w:r>
        <w:t>消防给水</w:t>
      </w:r>
    </w:p>
    <w:p w14:paraId="1AECF318">
      <w:pPr>
        <w:spacing w:after="166"/>
        <w:ind w:firstLine="500"/>
      </w:pPr>
      <w:r>
        <w:t>消防水源主要为城市供水管网，消防给水管道与生活给水管道共用。主要道路上室外消火栓应逐步补全，间距不大于120米。</w:t>
      </w:r>
    </w:p>
    <w:p w14:paraId="465AEC90">
      <w:pPr>
        <w:spacing w:after="166"/>
        <w:ind w:firstLine="500"/>
      </w:pPr>
      <w:r>
        <w:t>规划区周边有再水生蓄水池，可作为消防用水的辅助水源。</w:t>
      </w:r>
    </w:p>
    <w:p w14:paraId="34B06C26">
      <w:pPr>
        <w:spacing w:after="166"/>
        <w:ind w:firstLine="500"/>
      </w:pPr>
      <w:r>
        <w:t>区内同一时间内火灾次数为2次，一次火灾消防用水量由消防用水量最大的两座建（构）筑物确定。</w:t>
      </w:r>
    </w:p>
    <w:p w14:paraId="58E30171">
      <w:pPr>
        <w:pStyle w:val="5"/>
        <w:numPr>
          <w:ilvl w:val="0"/>
          <w:numId w:val="43"/>
        </w:numPr>
      </w:pPr>
      <w:r>
        <w:t>消防通道</w:t>
      </w:r>
    </w:p>
    <w:p w14:paraId="485FB45A">
      <w:pPr>
        <w:spacing w:after="166"/>
        <w:ind w:firstLine="500"/>
      </w:pPr>
      <w:r>
        <w:t>消防车道路宽度单车道不小于4.0米，双车道不小于7.0米。</w:t>
      </w:r>
    </w:p>
    <w:p w14:paraId="77870298">
      <w:pPr>
        <w:pStyle w:val="5"/>
        <w:numPr>
          <w:ilvl w:val="0"/>
          <w:numId w:val="43"/>
        </w:numPr>
      </w:pPr>
      <w:r>
        <w:t>消防供电</w:t>
      </w:r>
    </w:p>
    <w:p w14:paraId="6054311F">
      <w:pPr>
        <w:spacing w:after="166"/>
        <w:ind w:firstLine="500"/>
      </w:pPr>
      <w:r>
        <w:t>严格按照消防规范要求，一类高层建筑、易燃易爆单位等应按一级用电负荷要求二路供电；一级负荷用电单位必须设置自动切换系统。各消防站、供电、供水、供气、医疗急救、交通管理、环保、气象、地震、高层及超高层建筑、防火重点保护单位等均应设双电源供电。</w:t>
      </w:r>
    </w:p>
    <w:p w14:paraId="045F2230">
      <w:pPr>
        <w:pStyle w:val="5"/>
        <w:numPr>
          <w:ilvl w:val="0"/>
          <w:numId w:val="43"/>
        </w:numPr>
      </w:pPr>
      <w:r>
        <w:t>消防通信</w:t>
      </w:r>
    </w:p>
    <w:p w14:paraId="48CE53D7">
      <w:pPr>
        <w:spacing w:after="166"/>
        <w:ind w:firstLine="500"/>
      </w:pPr>
      <w:r>
        <w:t>依托</w:t>
      </w:r>
      <w:r>
        <w:rPr>
          <w:rFonts w:hint="eastAsia"/>
        </w:rPr>
        <w:t>白云鄂博矿</w:t>
      </w:r>
      <w:r>
        <w:t>区消防指挥中心建立先进的火灾报警和消防通讯指挥系统。联网运行、统一领导，采用计算机指挥调度系统与各消防站计算机通信联网，形成远程终端或无线传真机与车辆状态输入器联网，同时与供水、供电、供气、救护、交通、环保等部门设立专线通信联络和队站专网。</w:t>
      </w:r>
    </w:p>
    <w:bookmarkEnd w:id="60"/>
    <w:p w14:paraId="3A4B0329">
      <w:pPr>
        <w:pStyle w:val="3"/>
        <w:numPr>
          <w:ilvl w:val="1"/>
          <w:numId w:val="5"/>
        </w:numPr>
        <w:spacing w:before="332" w:after="166"/>
        <w:rPr>
          <w:rFonts w:hint="eastAsia"/>
        </w:rPr>
      </w:pPr>
      <w:r>
        <w:rPr>
          <w:rFonts w:hint="eastAsia"/>
        </w:rPr>
        <w:t>抗震规划</w:t>
      </w:r>
    </w:p>
    <w:p w14:paraId="30C954A0">
      <w:pPr>
        <w:pStyle w:val="4"/>
        <w:numPr>
          <w:ilvl w:val="2"/>
          <w:numId w:val="5"/>
        </w:numPr>
        <w:spacing w:before="332" w:after="166"/>
        <w:rPr>
          <w:rFonts w:ascii="Times New Roman" w:hAnsi="Times New Roman"/>
          <w:lang w:val="en-US"/>
        </w:rPr>
      </w:pPr>
      <w:bookmarkStart w:id="61" w:name="_Toc42240811"/>
      <w:r>
        <w:rPr>
          <w:rFonts w:hint="eastAsia" w:ascii="Times New Roman" w:hAnsi="Times New Roman"/>
          <w:lang w:val="en-US"/>
        </w:rPr>
        <w:t>规划原则</w:t>
      </w:r>
      <w:bookmarkEnd w:id="61"/>
    </w:p>
    <w:p w14:paraId="39DCC906">
      <w:pPr>
        <w:spacing w:after="166"/>
        <w:ind w:firstLine="500"/>
      </w:pPr>
      <w:r>
        <w:t>规划立足于基本烈度,并充分考虑到高于基本烈度的可能,坚持</w:t>
      </w:r>
      <w:r>
        <w:rPr>
          <w:rFonts w:hint="eastAsia"/>
        </w:rPr>
        <w:t>“</w:t>
      </w:r>
      <w:r>
        <w:t>预防为主，防救结合</w:t>
      </w:r>
      <w:r>
        <w:rPr>
          <w:rFonts w:hint="eastAsia"/>
        </w:rPr>
        <w:t>”</w:t>
      </w:r>
      <w:r>
        <w:t>的方针，要求受到地震影响时，要害系统不遭受破坏，人民生活和生产活动基本正常，不发生较大次生灾害。</w:t>
      </w:r>
    </w:p>
    <w:p w14:paraId="76CE062F">
      <w:pPr>
        <w:pStyle w:val="4"/>
        <w:numPr>
          <w:ilvl w:val="2"/>
          <w:numId w:val="5"/>
        </w:numPr>
        <w:spacing w:before="332" w:after="166"/>
        <w:rPr>
          <w:rFonts w:ascii="Times New Roman" w:hAnsi="Times New Roman"/>
          <w:lang w:val="en-US"/>
        </w:rPr>
      </w:pPr>
      <w:r>
        <w:rPr>
          <w:rFonts w:hint="eastAsia" w:ascii="Times New Roman" w:hAnsi="Times New Roman"/>
          <w:lang w:val="en-US"/>
        </w:rPr>
        <w:t>规划依据</w:t>
      </w:r>
    </w:p>
    <w:p w14:paraId="79DD3A6C">
      <w:pPr>
        <w:spacing w:after="0" w:afterLines="0"/>
        <w:ind w:firstLine="500"/>
      </w:pPr>
      <w:r>
        <w:t>1.《中国地震动参数区划图》（GB18306—2015）；</w:t>
      </w:r>
    </w:p>
    <w:p w14:paraId="513853BF">
      <w:pPr>
        <w:spacing w:after="0" w:afterLines="0"/>
        <w:ind w:firstLine="500"/>
      </w:pPr>
      <w:r>
        <w:t>2.《城市抗震防灾规划标准》（GB 50413—2007）；</w:t>
      </w:r>
    </w:p>
    <w:p w14:paraId="51025A7A">
      <w:pPr>
        <w:spacing w:after="166"/>
        <w:ind w:firstLine="500"/>
      </w:pPr>
      <w:r>
        <w:t>3.《城市综合防灾规划标准》（GB/T 51327—2018）。</w:t>
      </w:r>
    </w:p>
    <w:p w14:paraId="2498529D">
      <w:pPr>
        <w:pStyle w:val="4"/>
        <w:numPr>
          <w:ilvl w:val="2"/>
          <w:numId w:val="5"/>
        </w:numPr>
        <w:spacing w:before="332" w:after="166"/>
        <w:rPr>
          <w:rFonts w:ascii="Times New Roman" w:hAnsi="Times New Roman"/>
          <w:lang w:val="en-US"/>
        </w:rPr>
      </w:pPr>
      <w:bookmarkStart w:id="62" w:name="_Toc42240812"/>
      <w:r>
        <w:rPr>
          <w:rFonts w:hint="eastAsia" w:ascii="Times New Roman" w:hAnsi="Times New Roman"/>
          <w:lang w:val="en-US"/>
        </w:rPr>
        <w:t>抗震设防标准</w:t>
      </w:r>
      <w:bookmarkEnd w:id="62"/>
    </w:p>
    <w:p w14:paraId="44C5945E">
      <w:pPr>
        <w:spacing w:after="166"/>
        <w:ind w:firstLine="500"/>
      </w:pPr>
      <w:bookmarkStart w:id="63" w:name="_Hlk171584314"/>
      <w:r>
        <w:t>规划区一般建筑物设计抗震设防烈度达到6度，城市生命线工程（供水、供电、燃气、通讯等）、主要道路、桥梁、学校、车站、医疗单位、消防站、区级级机关、公安、金融、人员密集场所以及高层工程等建筑设计抗震设防烈度达到7度。</w:t>
      </w:r>
    </w:p>
    <w:bookmarkEnd w:id="63"/>
    <w:p w14:paraId="70D572E9">
      <w:pPr>
        <w:pStyle w:val="4"/>
        <w:numPr>
          <w:ilvl w:val="2"/>
          <w:numId w:val="5"/>
        </w:numPr>
        <w:spacing w:before="332" w:after="166"/>
        <w:rPr>
          <w:rFonts w:ascii="Times New Roman" w:hAnsi="Times New Roman"/>
        </w:rPr>
      </w:pPr>
      <w:bookmarkStart w:id="64" w:name="_Toc42240813"/>
      <w:r>
        <w:rPr>
          <w:rFonts w:hint="eastAsia" w:ascii="Times New Roman" w:hAnsi="Times New Roman"/>
        </w:rPr>
        <w:t>规划目标</w:t>
      </w:r>
      <w:bookmarkEnd w:id="64"/>
    </w:p>
    <w:p w14:paraId="710EC5AC">
      <w:pPr>
        <w:spacing w:after="166"/>
        <w:ind w:firstLine="500"/>
        <w:rPr>
          <w:kern w:val="0"/>
        </w:rPr>
      </w:pPr>
      <w:r>
        <w:t>逐步提高规划区的综合抗震能力，最大限度的减轻地震灾害，保障人民生命财产的安全和经济建设的顺利进行，使规划区在遭到基本烈度6度地震影响时，要害系统不致遭受严重破坏，重要部门能正常运行或尽快恢复运行，人民生活基本正常。</w:t>
      </w:r>
    </w:p>
    <w:p w14:paraId="64BF0CB6">
      <w:pPr>
        <w:pStyle w:val="4"/>
        <w:numPr>
          <w:ilvl w:val="2"/>
          <w:numId w:val="5"/>
        </w:numPr>
        <w:spacing w:before="332" w:after="166"/>
        <w:rPr>
          <w:rFonts w:ascii="Times New Roman" w:hAnsi="Times New Roman"/>
        </w:rPr>
      </w:pPr>
      <w:bookmarkStart w:id="65" w:name="_Hlk171584587"/>
      <w:bookmarkStart w:id="66" w:name="_Toc42240814"/>
      <w:r>
        <w:rPr>
          <w:rFonts w:hint="eastAsia" w:ascii="Times New Roman" w:hAnsi="Times New Roman"/>
        </w:rPr>
        <w:t>避震疏散场所</w:t>
      </w:r>
      <w:bookmarkEnd w:id="65"/>
      <w:bookmarkEnd w:id="66"/>
    </w:p>
    <w:p w14:paraId="608AE2D2">
      <w:pPr>
        <w:pStyle w:val="5"/>
        <w:numPr>
          <w:ilvl w:val="0"/>
          <w:numId w:val="44"/>
        </w:numPr>
      </w:pPr>
      <w:bookmarkStart w:id="67" w:name="_Hlk171584607"/>
      <w:r>
        <w:t>避震疏散场所规划</w:t>
      </w:r>
    </w:p>
    <w:p w14:paraId="6989D294">
      <w:pPr>
        <w:spacing w:after="166"/>
        <w:ind w:firstLine="500"/>
      </w:pPr>
      <w:r>
        <w:t>固定避震疏散场所通常可选择规划范围内面积较大、容置人员较多的公园、广场、体育场、学校等，用地面积不宜小于1公顷，人均有效避难面积不小于2平方米，服务半径宜为1~2公里。</w:t>
      </w:r>
      <w:bookmarkStart w:id="68" w:name="_Hlk171584920"/>
      <w:r>
        <w:t>规划范围内设置固定避震疏散场所1处，位于稀土广场及南侧绿地，面积10.0公顷。</w:t>
      </w:r>
    </w:p>
    <w:bookmarkEnd w:id="68"/>
    <w:p w14:paraId="521E8A6B">
      <w:pPr>
        <w:spacing w:after="166"/>
        <w:ind w:firstLine="500"/>
      </w:pPr>
      <w:r>
        <w:t>紧急避震疏散场所通常可选择规划范围内的小公园、小广场、学校、街头绿地等，用地面积不宜小于0.1公顷，人均有效避难面积不小于1平方米，服务半径宜为500米。</w:t>
      </w:r>
      <w:bookmarkStart w:id="69" w:name="_Hlk171584929"/>
      <w:r>
        <w:t>规划设置紧急避震疏散场所6处，每处占地面积不小于0.5公顷。</w:t>
      </w:r>
    </w:p>
    <w:bookmarkEnd w:id="67"/>
    <w:bookmarkEnd w:id="69"/>
    <w:p w14:paraId="665E465A">
      <w:pPr>
        <w:pStyle w:val="5"/>
        <w:numPr>
          <w:ilvl w:val="0"/>
          <w:numId w:val="44"/>
        </w:numPr>
      </w:pPr>
      <w:r>
        <w:t>设置原则和要求</w:t>
      </w:r>
    </w:p>
    <w:p w14:paraId="51C07A99">
      <w:pPr>
        <w:spacing w:after="166"/>
        <w:ind w:firstLine="500"/>
      </w:pPr>
      <w:r>
        <w:rPr>
          <w:rStyle w:val="54"/>
          <w:rFonts w:hint="eastAsia"/>
        </w:rPr>
        <w:t>①</w:t>
      </w:r>
      <w:r>
        <w:rPr>
          <w:rStyle w:val="54"/>
        </w:rPr>
        <w:t>安全性</w:t>
      </w:r>
      <w:r>
        <w:rPr>
          <w:rStyle w:val="54"/>
          <w:rFonts w:hint="eastAsia"/>
        </w:rPr>
        <w:t>原则</w:t>
      </w:r>
      <w:r>
        <w:rPr>
          <w:rStyle w:val="54"/>
        </w:rPr>
        <w:t>。</w:t>
      </w:r>
      <w:r>
        <w:t>疏散场所的选择应避开不良工程地质区域、洪水淹没区，远离危险品仓储区，具有良好的可达性，周边不宜有高大建筑物或危房。</w:t>
      </w:r>
    </w:p>
    <w:p w14:paraId="77E7536C">
      <w:pPr>
        <w:spacing w:after="166"/>
        <w:ind w:firstLine="500"/>
      </w:pPr>
      <w:r>
        <w:rPr>
          <w:rStyle w:val="54"/>
          <w:rFonts w:hint="eastAsia"/>
        </w:rPr>
        <w:t>②</w:t>
      </w:r>
      <w:r>
        <w:rPr>
          <w:rStyle w:val="54"/>
        </w:rPr>
        <w:t>便捷性</w:t>
      </w:r>
      <w:r>
        <w:rPr>
          <w:rStyle w:val="54"/>
          <w:rFonts w:hint="eastAsia"/>
        </w:rPr>
        <w:t>原则</w:t>
      </w:r>
      <w:r>
        <w:rPr>
          <w:rStyle w:val="54"/>
        </w:rPr>
        <w:t>。</w:t>
      </w:r>
      <w:r>
        <w:t>避难场地需配置临时水电、卫生及盥洗设施、广播设备、厕所等基本配套设施。固定避震场所内还应设置防救指挥中心、服务中心、储备及临时堆置生活物资的空间、警卫治安维护中心、医疗场所、居民临时聚集和交换资讯的场所等。在可能的情况下，留设直升机停机坪、救灾车辆放置场及其他弹性开放空间，完善对外联络的无线电通信设备。</w:t>
      </w:r>
    </w:p>
    <w:p w14:paraId="09BBA0A7">
      <w:pPr>
        <w:pStyle w:val="4"/>
        <w:numPr>
          <w:ilvl w:val="2"/>
          <w:numId w:val="5"/>
        </w:numPr>
        <w:spacing w:before="332" w:after="166"/>
        <w:rPr>
          <w:rFonts w:ascii="Times New Roman" w:hAnsi="Times New Roman"/>
        </w:rPr>
      </w:pPr>
      <w:bookmarkStart w:id="70" w:name="_Toc42240815"/>
      <w:r>
        <w:rPr>
          <w:rFonts w:hint="eastAsia" w:ascii="Times New Roman" w:hAnsi="Times New Roman"/>
        </w:rPr>
        <w:t>疏散通道</w:t>
      </w:r>
      <w:bookmarkEnd w:id="70"/>
    </w:p>
    <w:p w14:paraId="47B4DEE5">
      <w:pPr>
        <w:spacing w:after="166"/>
        <w:ind w:firstLine="500"/>
      </w:pPr>
      <w:r>
        <w:t>主要疏散道路机动车道宽度须在15米以上，次要疏散道路宽度须在10米以上，并保证内外交通的连通性。</w:t>
      </w:r>
    </w:p>
    <w:p w14:paraId="1E8C755A">
      <w:pPr>
        <w:spacing w:after="166"/>
        <w:ind w:firstLine="500"/>
      </w:pPr>
      <w:r>
        <w:t>联系紧急避震疏散场所的避震疏散通道有效宽度不低于4米，联系固定避震疏散场所的避震疏散通道有效宽度不低于7米，联系城市出入口的避震疏散通道有效宽度不低于15米。</w:t>
      </w:r>
    </w:p>
    <w:p w14:paraId="73C9D799">
      <w:pPr>
        <w:spacing w:after="166"/>
        <w:ind w:firstLine="500"/>
      </w:pPr>
      <w:r>
        <w:t>规划远期以白云鄂博大街、</w:t>
      </w:r>
      <w:r>
        <w:rPr>
          <w:rFonts w:hint="eastAsia"/>
          <w:lang w:val="en-US"/>
        </w:rPr>
        <w:t>G210</w:t>
      </w:r>
      <w:r>
        <w:t>、稀土大街为主要避震疏散通道。</w:t>
      </w:r>
    </w:p>
    <w:p w14:paraId="28F11FAF">
      <w:pPr>
        <w:pStyle w:val="13"/>
        <w:spacing w:after="0" w:afterLines="0"/>
        <w:ind w:firstLine="0" w:firstLineChars="0"/>
        <w:rPr>
          <w:rFonts w:hint="eastAsia"/>
        </w:rPr>
      </w:pPr>
      <w:r>
        <w:drawing>
          <wp:inline distT="0" distB="0" distL="114300" distR="114300">
            <wp:extent cx="5273675" cy="4311015"/>
            <wp:effectExtent l="0" t="0" r="3175" b="13335"/>
            <wp:docPr id="3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1"/>
                    <pic:cNvPicPr>
                      <a:picLocks noChangeAspect="1"/>
                    </pic:cNvPicPr>
                  </pic:nvPicPr>
                  <pic:blipFill>
                    <a:blip r:embed="rId112"/>
                    <a:stretch>
                      <a:fillRect/>
                    </a:stretch>
                  </pic:blipFill>
                  <pic:spPr>
                    <a:xfrm>
                      <a:off x="0" y="0"/>
                      <a:ext cx="5273675" cy="4311015"/>
                    </a:xfrm>
                    <a:prstGeom prst="rect">
                      <a:avLst/>
                    </a:prstGeom>
                    <a:noFill/>
                    <a:ln>
                      <a:noFill/>
                    </a:ln>
                  </pic:spPr>
                </pic:pic>
              </a:graphicData>
            </a:graphic>
          </wp:inline>
        </w:drawing>
      </w:r>
    </w:p>
    <w:p w14:paraId="48930667">
      <w:pPr>
        <w:pStyle w:val="268"/>
      </w:pPr>
      <w:r>
        <w:rPr>
          <w:rFonts w:hint="eastAsia"/>
        </w:rPr>
        <w:t>图12-1  综合防灾规划图</w:t>
      </w:r>
    </w:p>
    <w:p w14:paraId="55186FE1">
      <w:pPr>
        <w:pStyle w:val="3"/>
        <w:numPr>
          <w:ilvl w:val="1"/>
          <w:numId w:val="5"/>
        </w:numPr>
        <w:spacing w:before="332" w:after="166"/>
        <w:rPr>
          <w:rFonts w:hint="eastAsia"/>
        </w:rPr>
      </w:pPr>
      <w:r>
        <w:rPr>
          <w:rFonts w:hint="eastAsia"/>
        </w:rPr>
        <w:t>人防工程规划</w:t>
      </w:r>
    </w:p>
    <w:p w14:paraId="27CC0685">
      <w:pPr>
        <w:pStyle w:val="4"/>
        <w:numPr>
          <w:ilvl w:val="2"/>
          <w:numId w:val="5"/>
        </w:numPr>
        <w:spacing w:before="332" w:after="166"/>
        <w:rPr>
          <w:rFonts w:ascii="Times New Roman" w:hAnsi="Times New Roman"/>
        </w:rPr>
      </w:pPr>
      <w:bookmarkStart w:id="71" w:name="_Toc42240817"/>
      <w:r>
        <w:rPr>
          <w:rFonts w:hint="eastAsia" w:ascii="Times New Roman" w:hAnsi="Times New Roman"/>
        </w:rPr>
        <w:t>规划目标</w:t>
      </w:r>
      <w:bookmarkEnd w:id="71"/>
    </w:p>
    <w:p w14:paraId="103EB9A1">
      <w:pPr>
        <w:spacing w:after="166"/>
        <w:ind w:firstLine="500"/>
      </w:pPr>
      <w:r>
        <w:t>贯彻</w:t>
      </w:r>
      <w:r>
        <w:rPr>
          <w:rFonts w:hint="eastAsia"/>
        </w:rPr>
        <w:t>“</w:t>
      </w:r>
      <w:r>
        <w:t>长期准备，平战结合，重点建设</w:t>
      </w:r>
      <w:r>
        <w:rPr>
          <w:rFonts w:hint="eastAsia"/>
        </w:rPr>
        <w:t>”</w:t>
      </w:r>
      <w:r>
        <w:t>的方针，建设完善的城镇防护体系和人防工程体系，</w:t>
      </w:r>
    </w:p>
    <w:p w14:paraId="40F9DEFD">
      <w:pPr>
        <w:spacing w:after="166"/>
        <w:ind w:firstLine="500"/>
      </w:pPr>
      <w:r>
        <w:t>提高城镇防护抗毁能力，保存战争潜力；合理开发利用地下空间，节约土地资源；重点布局在片区的居住区。</w:t>
      </w:r>
    </w:p>
    <w:p w14:paraId="079CE872">
      <w:pPr>
        <w:pStyle w:val="4"/>
        <w:numPr>
          <w:ilvl w:val="2"/>
          <w:numId w:val="5"/>
        </w:numPr>
        <w:spacing w:before="332" w:after="166"/>
        <w:rPr>
          <w:rFonts w:ascii="Times New Roman" w:hAnsi="Times New Roman"/>
        </w:rPr>
      </w:pPr>
      <w:r>
        <w:rPr>
          <w:rFonts w:hint="eastAsia" w:ascii="Times New Roman" w:hAnsi="Times New Roman"/>
        </w:rPr>
        <w:t>规划依据</w:t>
      </w:r>
    </w:p>
    <w:p w14:paraId="66DF6DCF">
      <w:pPr>
        <w:spacing w:after="0" w:afterLines="0"/>
        <w:ind w:firstLine="500"/>
      </w:pPr>
      <w:r>
        <w:t>1.《人民防空地下室设计规范》（GB50038—2005）2023年版；</w:t>
      </w:r>
    </w:p>
    <w:p w14:paraId="25050D2E">
      <w:pPr>
        <w:spacing w:after="166"/>
        <w:ind w:firstLine="500"/>
      </w:pPr>
      <w:r>
        <w:t>2.《人民防空工程设计防火规范》（GB50098—2009）。</w:t>
      </w:r>
    </w:p>
    <w:p w14:paraId="7E121F2E">
      <w:pPr>
        <w:pStyle w:val="4"/>
        <w:numPr>
          <w:ilvl w:val="2"/>
          <w:numId w:val="5"/>
        </w:numPr>
        <w:spacing w:before="332" w:after="166"/>
        <w:rPr>
          <w:rFonts w:ascii="Times New Roman" w:hAnsi="Times New Roman"/>
        </w:rPr>
      </w:pPr>
      <w:bookmarkStart w:id="72" w:name="_Toc42240818"/>
      <w:r>
        <w:rPr>
          <w:rFonts w:hint="eastAsia" w:ascii="Times New Roman" w:hAnsi="Times New Roman"/>
        </w:rPr>
        <w:t>规划标准</w:t>
      </w:r>
      <w:bookmarkEnd w:id="72"/>
    </w:p>
    <w:p w14:paraId="2F01AD8C">
      <w:pPr>
        <w:spacing w:after="166"/>
        <w:ind w:firstLine="500"/>
      </w:pPr>
      <w:r>
        <w:t>（1）按照1m²/人的标准建设人防工程，安排好掩蔽工程。</w:t>
      </w:r>
    </w:p>
    <w:p w14:paraId="35CA16E3">
      <w:pPr>
        <w:spacing w:after="166"/>
        <w:ind w:firstLine="500"/>
      </w:pPr>
      <w:r>
        <w:t>（2）新建10层以上或基础埋深超过3m的9层以下民用建筑，应利用地下空间建设防空地下室。新建居住区，按照地面建筑的2%，统一修建地下室。</w:t>
      </w:r>
    </w:p>
    <w:p w14:paraId="19DA943F">
      <w:pPr>
        <w:pStyle w:val="4"/>
        <w:numPr>
          <w:ilvl w:val="2"/>
          <w:numId w:val="5"/>
        </w:numPr>
        <w:spacing w:before="332" w:after="166"/>
        <w:rPr>
          <w:rFonts w:ascii="Times New Roman" w:hAnsi="Times New Roman"/>
        </w:rPr>
      </w:pPr>
      <w:bookmarkStart w:id="73" w:name="_Toc42240819"/>
      <w:r>
        <w:rPr>
          <w:rFonts w:hint="eastAsia" w:ascii="Times New Roman" w:hAnsi="Times New Roman"/>
        </w:rPr>
        <w:t>规划布局</w:t>
      </w:r>
      <w:bookmarkEnd w:id="73"/>
    </w:p>
    <w:p w14:paraId="1C9FE98E">
      <w:pPr>
        <w:spacing w:after="166"/>
        <w:ind w:firstLine="500"/>
      </w:pPr>
      <w:r>
        <w:t>充分利用人防工程的有效资源，发挥抗震避难，防御衍生灾害，应对突发事件等多重功能。</w:t>
      </w:r>
    </w:p>
    <w:p w14:paraId="4D00A3D4">
      <w:pPr>
        <w:spacing w:after="166"/>
        <w:ind w:firstLine="500"/>
      </w:pPr>
      <w:r>
        <w:t>（1）人民防空工程建设布局坚持人员掩蔽工程按与人口密度成正比配置和专用工程均匀配置、合理安排相结合的原则，配置地下吃、住、行、医、穿、用等设施配套，按照防空防灾一体化要求，提高总体防护能力、战时生存能力和战后恢复能力。达到国家人防规定的人均2平方米掩蔽面积的要求，保障城市人民群众的生命安全。</w:t>
      </w:r>
    </w:p>
    <w:p w14:paraId="091D9B60">
      <w:pPr>
        <w:spacing w:after="166"/>
        <w:ind w:firstLine="500"/>
      </w:pPr>
      <w:r>
        <w:t>（2）完善道路系统，干道应多环相连、纵横贯通。各类建筑应按规定建设地下人防设施，并与地下空间开发相结合。结合小区开发、高层建筑及大型建筑的建设，修建防空地下室，战时作为人员掩蔽工程。新建居住区按建筑面积2%~3%修人防工程，对已竣工工程按规定修建地下室的建筑，应按其总建筑面积的2%~3%进行补建。</w:t>
      </w:r>
    </w:p>
    <w:p w14:paraId="68C17AF9">
      <w:pPr>
        <w:spacing w:after="166"/>
        <w:ind w:firstLine="500"/>
      </w:pPr>
      <w:r>
        <w:t>（3）加强指挥、通信警报建设，逐步建成无线电遥控警报网、有线和移动通信网。按照国家标准增设警报设施，使警报覆盖率达95%以上。</w:t>
      </w:r>
    </w:p>
    <w:p w14:paraId="587621FF">
      <w:pPr>
        <w:spacing w:after="166"/>
        <w:ind w:firstLine="500"/>
      </w:pPr>
      <w:r>
        <w:t>（4）规划一定数量的地下通道，平时作地下商业街或过街道，战时用作疏散人口抢险抢修救护用，结合建设情况，修建人员掩护工程，对地下商业街经过适当处理，可作为人员掩蔽工程。</w:t>
      </w:r>
    </w:p>
    <w:p w14:paraId="69DD008A">
      <w:pPr>
        <w:spacing w:after="166"/>
        <w:ind w:firstLine="500"/>
      </w:pPr>
      <w:r>
        <w:t>（5）政府要使新建居住区按国家和本市有关规定建设人防工程，并尽可能弥补空间功能的不足，以利于平时的充分利用。要综合开发地下空间资源，利用地下空间的防灾特性进行主动防灾，形成系统化、现代化的地下防护空间体系。</w:t>
      </w:r>
    </w:p>
    <w:p w14:paraId="11F8148E">
      <w:pPr>
        <w:spacing w:after="166"/>
        <w:ind w:firstLine="500"/>
      </w:pPr>
      <w:r>
        <w:t>（6）人防工程结合开发时序，有计划地分期分批建设。</w:t>
      </w:r>
    </w:p>
    <w:p w14:paraId="7C6733E0">
      <w:pPr>
        <w:spacing w:after="166"/>
        <w:ind w:firstLine="500"/>
      </w:pPr>
      <w:r>
        <w:t>（7）重要经济目标的规划和建设应当征求人民防空主管部门和同级军事机关的意见。对应建防空地下室的建设项目，未经人民防空主管部门审核批准，建设、消防等部门不能办理相关手续。</w:t>
      </w:r>
    </w:p>
    <w:p w14:paraId="194087D6">
      <w:pPr>
        <w:pStyle w:val="4"/>
        <w:numPr>
          <w:ilvl w:val="2"/>
          <w:numId w:val="5"/>
        </w:numPr>
        <w:spacing w:before="332" w:after="166"/>
        <w:rPr>
          <w:rFonts w:ascii="Times New Roman" w:hAnsi="Times New Roman"/>
        </w:rPr>
      </w:pPr>
      <w:bookmarkStart w:id="74" w:name="_Toc42240820"/>
      <w:r>
        <w:rPr>
          <w:rFonts w:hint="eastAsia" w:ascii="Times New Roman" w:hAnsi="Times New Roman"/>
        </w:rPr>
        <w:t>人防工程控制体系</w:t>
      </w:r>
      <w:bookmarkEnd w:id="74"/>
    </w:p>
    <w:p w14:paraId="0CFA74AB">
      <w:pPr>
        <w:pStyle w:val="5"/>
        <w:numPr>
          <w:ilvl w:val="0"/>
          <w:numId w:val="45"/>
        </w:numPr>
      </w:pPr>
      <w:r>
        <w:t>指挥工程</w:t>
      </w:r>
    </w:p>
    <w:p w14:paraId="10983CF5">
      <w:pPr>
        <w:spacing w:after="166"/>
        <w:ind w:firstLine="500"/>
      </w:pPr>
      <w:r>
        <w:t>按照总体规划要求，规划区指挥所依托区级基本指挥所。</w:t>
      </w:r>
    </w:p>
    <w:p w14:paraId="1AEABE0D">
      <w:pPr>
        <w:pStyle w:val="5"/>
        <w:numPr>
          <w:ilvl w:val="0"/>
          <w:numId w:val="45"/>
        </w:numPr>
      </w:pPr>
      <w:r>
        <w:t>医疗救护工程</w:t>
      </w:r>
    </w:p>
    <w:p w14:paraId="1A15E33D">
      <w:pPr>
        <w:spacing w:after="166"/>
        <w:ind w:firstLine="500"/>
        <w:jc w:val="left"/>
      </w:pPr>
      <w:r>
        <w:rPr>
          <w:rFonts w:hint="eastAsia" w:cs="宋体"/>
          <w:lang w:val="en-US" w:bidi="ar"/>
        </w:rPr>
        <w:t>医疗救护工程主要为救护站。白云鄂博矿区铁矿医院兼作防护站，规划床位数</w:t>
      </w:r>
      <w:r>
        <w:rPr>
          <w:lang w:val="en-US" w:bidi="ar"/>
        </w:rPr>
        <w:t>150</w:t>
      </w:r>
      <w:r>
        <w:rPr>
          <w:rFonts w:hint="eastAsia" w:cs="宋体"/>
          <w:lang w:val="en-US" w:bidi="ar"/>
        </w:rPr>
        <w:t>床。</w:t>
      </w:r>
    </w:p>
    <w:p w14:paraId="264D715D">
      <w:pPr>
        <w:pStyle w:val="5"/>
        <w:numPr>
          <w:ilvl w:val="0"/>
          <w:numId w:val="45"/>
        </w:numPr>
      </w:pPr>
      <w:r>
        <w:t>人员掩蔽工程</w:t>
      </w:r>
    </w:p>
    <w:p w14:paraId="3F8539CC">
      <w:pPr>
        <w:spacing w:after="166"/>
        <w:ind w:firstLine="500"/>
      </w:pPr>
      <w:r>
        <w:t>战时</w:t>
      </w:r>
      <w:r>
        <w:rPr>
          <w:rFonts w:hint="eastAsia"/>
          <w:lang w:val="en-US"/>
        </w:rPr>
        <w:t>城区</w:t>
      </w:r>
      <w:r>
        <w:t>人口向周边疏散，疏散人口比例40%。按照留守人口人均1平方米掩蔽面积的原则配置人员掩蔽工程，规划范围人员掩蔽工程的建筑面积共3万平方米。人员掩蔽工程防护等级一般为七级。</w:t>
      </w:r>
    </w:p>
    <w:p w14:paraId="22E28243">
      <w:pPr>
        <w:pStyle w:val="5"/>
        <w:numPr>
          <w:ilvl w:val="0"/>
          <w:numId w:val="45"/>
        </w:numPr>
      </w:pPr>
      <w:r>
        <w:t>重点目标</w:t>
      </w:r>
    </w:p>
    <w:p w14:paraId="32E05D42">
      <w:pPr>
        <w:spacing w:after="166"/>
        <w:ind w:firstLine="500"/>
      </w:pPr>
      <w:r>
        <w:t>重点地区必须按照规划要求建设人防工程，在人流集散的商场、影剧院、旅馆、医院、学校等处修建一定规模的平战结合的掩蔽工事；成片居住区按地面建筑面积的4%设置人防工事；车站、桥梁、对外公路及重要生命线工程要作为重点防护目标，设置专门的工程抢修系统。</w:t>
      </w:r>
    </w:p>
    <w:p w14:paraId="5C8BC547">
      <w:pPr>
        <w:pStyle w:val="4"/>
        <w:numPr>
          <w:ilvl w:val="2"/>
          <w:numId w:val="5"/>
        </w:numPr>
        <w:spacing w:before="332" w:after="166"/>
        <w:rPr>
          <w:rFonts w:ascii="Times New Roman" w:hAnsi="Times New Roman"/>
        </w:rPr>
      </w:pPr>
      <w:bookmarkStart w:id="75" w:name="_Toc42240821"/>
      <w:r>
        <w:rPr>
          <w:rFonts w:hint="eastAsia" w:ascii="Times New Roman" w:hAnsi="Times New Roman"/>
        </w:rPr>
        <w:t>5防空地下室建设要求</w:t>
      </w:r>
      <w:bookmarkEnd w:id="75"/>
    </w:p>
    <w:p w14:paraId="52A9F429">
      <w:pPr>
        <w:spacing w:after="166"/>
        <w:ind w:firstLine="500"/>
      </w:pPr>
      <w:r>
        <w:t>（1）新建10层以上（含10层）或者基础埋深3米以上（含3米）的民用建筑，按照地面首层建筑面积修建7级以上（含7级）防空地下室。</w:t>
      </w:r>
    </w:p>
    <w:p w14:paraId="3602FCAB">
      <w:pPr>
        <w:spacing w:after="166"/>
        <w:ind w:firstLine="500"/>
      </w:pPr>
      <w:r>
        <w:t>（2）除第1项规定以外的其他新建民用建筑按照一次性规划地面建筑面积的比例修建7级以上（含7级）防空地下室，比例为3.5%。</w:t>
      </w:r>
    </w:p>
    <w:p w14:paraId="27AFB8BA">
      <w:pPr>
        <w:spacing w:after="166"/>
        <w:ind w:firstLine="500"/>
      </w:pPr>
      <w:r>
        <w:t>（3）防空地下室的一个防护单元掩蔽面积不得少于800平方米，地下室面积不满一个防护单元时，按照市域统筹的原则建设。</w:t>
      </w:r>
    </w:p>
    <w:p w14:paraId="421FEC49">
      <w:pPr>
        <w:spacing w:after="166"/>
        <w:ind w:firstLine="0" w:firstLineChars="0"/>
        <w:rPr>
          <w:lang w:val="en-US" w:bidi="ar"/>
        </w:rPr>
      </w:pPr>
    </w:p>
    <w:p w14:paraId="3E3E1EED">
      <w:pPr>
        <w:pStyle w:val="3"/>
        <w:numPr>
          <w:ilvl w:val="1"/>
          <w:numId w:val="5"/>
        </w:numPr>
        <w:spacing w:before="332" w:after="166"/>
        <w:rPr>
          <w:rFonts w:hint="eastAsia"/>
        </w:rPr>
      </w:pPr>
      <w:r>
        <w:rPr>
          <w:rFonts w:hint="eastAsia"/>
        </w:rPr>
        <w:t>地质灾害防治规划</w:t>
      </w:r>
    </w:p>
    <w:p w14:paraId="4BB13B07">
      <w:pPr>
        <w:spacing w:after="166"/>
        <w:ind w:firstLine="500"/>
        <w:rPr>
          <w:rFonts w:hint="eastAsia" w:ascii="宋体" w:hAnsi="宋体" w:cs="宋体"/>
          <w:sz w:val="24"/>
          <w:szCs w:val="24"/>
          <w:highlight w:val="yellow"/>
          <w:lang w:val="en-US"/>
        </w:rPr>
      </w:pPr>
      <w:r>
        <w:rPr>
          <w:rFonts w:hint="eastAsia"/>
          <w:lang w:val="en-US"/>
        </w:rPr>
        <w:t>按照《内蒙古自治区白云鄂博矿区地质灾害防治规划（2024-2030年）》，白云鄂博矿区城区全部位于</w:t>
      </w:r>
      <w:r>
        <w:rPr>
          <w:rFonts w:ascii="宋体" w:hAnsi="宋体" w:cs="宋体"/>
          <w:sz w:val="24"/>
          <w:szCs w:val="24"/>
        </w:rPr>
        <w:t>地质灾害不易发一般防治区</w:t>
      </w:r>
      <w:r>
        <w:rPr>
          <w:rFonts w:hint="eastAsia" w:ascii="宋体" w:hAnsi="宋体" w:cs="宋体"/>
          <w:sz w:val="24"/>
          <w:szCs w:val="24"/>
        </w:rPr>
        <w:t>。</w:t>
      </w:r>
      <w:r>
        <w:rPr>
          <w:rFonts w:hint="eastAsia" w:ascii="宋体" w:hAnsi="宋体" w:cs="宋体"/>
          <w:sz w:val="24"/>
          <w:szCs w:val="24"/>
          <w:lang w:val="en-US"/>
        </w:rPr>
        <w:t>因此以提升意识、加强巡查等管理手段作为防微杜渐的主要方向。</w:t>
      </w:r>
    </w:p>
    <w:p w14:paraId="14D82C6C">
      <w:pPr>
        <w:spacing w:after="166"/>
        <w:ind w:firstLine="500"/>
        <w:rPr>
          <w:lang w:val="en-US"/>
        </w:rPr>
      </w:pPr>
      <w:r>
        <w:t>提高地质灾害防范意识，加强地质灾害隐患点排查，发现隐患及 时上报。</w:t>
      </w:r>
      <w:r>
        <w:rPr>
          <w:rFonts w:hint="eastAsia"/>
          <w:lang w:val="en-US"/>
        </w:rPr>
        <w:t>严禁在地质灾害易发区域规划布局城镇居民点。统筹实施重大地质灾害治理工程，结合生态修复和土地综合整治对地质灾害工程治理难度较大的区域采取搬迁避让措施。</w:t>
      </w:r>
    </w:p>
    <w:p w14:paraId="086E9FFA">
      <w:pPr>
        <w:spacing w:after="166"/>
        <w:ind w:firstLine="500"/>
        <w:rPr>
          <w:lang w:val="en-US"/>
        </w:rPr>
      </w:pPr>
      <w:r>
        <w:t>进行地质灾害隐患巡查，巡查频率为汛期 1 次/月、非汛期 1 次/3 个月。</w:t>
      </w:r>
      <w:r>
        <w:rPr>
          <w:rFonts w:hint="eastAsia"/>
          <w:lang w:val="en-US"/>
        </w:rPr>
        <w:t>加强重点地区工程设施建设和维护，提高干旱、暴雨大风、雷电、冰雹、霜冻等气象监测预警能力，提高因气象灾害引发的山体滑坡、草地火灾、环境污染等次生、衍生灾害的防治水平。</w:t>
      </w:r>
    </w:p>
    <w:p w14:paraId="43EB06B7">
      <w:pPr>
        <w:pStyle w:val="3"/>
        <w:numPr>
          <w:ilvl w:val="1"/>
          <w:numId w:val="5"/>
        </w:numPr>
        <w:spacing w:before="332" w:after="166"/>
        <w:rPr>
          <w:rFonts w:hint="eastAsia"/>
        </w:rPr>
      </w:pPr>
      <w:r>
        <w:rPr>
          <w:rFonts w:hint="eastAsia"/>
        </w:rPr>
        <w:t>公共卫生安全规划</w:t>
      </w:r>
    </w:p>
    <w:p w14:paraId="11E52BC4">
      <w:pPr>
        <w:pStyle w:val="5"/>
        <w:numPr>
          <w:ilvl w:val="0"/>
          <w:numId w:val="46"/>
        </w:numPr>
      </w:pPr>
      <w:r>
        <w:t xml:space="preserve">防控原则 </w:t>
      </w:r>
    </w:p>
    <w:p w14:paraId="77C3B7ED">
      <w:pPr>
        <w:spacing w:after="166"/>
        <w:ind w:firstLine="500"/>
        <w:rPr>
          <w:lang w:val="en-US"/>
        </w:rPr>
      </w:pPr>
      <w:r>
        <w:rPr>
          <w:lang w:val="en-US"/>
        </w:rPr>
        <w:t>将公共卫生事件预防的关口前移，按照“预防为主、常备不懈”的原则，结合片区内可能发生的重大传染病、群体性不明原因疾病、食物中毒和职业中毒做好情景构建和风险分析。按照底线思维采取有效措施来预防、控制和消除突发公共卫生事件的危害，切实保障片区公众身体健康与生命安全。</w:t>
      </w:r>
    </w:p>
    <w:p w14:paraId="56742569">
      <w:pPr>
        <w:pStyle w:val="5"/>
        <w:numPr>
          <w:ilvl w:val="0"/>
          <w:numId w:val="46"/>
        </w:numPr>
      </w:pPr>
      <w:r>
        <w:t>应急体系</w:t>
      </w:r>
    </w:p>
    <w:p w14:paraId="0B70DA8E">
      <w:pPr>
        <w:spacing w:after="166"/>
        <w:ind w:firstLine="500"/>
        <w:rPr>
          <w:lang w:val="en-US"/>
        </w:rPr>
      </w:pPr>
      <w:r>
        <w:rPr>
          <w:lang w:val="en-US"/>
        </w:rPr>
        <w:t>形成包括公共卫生法制体系、疾病预防控制体系、重大疫情防控救治体系、应急医疗救助机制、应急物资保障体系在内的公共卫生应急管理体系。落实公共卫生法规，提高疾病预防控制设施建设标准；平灾结合，预留公共卫生事件应对用地；以社区为基本单元，加强社区基层防控能力建设；建立公共卫生服务与医疗分级、分层、分流诊疗等制度；运用大数据、人工智能等数字技术协助进行重大疫情防控；采储结合布局重要应急物资，保障重要应急物资储备。</w:t>
      </w:r>
    </w:p>
    <w:p w14:paraId="747B8A68">
      <w:pPr>
        <w:pStyle w:val="5"/>
        <w:numPr>
          <w:ilvl w:val="0"/>
          <w:numId w:val="46"/>
        </w:numPr>
      </w:pPr>
      <w:r>
        <w:t xml:space="preserve">应急生活圈 </w:t>
      </w:r>
    </w:p>
    <w:p w14:paraId="10C872DB">
      <w:pPr>
        <w:spacing w:after="166"/>
        <w:ind w:firstLine="500"/>
        <w:rPr>
          <w:lang w:val="en-US"/>
        </w:rPr>
      </w:pPr>
      <w:r>
        <w:rPr>
          <w:lang w:val="en-US"/>
        </w:rPr>
        <w:t>以5</w:t>
      </w:r>
      <w:r>
        <w:rPr>
          <w:rFonts w:hint="eastAsia"/>
          <w:lang w:val="en-US" w:eastAsia="zh-CN"/>
        </w:rPr>
        <w:t>-10</w:t>
      </w:r>
      <w:r>
        <w:rPr>
          <w:lang w:val="en-US"/>
        </w:rPr>
        <w:t>分钟社区生活服务圈为基础构建应急生活圈，充分利用智能化设施，提供无接触的智慧社区服务和管理条件。通过配备远程社区医疗设施、智慧门禁设施等平灾结合设施做好突发公共卫生事件的应对。</w:t>
      </w:r>
    </w:p>
    <w:p w14:paraId="431E0DCB">
      <w:pPr>
        <w:pStyle w:val="3"/>
        <w:numPr>
          <w:ilvl w:val="1"/>
          <w:numId w:val="5"/>
        </w:numPr>
        <w:spacing w:before="332" w:after="166"/>
        <w:rPr>
          <w:rFonts w:hint="eastAsia"/>
        </w:rPr>
      </w:pPr>
      <w:r>
        <w:rPr>
          <w:rFonts w:hint="eastAsia"/>
        </w:rPr>
        <w:t>地下空间开发利用规划</w:t>
      </w:r>
    </w:p>
    <w:p w14:paraId="39D849D5">
      <w:pPr>
        <w:spacing w:after="166"/>
        <w:ind w:firstLine="500"/>
        <w:rPr>
          <w:lang w:val="en-US"/>
        </w:rPr>
      </w:pPr>
      <w:r>
        <w:rPr>
          <w:rFonts w:hint="eastAsia"/>
          <w:lang w:val="en-US" w:eastAsia="zh"/>
        </w:rPr>
        <w:t>结合新建项目和城市更新开展地下空间利用，</w:t>
      </w:r>
      <w:r>
        <w:rPr>
          <w:lang w:val="en-US"/>
        </w:rPr>
        <w:t>布局地下停车库、人防工程、市政公用设施等，并结合实际功能需要确定地下空间的连通性。地下空间的功能布局以弹性适应为原则，地下停车空间、地下商业及公共服务设施空间、地下公共活动空间和地下市政设施的分层与层高、布局与比例可根据建设需要进行调整，以提高地空间的利用效率和灵活性。</w:t>
      </w:r>
    </w:p>
    <w:p w14:paraId="1AC4A4FB">
      <w:pPr>
        <w:spacing w:after="166"/>
        <w:ind w:firstLine="500"/>
        <w:rPr>
          <w:lang w:val="en-US"/>
        </w:rPr>
      </w:pPr>
      <w:r>
        <w:rPr>
          <w:lang w:val="en-US"/>
        </w:rPr>
        <w:t>合理确定地下空间开发建设边界和控制条件。加强城市道路与沿线地块、地块与地块之间的地下空间一体化设计，强化竖向分层衔接、横向联通对接，坚持和倡导统一设计、统一标准、共构联动和建设统筹。</w:t>
      </w:r>
    </w:p>
    <w:p w14:paraId="17098D8C">
      <w:pPr>
        <w:spacing w:after="166"/>
        <w:ind w:firstLine="500"/>
        <w:rPr>
          <w:lang w:val="en-US"/>
        </w:rPr>
      </w:pPr>
      <w:r>
        <w:rPr>
          <w:lang w:val="en-US"/>
        </w:rPr>
        <w:t>地下空间应开敞舒适，立体人流转换节点、地下空间重要建设地区，宜设置下沉广场、公共建筑中庭及采光设施与地面保持空间联系，充分利用自然采光和通风提升地下空间品质。在主要人流方向上设置出入口，出入口前应设置集散场地。</w:t>
      </w:r>
    </w:p>
    <w:p w14:paraId="58FCBC36">
      <w:pPr>
        <w:widowControl/>
        <w:spacing w:after="166"/>
        <w:ind w:firstLine="500"/>
        <w:jc w:val="left"/>
        <w:rPr>
          <w:rFonts w:hint="eastAsia" w:ascii="宋体" w:hAnsi="宋体" w:cs="宋体"/>
          <w:u w:val="single"/>
          <w:lang w:val="en-US" w:bidi="ar"/>
        </w:rPr>
      </w:pPr>
    </w:p>
    <w:p w14:paraId="130638BF">
      <w:pPr>
        <w:widowControl/>
        <w:spacing w:after="166"/>
        <w:ind w:firstLine="500"/>
        <w:jc w:val="left"/>
        <w:rPr>
          <w:rFonts w:hint="eastAsia" w:ascii="宋体" w:hAnsi="宋体" w:cs="宋体"/>
          <w:u w:val="single"/>
          <w:lang w:val="en-US" w:bidi="ar"/>
        </w:rPr>
      </w:pPr>
    </w:p>
    <w:p w14:paraId="1104BAC8">
      <w:pPr>
        <w:spacing w:after="166"/>
        <w:ind w:firstLine="500"/>
        <w:rPr>
          <w:rFonts w:hint="eastAsia" w:ascii="宋体" w:hAnsi="宋体" w:cs="宋体"/>
          <w:u w:val="single"/>
          <w:lang w:val="en-US" w:bidi="ar"/>
        </w:rPr>
      </w:pPr>
      <w:r>
        <w:rPr>
          <w:rFonts w:ascii="宋体" w:hAnsi="宋体" w:cs="宋体"/>
          <w:u w:val="single"/>
          <w:lang w:val="en-US" w:bidi="ar"/>
        </w:rPr>
        <w:br w:type="page"/>
      </w:r>
    </w:p>
    <w:p w14:paraId="00C4FBCC">
      <w:pPr>
        <w:pStyle w:val="2"/>
        <w:numPr>
          <w:ilvl w:val="0"/>
          <w:numId w:val="5"/>
        </w:numPr>
        <w:rPr>
          <w:rFonts w:hint="eastAsia"/>
        </w:rPr>
      </w:pPr>
      <w:bookmarkStart w:id="76" w:name="_Toc25867"/>
      <w:r>
        <w:rPr>
          <w:rFonts w:hint="eastAsia"/>
        </w:rPr>
        <w:t>城市设计引导</w:t>
      </w:r>
      <w:bookmarkEnd w:id="76"/>
    </w:p>
    <w:p w14:paraId="50389A54">
      <w:pPr>
        <w:pStyle w:val="3"/>
        <w:numPr>
          <w:ilvl w:val="1"/>
          <w:numId w:val="5"/>
        </w:numPr>
        <w:spacing w:before="332" w:after="166"/>
        <w:rPr>
          <w:rFonts w:hint="eastAsia"/>
        </w:rPr>
      </w:pPr>
      <w:r>
        <w:rPr>
          <w:rFonts w:hint="eastAsia"/>
        </w:rPr>
        <w:t>城市设计原则</w:t>
      </w:r>
    </w:p>
    <w:p w14:paraId="634E1F73">
      <w:pPr>
        <w:pStyle w:val="4"/>
        <w:numPr>
          <w:ilvl w:val="2"/>
          <w:numId w:val="5"/>
        </w:numPr>
        <w:spacing w:before="332" w:after="166"/>
        <w:rPr>
          <w:rFonts w:ascii="Times New Roman" w:hAnsi="Times New Roman"/>
          <w:lang w:val="en-US"/>
        </w:rPr>
      </w:pPr>
      <w:r>
        <w:rPr>
          <w:rFonts w:hint="eastAsia" w:ascii="Times New Roman" w:hAnsi="Times New Roman"/>
          <w:lang w:val="en-US"/>
        </w:rPr>
        <w:t>城市风貌与特色基础</w:t>
      </w:r>
    </w:p>
    <w:p w14:paraId="72257F15">
      <w:pPr>
        <w:pStyle w:val="5"/>
        <w:numPr>
          <w:ilvl w:val="0"/>
          <w:numId w:val="47"/>
        </w:numPr>
      </w:pPr>
      <w:r>
        <w:rPr>
          <w:rFonts w:hint="eastAsia"/>
        </w:rPr>
        <w:t>宏观尺度：产城矿绿、平塬建城格局</w:t>
      </w:r>
    </w:p>
    <w:p w14:paraId="743777B9">
      <w:pPr>
        <w:spacing w:after="166"/>
        <w:ind w:firstLine="500"/>
        <w:rPr>
          <w:lang w:val="en-US"/>
        </w:rPr>
      </w:pPr>
      <w:r>
        <w:rPr>
          <w:rFonts w:hint="eastAsia"/>
          <w:lang w:val="en-US"/>
        </w:rPr>
        <w:t>区域尺度上，白云全域形成了北部山体与乌兰索木河冲击平原、中部工矿城绿集中区、南部高平原和阿木斯尔河冲击平原</w:t>
      </w:r>
      <w:r>
        <w:rPr>
          <w:rFonts w:hint="eastAsia"/>
          <w:lang w:val="en-US" w:eastAsia="zh-CN"/>
        </w:rPr>
        <w:t>的地形地貌。</w:t>
      </w:r>
    </w:p>
    <w:p w14:paraId="139C7D6C">
      <w:pPr>
        <w:pStyle w:val="13"/>
        <w:spacing w:after="166"/>
        <w:ind w:firstLine="0" w:firstLineChars="0"/>
        <w:jc w:val="center"/>
        <w:rPr>
          <w:rFonts w:hint="eastAsia"/>
          <w:lang w:val="en-US"/>
        </w:rPr>
      </w:pPr>
      <w:r>
        <w:rPr>
          <w:lang w:val="en-US"/>
        </w:rPr>
        <w:drawing>
          <wp:inline distT="0" distB="0" distL="114300" distR="114300">
            <wp:extent cx="4894580" cy="2753360"/>
            <wp:effectExtent l="0" t="0" r="1270" b="889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113"/>
                    <a:stretch>
                      <a:fillRect/>
                    </a:stretch>
                  </pic:blipFill>
                  <pic:spPr>
                    <a:xfrm>
                      <a:off x="0" y="0"/>
                      <a:ext cx="4894580" cy="2753360"/>
                    </a:xfrm>
                    <a:prstGeom prst="rect">
                      <a:avLst/>
                    </a:prstGeom>
                    <a:noFill/>
                    <a:ln>
                      <a:noFill/>
                    </a:ln>
                  </pic:spPr>
                </pic:pic>
              </a:graphicData>
            </a:graphic>
          </wp:inline>
        </w:drawing>
      </w:r>
    </w:p>
    <w:p w14:paraId="79770D01">
      <w:pPr>
        <w:pStyle w:val="117"/>
      </w:pPr>
      <w:r>
        <w:rPr>
          <w:rFonts w:hint="eastAsia"/>
          <w:lang w:val="en-US" w:eastAsia="zh-CN"/>
        </w:rPr>
        <w:t xml:space="preserve">图13-1 </w:t>
      </w:r>
      <w:r>
        <w:rPr>
          <w:rFonts w:hint="eastAsia"/>
        </w:rPr>
        <w:t>白云矿区区域地貌格局</w:t>
      </w:r>
    </w:p>
    <w:p w14:paraId="5D64947C">
      <w:pPr>
        <w:spacing w:after="166"/>
        <w:ind w:firstLine="500"/>
      </w:pPr>
      <w:r>
        <w:rPr>
          <w:rFonts w:hint="eastAsia"/>
          <w:lang w:val="en-US"/>
        </w:rPr>
        <w:t>白云</w:t>
      </w:r>
      <w:r>
        <w:t>城区目前</w:t>
      </w:r>
      <w:r>
        <w:rPr>
          <w:rFonts w:hint="eastAsia"/>
          <w:lang w:val="en-US"/>
        </w:rPr>
        <w:t>形成了</w:t>
      </w:r>
      <w:r>
        <w:t>较为完整的</w:t>
      </w:r>
      <w:r>
        <w:rPr>
          <w:rFonts w:hint="eastAsia"/>
          <w:lang w:val="en-US" w:eastAsia="zh-CN"/>
        </w:rPr>
        <w:t>绿色</w:t>
      </w:r>
      <w:r>
        <w:t>空间体系脉络，将排水系统与绿地景观结合的建设方式，与“海绵城市”理念十分相近。这种充分利用自然地形特征，依托</w:t>
      </w:r>
      <w:r>
        <w:rPr>
          <w:rFonts w:hint="eastAsia"/>
          <w:lang w:val="en-US"/>
        </w:rPr>
        <w:t>废弃矿山和矿坑修复</w:t>
      </w:r>
      <w:r>
        <w:t>建设带状公园</w:t>
      </w:r>
      <w:r>
        <w:rPr>
          <w:rFonts w:hint="eastAsia"/>
          <w:lang w:val="en-US"/>
        </w:rPr>
        <w:t>群</w:t>
      </w:r>
      <w:r>
        <w:t>，连通大型公园绿地形成集雨水收集和休闲游憩功能于一体的绿地系统，是我国北方城市少有的代表性特色风貌，不仅使得</w:t>
      </w:r>
      <w:r>
        <w:rPr>
          <w:rFonts w:hint="eastAsia"/>
          <w:lang w:val="en-US"/>
        </w:rPr>
        <w:t>雨水</w:t>
      </w:r>
      <w:r>
        <w:t>在城市建设实施过程中得到充分、合理的利用，同时也依托绿地形成了较为完整的生态系统。</w:t>
      </w:r>
    </w:p>
    <w:p w14:paraId="63016596">
      <w:pPr>
        <w:pStyle w:val="5"/>
        <w:numPr>
          <w:ilvl w:val="0"/>
          <w:numId w:val="47"/>
        </w:numPr>
      </w:pPr>
      <w:r>
        <w:rPr>
          <w:rFonts w:hint="eastAsia"/>
        </w:rPr>
        <w:t>中观尺度：存留城市完整记忆的特色风貌区</w:t>
      </w:r>
    </w:p>
    <w:p w14:paraId="0AF16A28">
      <w:pPr>
        <w:spacing w:after="166"/>
        <w:ind w:firstLine="500"/>
        <w:rPr>
          <w:rFonts w:hint="default" w:eastAsia="宋体"/>
          <w:lang w:val="en-US" w:eastAsia="zh-CN"/>
        </w:rPr>
      </w:pPr>
      <w:r>
        <w:t>历经不同历史时期的建设，</w:t>
      </w:r>
      <w:r>
        <w:rPr>
          <w:rFonts w:hint="eastAsia"/>
          <w:lang w:val="en-US"/>
        </w:rPr>
        <w:t>白云城区</w:t>
      </w:r>
      <w:r>
        <w:t>内部形成了多处具有典型风貌特征的</w:t>
      </w:r>
      <w:r>
        <w:rPr>
          <w:rFonts w:hint="eastAsia"/>
          <w:lang w:val="en-US"/>
        </w:rPr>
        <w:t>特色</w:t>
      </w:r>
      <w:r>
        <w:t>风貌区，如</w:t>
      </w:r>
      <w:r>
        <w:rPr>
          <w:rFonts w:hint="eastAsia"/>
          <w:lang w:val="en-US"/>
        </w:rPr>
        <w:t>矿山路西段的蒙古族建筑风格立面，矿山路东段以苏联工人住区风格为主的空间段落，11工地为代表的传统工人住区</w:t>
      </w:r>
      <w:r>
        <w:rPr>
          <w:rFonts w:hint="eastAsia"/>
          <w:lang w:val="en-US" w:eastAsia="zh-CN"/>
        </w:rPr>
        <w:t>、新华书店等兼具建筑价值和人文价值的典型建筑</w:t>
      </w:r>
      <w:r>
        <w:rPr>
          <w:rFonts w:hint="eastAsia"/>
          <w:lang w:val="en-US"/>
        </w:rPr>
        <w:t>等等</w:t>
      </w:r>
      <w:r>
        <w:t>。这些历史文化街区及风貌区</w:t>
      </w:r>
      <w:r>
        <w:rPr>
          <w:rFonts w:hint="eastAsia"/>
          <w:lang w:val="en-US"/>
        </w:rPr>
        <w:t>是白云鄂博发展历史的</w:t>
      </w:r>
      <w:r>
        <w:t>集中见证</w:t>
      </w:r>
      <w:r>
        <w:rPr>
          <w:rFonts w:hint="eastAsia"/>
          <w:lang w:eastAsia="zh-CN"/>
        </w:rPr>
        <w:t>，</w:t>
      </w:r>
      <w:r>
        <w:rPr>
          <w:rFonts w:hint="eastAsia"/>
          <w:lang w:val="en-US" w:eastAsia="zh-CN"/>
        </w:rPr>
        <w:t>也是值得继续保护和传承的文化遗存。</w:t>
      </w:r>
    </w:p>
    <w:p w14:paraId="7967B257">
      <w:pPr>
        <w:pStyle w:val="5"/>
        <w:numPr>
          <w:ilvl w:val="0"/>
          <w:numId w:val="47"/>
        </w:numPr>
      </w:pPr>
      <w:r>
        <w:rPr>
          <w:rFonts w:hint="eastAsia"/>
        </w:rPr>
        <w:t>微观尺度：多元融合的特色建筑风貌</w:t>
      </w:r>
    </w:p>
    <w:p w14:paraId="0FE0FB80">
      <w:pPr>
        <w:spacing w:after="166"/>
        <w:ind w:firstLine="500"/>
        <w:rPr>
          <w:rFonts w:hint="eastAsia"/>
        </w:rPr>
      </w:pPr>
      <w:r>
        <w:t>历经不同时期的建设积淀，</w:t>
      </w:r>
      <w:r>
        <w:rPr>
          <w:rFonts w:hint="eastAsia"/>
          <w:lang w:val="en-US"/>
        </w:rPr>
        <w:t>白云城区</w:t>
      </w:r>
      <w:r>
        <w:t>形成了多元化、特色化的城市建筑风貌特征</w:t>
      </w:r>
      <w:r>
        <w:rPr>
          <w:rFonts w:hint="eastAsia"/>
        </w:rPr>
        <w:t>，</w:t>
      </w:r>
      <w:r>
        <w:rPr>
          <w:rFonts w:hint="eastAsia"/>
          <w:lang w:val="en-US"/>
        </w:rPr>
        <w:t>分布在不同空间段落形成若干特色节点或“片段”，虽然分布较为“碎片化”，但已初步具备了进一步缀点成线、由线及面的基础</w:t>
      </w:r>
      <w:r>
        <w:t>。</w:t>
      </w:r>
    </w:p>
    <w:p w14:paraId="3A5D97F4">
      <w:pPr>
        <w:pStyle w:val="4"/>
        <w:numPr>
          <w:ilvl w:val="2"/>
          <w:numId w:val="5"/>
        </w:numPr>
        <w:spacing w:before="332" w:after="166"/>
        <w:rPr>
          <w:rFonts w:ascii="Times New Roman" w:hAnsi="Times New Roman"/>
          <w:lang w:val="en-US"/>
        </w:rPr>
      </w:pPr>
      <w:r>
        <w:rPr>
          <w:rFonts w:hint="eastAsia" w:ascii="Times New Roman" w:hAnsi="Times New Roman"/>
          <w:lang w:val="en-US"/>
        </w:rPr>
        <w:t>问题导向：应对城市风貌与特色塑造短板</w:t>
      </w:r>
    </w:p>
    <w:p w14:paraId="6D30311B">
      <w:pPr>
        <w:pStyle w:val="5"/>
        <w:numPr>
          <w:ilvl w:val="0"/>
          <w:numId w:val="48"/>
        </w:numPr>
        <w:bidi w:val="0"/>
        <w:ind w:leftChars="0"/>
        <w:rPr>
          <w:rFonts w:hint="eastAsia"/>
          <w:lang w:val="en-US" w:eastAsia="zh-CN"/>
        </w:rPr>
      </w:pPr>
      <w:r>
        <w:rPr>
          <w:rFonts w:hint="eastAsia"/>
          <w:lang w:val="en-US" w:eastAsia="zh-CN"/>
        </w:rPr>
        <w:t>短板一：界面缺少感知度</w:t>
      </w:r>
    </w:p>
    <w:p w14:paraId="61BBD9BD">
      <w:pPr>
        <w:rPr>
          <w:rFonts w:hint="default"/>
          <w:lang w:val="en-US" w:eastAsia="zh-CN"/>
        </w:rPr>
      </w:pPr>
      <w:r>
        <w:rPr>
          <w:rFonts w:hint="eastAsia"/>
          <w:lang w:val="en-US" w:eastAsia="zh-CN"/>
        </w:rPr>
        <w:t>由于整个城区缺少制高点，因此感知城市的主要载体是城市界面——基于人的视角下城市界面/街道界面作为感知主体。现状城区空间对于建筑退线、建筑立面、街道断面尤其是人行空间缺少有效引导与管控，使得城区中缺少有感知度的完整城市界面，制约了城市意向的形成。</w:t>
      </w:r>
    </w:p>
    <w:p w14:paraId="10D9A2EB">
      <w:pPr>
        <w:pStyle w:val="5"/>
        <w:numPr>
          <w:ilvl w:val="0"/>
          <w:numId w:val="48"/>
        </w:numPr>
        <w:bidi w:val="0"/>
        <w:ind w:leftChars="0"/>
        <w:rPr>
          <w:rFonts w:hint="eastAsia"/>
          <w:lang w:val="en-US" w:eastAsia="zh-CN"/>
        </w:rPr>
      </w:pPr>
      <w:r>
        <w:rPr>
          <w:rFonts w:hint="eastAsia"/>
          <w:lang w:val="en-US" w:eastAsia="zh-CN"/>
        </w:rPr>
        <w:t>短板二：片区缺少辨识度</w:t>
      </w:r>
    </w:p>
    <w:p w14:paraId="1BF3B1D3">
      <w:pPr>
        <w:rPr>
          <w:rFonts w:hint="default"/>
          <w:lang w:val="en-US" w:eastAsia="zh-CN"/>
        </w:rPr>
      </w:pPr>
      <w:r>
        <w:rPr>
          <w:rFonts w:hint="eastAsia"/>
          <w:lang w:val="en-US" w:eastAsia="zh-CN"/>
        </w:rPr>
        <w:t>白云城区中不乏具有特色的建筑单体或群落，但缺少更大尺度的风貌协调，不同色彩、风格、材质在同一空间内混杂出现，使得不同片区之间的风貌特色和差异化风格难以形成。</w:t>
      </w:r>
    </w:p>
    <w:p w14:paraId="186D5EA1">
      <w:pPr>
        <w:pStyle w:val="5"/>
        <w:numPr>
          <w:ilvl w:val="0"/>
          <w:numId w:val="48"/>
        </w:numPr>
        <w:bidi w:val="0"/>
        <w:ind w:leftChars="0"/>
        <w:rPr>
          <w:rFonts w:hint="eastAsia"/>
          <w:lang w:val="en-US" w:eastAsia="zh-CN"/>
        </w:rPr>
      </w:pPr>
      <w:r>
        <w:rPr>
          <w:rFonts w:hint="eastAsia"/>
          <w:lang w:val="en-US" w:eastAsia="zh-CN"/>
        </w:rPr>
        <w:t>短板三：节点缺少显示度</w:t>
      </w:r>
    </w:p>
    <w:p w14:paraId="26948447">
      <w:pPr>
        <w:rPr>
          <w:rFonts w:hint="default"/>
          <w:lang w:val="en-US" w:eastAsia="zh-CN"/>
        </w:rPr>
      </w:pPr>
      <w:r>
        <w:rPr>
          <w:rFonts w:hint="eastAsia"/>
          <w:lang w:val="en-US" w:eastAsia="zh-CN"/>
        </w:rPr>
        <w:t>现状代表性空间节点以城市雕塑等点状空间为主，缺少外部可感知、内部可停留的标志性空间和功能载体。</w:t>
      </w:r>
    </w:p>
    <w:p w14:paraId="1D0A161B">
      <w:pPr>
        <w:pStyle w:val="3"/>
        <w:numPr>
          <w:ilvl w:val="1"/>
          <w:numId w:val="5"/>
        </w:numPr>
        <w:spacing w:before="332" w:after="166"/>
        <w:rPr>
          <w:rFonts w:hint="eastAsia"/>
        </w:rPr>
      </w:pPr>
      <w:r>
        <w:rPr>
          <w:rFonts w:hint="eastAsia"/>
        </w:rPr>
        <w:t xml:space="preserve">景观系统规划 </w:t>
      </w:r>
    </w:p>
    <w:p w14:paraId="471D10DB">
      <w:pPr>
        <w:widowControl/>
        <w:spacing w:after="166"/>
        <w:ind w:firstLine="480"/>
        <w:jc w:val="left"/>
      </w:pPr>
      <w:r>
        <w:rPr>
          <w:rFonts w:hint="eastAsia" w:ascii="宋体" w:hAnsi="宋体" w:cs="宋体"/>
          <w:color w:val="000000"/>
          <w:kern w:val="0"/>
          <w:sz w:val="24"/>
          <w:lang w:val="en-US" w:bidi="ar"/>
        </w:rPr>
        <w:t xml:space="preserve">规划区内景观系统包括景观分区、重要界面、景观廊道、景观节点。 </w:t>
      </w:r>
    </w:p>
    <w:p w14:paraId="007D17D2">
      <w:pPr>
        <w:pStyle w:val="5"/>
        <w:numPr>
          <w:ilvl w:val="0"/>
          <w:numId w:val="49"/>
        </w:numPr>
      </w:pPr>
      <w:r>
        <w:rPr>
          <w:rFonts w:hint="eastAsia"/>
          <w:lang w:bidi="ar"/>
        </w:rPr>
        <w:t>景观分区</w:t>
      </w:r>
    </w:p>
    <w:p w14:paraId="231788F0">
      <w:pPr>
        <w:widowControl/>
        <w:spacing w:after="166"/>
        <w:ind w:firstLine="480"/>
        <w:jc w:val="left"/>
        <w:rPr>
          <w:rFonts w:hint="eastAsia" w:ascii="宋体" w:hAnsi="宋体" w:cs="宋体"/>
          <w:color w:val="000000"/>
          <w:kern w:val="0"/>
          <w:sz w:val="24"/>
          <w:lang w:val="en-US" w:bidi="ar"/>
        </w:rPr>
      </w:pPr>
      <w:r>
        <w:rPr>
          <w:rFonts w:hint="eastAsia" w:ascii="宋体" w:hAnsi="宋体" w:cs="宋体"/>
          <w:color w:val="000000"/>
          <w:kern w:val="0"/>
          <w:sz w:val="24"/>
          <w:lang w:val="en-US" w:bidi="ar"/>
        </w:rPr>
        <w:t>主要形成四类景观分区：</w:t>
      </w:r>
      <w:r>
        <w:rPr>
          <w:rFonts w:hint="eastAsia" w:ascii="宋体" w:hAnsi="宋体" w:cs="宋体"/>
          <w:color w:val="000000"/>
          <w:kern w:val="0"/>
          <w:sz w:val="24"/>
          <w:lang w:val="en-US" w:eastAsia="zh" w:bidi="ar"/>
        </w:rPr>
        <w:t>大国矿业风貌区、现代城市风貌区、景园融合风貌区</w:t>
      </w:r>
      <w:r>
        <w:rPr>
          <w:rFonts w:hint="eastAsia" w:ascii="宋体" w:hAnsi="宋体" w:cs="宋体"/>
          <w:color w:val="000000"/>
          <w:kern w:val="0"/>
          <w:sz w:val="24"/>
          <w:lang w:val="en-US" w:bidi="ar"/>
        </w:rPr>
        <w:t>、</w:t>
      </w:r>
      <w:r>
        <w:rPr>
          <w:rFonts w:hint="eastAsia" w:ascii="宋体" w:hAnsi="宋体" w:cs="宋体"/>
          <w:color w:val="000000"/>
          <w:kern w:val="0"/>
          <w:sz w:val="24"/>
          <w:lang w:val="en-US" w:eastAsia="zh" w:bidi="ar"/>
        </w:rPr>
        <w:t>宜居</w:t>
      </w:r>
      <w:r>
        <w:rPr>
          <w:rFonts w:hint="eastAsia" w:ascii="宋体" w:hAnsi="宋体" w:cs="宋体"/>
          <w:color w:val="000000"/>
          <w:kern w:val="0"/>
          <w:sz w:val="24"/>
          <w:lang w:val="en-US" w:bidi="ar"/>
        </w:rPr>
        <w:t xml:space="preserve">生活风貌区。 </w:t>
      </w:r>
      <w:r>
        <w:rPr>
          <w:rFonts w:ascii="宋体" w:hAnsi="宋体" w:cs="宋体"/>
          <w:color w:val="000000"/>
          <w:kern w:val="0"/>
          <w:sz w:val="24"/>
          <w:lang w:val="en-US" w:bidi="ar"/>
        </w:rPr>
        <w:t xml:space="preserve"> </w:t>
      </w:r>
    </w:p>
    <w:p w14:paraId="77FD0C58">
      <w:pPr>
        <w:widowControl/>
        <w:spacing w:after="166"/>
        <w:ind w:firstLine="480"/>
        <w:jc w:val="left"/>
        <w:rPr>
          <w:rFonts w:hint="eastAsia" w:ascii="宋体" w:hAnsi="宋体" w:cs="宋体"/>
          <w:color w:val="000000"/>
          <w:kern w:val="0"/>
          <w:sz w:val="24"/>
          <w:lang w:val="en-US" w:bidi="ar"/>
        </w:rPr>
      </w:pPr>
      <w:r>
        <w:rPr>
          <w:rFonts w:hint="eastAsia" w:ascii="黑体" w:hAnsi="黑体" w:eastAsia="黑体" w:cs="黑体"/>
          <w:color w:val="000000"/>
          <w:kern w:val="0"/>
          <w:sz w:val="24"/>
          <w:lang w:val="en-US" w:bidi="ar"/>
        </w:rPr>
        <w:t>大国矿业风貌区。</w:t>
      </w:r>
      <w:r>
        <w:rPr>
          <w:rFonts w:ascii="宋体" w:hAnsi="宋体" w:cs="宋体"/>
          <w:color w:val="000000"/>
          <w:kern w:val="0"/>
          <w:sz w:val="24"/>
          <w:lang w:val="en-US" w:bidi="ar"/>
        </w:rPr>
        <w:t xml:space="preserve">主要包括包钢厂区，展现钢铁记忆、 坚实厚重的工业文化风貌，重点保护包钢工业文化遗产。区域整体采用低强度开发策略，限制区域整体的建筑高度。注重改善区域内休闲娱乐设施，完善公共服务设施，提升区域环境品质。 </w:t>
      </w:r>
    </w:p>
    <w:p w14:paraId="57AC76FE">
      <w:pPr>
        <w:widowControl/>
        <w:spacing w:after="166"/>
        <w:ind w:firstLine="480"/>
        <w:jc w:val="left"/>
      </w:pPr>
      <w:r>
        <w:rPr>
          <w:rFonts w:ascii="黑体" w:hAnsi="黑体" w:eastAsia="黑体" w:cs="黑体"/>
          <w:color w:val="000000"/>
          <w:kern w:val="0"/>
          <w:sz w:val="24"/>
          <w:lang w:val="en-US" w:bidi="ar"/>
        </w:rPr>
        <w:t>特色宜居风貌区。</w:t>
      </w:r>
      <w:r>
        <w:rPr>
          <w:rFonts w:ascii="宋体" w:hAnsi="宋体" w:cs="宋体"/>
          <w:color w:val="000000"/>
          <w:kern w:val="0"/>
          <w:sz w:val="24"/>
          <w:lang w:val="en-US" w:bidi="ar"/>
        </w:rPr>
        <w:t>主要包括城区组团的居住、商业和办公建筑集中片区。该风貌区重点展现当地居民不同时期建设的建筑风貌以及反映当地风情的人文景观。可通过强化街道空间塑造来提升生活空间品质，展现对外人文形象。</w:t>
      </w:r>
      <w:r>
        <w:rPr>
          <w:rFonts w:ascii="仿宋_GB2312" w:hAnsi="宋体" w:eastAsia="仿宋_GB2312" w:cs="仿宋_GB2312"/>
          <w:color w:val="000000"/>
          <w:kern w:val="0"/>
          <w:sz w:val="31"/>
          <w:szCs w:val="31"/>
          <w:lang w:val="en-US" w:bidi="ar"/>
        </w:rPr>
        <w:t xml:space="preserve"> </w:t>
      </w:r>
    </w:p>
    <w:p w14:paraId="03E89022">
      <w:pPr>
        <w:widowControl/>
        <w:spacing w:after="166"/>
        <w:ind w:firstLine="480"/>
        <w:jc w:val="left"/>
      </w:pPr>
      <w:r>
        <w:rPr>
          <w:rFonts w:ascii="黑体" w:hAnsi="黑体" w:eastAsia="黑体" w:cs="黑体"/>
          <w:color w:val="000000"/>
          <w:kern w:val="0"/>
          <w:sz w:val="24"/>
          <w:lang w:val="en-US" w:bidi="ar"/>
        </w:rPr>
        <w:t>城市门户风貌区。</w:t>
      </w:r>
      <w:r>
        <w:rPr>
          <w:rFonts w:ascii="宋体" w:hAnsi="宋体" w:cs="宋体"/>
          <w:color w:val="000000"/>
          <w:kern w:val="0"/>
          <w:sz w:val="24"/>
          <w:lang w:val="en-US" w:bidi="ar"/>
        </w:rPr>
        <w:t>包括站前门户风貌区和南部</w:t>
      </w:r>
      <w:r>
        <w:rPr>
          <w:rFonts w:hint="eastAsia" w:ascii="宋体" w:hAnsi="宋体" w:cs="宋体"/>
          <w:color w:val="000000"/>
          <w:kern w:val="0"/>
          <w:sz w:val="24"/>
          <w:lang w:val="en-US" w:eastAsia="zh" w:bidi="ar"/>
        </w:rPr>
        <w:t>（转盘）</w:t>
      </w:r>
      <w:r>
        <w:rPr>
          <w:rFonts w:ascii="宋体" w:hAnsi="宋体" w:cs="宋体"/>
          <w:color w:val="000000"/>
          <w:kern w:val="0"/>
          <w:sz w:val="24"/>
          <w:lang w:val="en-US" w:bidi="ar"/>
        </w:rPr>
        <w:t>门户风貌区。该风貌区是承接外来游客的重要片区，是展现白云鄂博矿区形象的第一站，围绕白云鄂博站和白云鄂博汽车客运站，打造标志性节点，形成具有矿区特色的门户风貌。</w:t>
      </w:r>
      <w:r>
        <w:rPr>
          <w:rFonts w:ascii="仿宋_GB2312" w:hAnsi="宋体" w:eastAsia="仿宋_GB2312" w:cs="仿宋_GB2312"/>
          <w:color w:val="000000"/>
          <w:kern w:val="0"/>
          <w:sz w:val="31"/>
          <w:szCs w:val="31"/>
          <w:lang w:val="en-US" w:bidi="ar"/>
        </w:rPr>
        <w:t xml:space="preserve"> </w:t>
      </w:r>
    </w:p>
    <w:p w14:paraId="07A12292">
      <w:pPr>
        <w:widowControl/>
        <w:spacing w:after="166"/>
        <w:ind w:firstLine="480"/>
        <w:jc w:val="left"/>
        <w:rPr>
          <w:rFonts w:hint="eastAsia" w:ascii="宋体" w:hAnsi="宋体" w:cs="宋体"/>
          <w:color w:val="000000"/>
          <w:kern w:val="0"/>
          <w:sz w:val="24"/>
          <w:lang w:val="en-US" w:bidi="ar"/>
        </w:rPr>
      </w:pPr>
      <w:r>
        <w:rPr>
          <w:rFonts w:ascii="黑体" w:hAnsi="黑体" w:eastAsia="黑体" w:cs="黑体"/>
          <w:color w:val="000000"/>
          <w:kern w:val="0"/>
          <w:sz w:val="24"/>
          <w:lang w:val="en-US" w:bidi="ar"/>
        </w:rPr>
        <w:t>景园融合</w:t>
      </w:r>
      <w:r>
        <w:rPr>
          <w:rFonts w:hint="eastAsia" w:ascii="黑体" w:hAnsi="黑体" w:eastAsia="黑体" w:cs="黑体"/>
          <w:color w:val="000000"/>
          <w:kern w:val="0"/>
          <w:sz w:val="24"/>
          <w:lang w:val="en-US" w:eastAsia="zh" w:bidi="ar"/>
        </w:rPr>
        <w:t>风貌</w:t>
      </w:r>
      <w:r>
        <w:rPr>
          <w:rFonts w:ascii="黑体" w:hAnsi="黑体" w:eastAsia="黑体" w:cs="黑体"/>
          <w:color w:val="000000"/>
          <w:kern w:val="0"/>
          <w:sz w:val="24"/>
          <w:lang w:val="en-US" w:bidi="ar"/>
        </w:rPr>
        <w:t>区。</w:t>
      </w:r>
      <w:r>
        <w:rPr>
          <w:rFonts w:ascii="宋体" w:hAnsi="宋体" w:cs="宋体"/>
          <w:color w:val="000000"/>
          <w:kern w:val="0"/>
          <w:sz w:val="24"/>
          <w:lang w:val="en-US" w:bidi="ar"/>
        </w:rPr>
        <w:t xml:space="preserve">主要包括矿山公园、湿地公园等城区组团的绿地空间。该风貌区以人文绿地景观为主，通过生态修复丰富城市内部绿地景观风貌，可通过慢行步道、休闲驿站等建设进一步优化多层次的公共休闲空间。 </w:t>
      </w:r>
    </w:p>
    <w:p w14:paraId="12AB8338">
      <w:pPr>
        <w:pStyle w:val="5"/>
        <w:numPr>
          <w:ilvl w:val="0"/>
          <w:numId w:val="49"/>
        </w:numPr>
        <w:rPr>
          <w:rFonts w:hint="eastAsia"/>
          <w:lang w:bidi="ar"/>
        </w:rPr>
      </w:pPr>
      <w:r>
        <w:rPr>
          <w:rFonts w:hint="eastAsia"/>
          <w:lang w:eastAsia="zh" w:bidi="ar"/>
        </w:rPr>
        <w:t>重要</w:t>
      </w:r>
      <w:r>
        <w:rPr>
          <w:rFonts w:hint="eastAsia"/>
          <w:lang w:bidi="ar"/>
        </w:rPr>
        <w:t xml:space="preserve">界面 </w:t>
      </w:r>
    </w:p>
    <w:p w14:paraId="38688A13">
      <w:pPr>
        <w:widowControl/>
        <w:spacing w:after="166"/>
        <w:ind w:firstLine="480"/>
        <w:jc w:val="left"/>
      </w:pPr>
      <w:r>
        <w:rPr>
          <w:rFonts w:ascii="黑体" w:hAnsi="黑体" w:eastAsia="黑体" w:cs="黑体"/>
          <w:color w:val="000000"/>
          <w:kern w:val="0"/>
          <w:sz w:val="24"/>
          <w:lang w:val="en-US" w:bidi="ar"/>
        </w:rPr>
        <w:t>主要城镇界面</w:t>
      </w:r>
      <w:r>
        <w:rPr>
          <w:rFonts w:ascii="宋体" w:hAnsi="宋体" w:cs="宋体"/>
          <w:color w:val="000000"/>
          <w:kern w:val="0"/>
          <w:sz w:val="24"/>
          <w:lang w:val="en-US" w:bidi="ar"/>
        </w:rPr>
        <w:t>。</w:t>
      </w:r>
      <w:r>
        <w:rPr>
          <w:rFonts w:hint="eastAsia" w:ascii="宋体" w:hAnsi="宋体" w:cs="宋体"/>
          <w:color w:val="000000"/>
          <w:kern w:val="0"/>
          <w:sz w:val="24"/>
          <w:lang w:val="en-US" w:eastAsia="zh" w:bidi="ar"/>
        </w:rPr>
        <w:t>沿白云鄂博大街、矿山路、通阳道</w:t>
      </w:r>
      <w:r>
        <w:rPr>
          <w:rFonts w:ascii="宋体" w:hAnsi="宋体" w:cs="宋体"/>
          <w:color w:val="000000"/>
          <w:kern w:val="0"/>
          <w:sz w:val="24"/>
          <w:lang w:val="en-US" w:bidi="ar"/>
        </w:rPr>
        <w:t>与</w:t>
      </w:r>
      <w:r>
        <w:rPr>
          <w:rFonts w:hint="eastAsia" w:ascii="宋体" w:hAnsi="宋体" w:cs="宋体"/>
          <w:color w:val="000000"/>
          <w:kern w:val="0"/>
          <w:sz w:val="24"/>
          <w:lang w:val="en-US" w:eastAsia="zh" w:bidi="ar"/>
        </w:rPr>
        <w:t>沿线土地利用</w:t>
      </w:r>
      <w:r>
        <w:rPr>
          <w:rFonts w:ascii="宋体" w:hAnsi="宋体" w:cs="宋体"/>
          <w:color w:val="000000"/>
          <w:kern w:val="0"/>
          <w:sz w:val="24"/>
          <w:lang w:val="en-US" w:bidi="ar"/>
        </w:rPr>
        <w:t>协调</w:t>
      </w:r>
      <w:r>
        <w:rPr>
          <w:rFonts w:hint="eastAsia" w:ascii="宋体" w:hAnsi="宋体" w:cs="宋体"/>
          <w:color w:val="000000"/>
          <w:kern w:val="0"/>
          <w:sz w:val="24"/>
          <w:lang w:val="en-US" w:eastAsia="zh" w:bidi="ar"/>
        </w:rPr>
        <w:t>，</w:t>
      </w:r>
      <w:r>
        <w:rPr>
          <w:rFonts w:ascii="宋体" w:hAnsi="宋体" w:cs="宋体"/>
          <w:color w:val="000000"/>
          <w:kern w:val="0"/>
          <w:sz w:val="24"/>
          <w:lang w:val="en-US" w:bidi="ar"/>
        </w:rPr>
        <w:t>形成</w:t>
      </w:r>
      <w:r>
        <w:rPr>
          <w:rFonts w:hint="eastAsia" w:ascii="宋体" w:hAnsi="宋体" w:cs="宋体"/>
          <w:color w:val="000000"/>
          <w:kern w:val="0"/>
          <w:sz w:val="24"/>
          <w:lang w:val="en-US" w:eastAsia="zh" w:bidi="ar"/>
        </w:rPr>
        <w:t>差异化</w:t>
      </w:r>
      <w:r>
        <w:rPr>
          <w:rFonts w:ascii="宋体" w:hAnsi="宋体" w:cs="宋体"/>
          <w:color w:val="000000"/>
          <w:kern w:val="0"/>
          <w:sz w:val="24"/>
          <w:lang w:val="en-US" w:bidi="ar"/>
        </w:rPr>
        <w:t>风格的城镇界面。生活区风貌以高低错落、富有韵律为特色，商业区风貌 以灵活多变、富有活力为特色，生态绿廊内的自然开放，避免呆板单调的城镇界面。</w:t>
      </w:r>
      <w:r>
        <w:rPr>
          <w:rFonts w:ascii="仿宋_GB2312" w:hAnsi="宋体" w:eastAsia="仿宋_GB2312" w:cs="仿宋_GB2312"/>
          <w:color w:val="000000"/>
          <w:kern w:val="0"/>
          <w:sz w:val="31"/>
          <w:szCs w:val="31"/>
          <w:lang w:val="en-US" w:bidi="ar"/>
        </w:rPr>
        <w:t xml:space="preserve"> </w:t>
      </w:r>
    </w:p>
    <w:p w14:paraId="245B6C96">
      <w:pPr>
        <w:widowControl/>
        <w:spacing w:after="166"/>
        <w:ind w:firstLine="480"/>
        <w:jc w:val="left"/>
      </w:pPr>
      <w:r>
        <w:rPr>
          <w:rFonts w:ascii="黑体" w:hAnsi="黑体" w:eastAsia="黑体" w:cs="黑体"/>
          <w:color w:val="000000"/>
          <w:kern w:val="0"/>
          <w:sz w:val="24"/>
          <w:lang w:val="en-US" w:bidi="ar"/>
        </w:rPr>
        <w:t>沿绿城市界面。</w:t>
      </w:r>
      <w:r>
        <w:rPr>
          <w:rFonts w:ascii="宋体" w:hAnsi="宋体" w:cs="宋体"/>
          <w:color w:val="000000"/>
          <w:kern w:val="0"/>
          <w:sz w:val="24"/>
          <w:lang w:val="en-US" w:bidi="ar"/>
        </w:rPr>
        <w:t>以尊重自然、亲近自然为原则，通过植被、城镇家具设施等的布置，塑造收放有序、人工与自然相结合的沿绿城镇界面。</w:t>
      </w:r>
      <w:r>
        <w:rPr>
          <w:rFonts w:ascii="仿宋_GB2312" w:hAnsi="宋体" w:eastAsia="仿宋_GB2312" w:cs="仿宋_GB2312"/>
          <w:color w:val="000000"/>
          <w:kern w:val="0"/>
          <w:sz w:val="31"/>
          <w:szCs w:val="31"/>
          <w:lang w:val="en-US" w:bidi="ar"/>
        </w:rPr>
        <w:t xml:space="preserve"> </w:t>
      </w:r>
    </w:p>
    <w:p w14:paraId="59DC7471">
      <w:pPr>
        <w:widowControl/>
        <w:spacing w:after="166"/>
        <w:ind w:firstLine="480"/>
        <w:jc w:val="left"/>
        <w:rPr>
          <w:rFonts w:hint="eastAsia" w:ascii="宋体" w:hAnsi="宋体" w:cs="宋体"/>
          <w:color w:val="000000"/>
          <w:kern w:val="0"/>
          <w:sz w:val="24"/>
          <w:lang w:val="en-US" w:eastAsia="zh" w:bidi="ar"/>
        </w:rPr>
      </w:pPr>
      <w:r>
        <w:rPr>
          <w:rFonts w:ascii="黑体" w:hAnsi="黑体" w:eastAsia="黑体" w:cs="黑体"/>
          <w:color w:val="000000"/>
          <w:kern w:val="0"/>
          <w:sz w:val="24"/>
          <w:lang w:val="en-US" w:bidi="ar"/>
        </w:rPr>
        <w:t>沿路城镇界面。</w:t>
      </w:r>
      <w:r>
        <w:rPr>
          <w:rFonts w:ascii="宋体" w:hAnsi="宋体" w:cs="宋体"/>
          <w:color w:val="000000"/>
          <w:kern w:val="0"/>
          <w:sz w:val="24"/>
          <w:lang w:val="en-US" w:bidi="ar"/>
        </w:rPr>
        <w:t>提升沿主要对外交通线路城镇界面，统筹生态绿廊的规划安排，基于不同的道路景观要素，形成软质景观界面和硬质景观界面两种不同沿路城镇景观界面。</w:t>
      </w:r>
    </w:p>
    <w:p w14:paraId="002528C0">
      <w:pPr>
        <w:pStyle w:val="5"/>
        <w:numPr>
          <w:ilvl w:val="0"/>
          <w:numId w:val="49"/>
        </w:numPr>
        <w:rPr>
          <w:rFonts w:hint="eastAsia"/>
          <w:lang w:bidi="ar"/>
        </w:rPr>
      </w:pPr>
      <w:r>
        <w:rPr>
          <w:rFonts w:hint="eastAsia"/>
          <w:lang w:bidi="ar"/>
        </w:rPr>
        <w:t xml:space="preserve">景观廊道 </w:t>
      </w:r>
    </w:p>
    <w:p w14:paraId="7FEDF4E7">
      <w:pPr>
        <w:widowControl/>
        <w:spacing w:after="166"/>
        <w:ind w:firstLine="480"/>
        <w:jc w:val="left"/>
        <w:rPr>
          <w:rFonts w:hint="eastAsia" w:ascii="宋体" w:hAnsi="宋体" w:cs="宋体"/>
          <w:color w:val="000000"/>
          <w:kern w:val="0"/>
          <w:sz w:val="24"/>
          <w:lang w:val="en-US" w:bidi="ar"/>
        </w:rPr>
      </w:pPr>
      <w:r>
        <w:rPr>
          <w:rFonts w:hint="eastAsia" w:ascii="宋体" w:hAnsi="宋体" w:cs="宋体"/>
          <w:color w:val="000000"/>
          <w:kern w:val="0"/>
          <w:sz w:val="24"/>
          <w:lang w:val="en-US" w:eastAsia="zh" w:bidi="ar"/>
        </w:rPr>
        <w:t>规划白云鄂博大街和中央公园带</w:t>
      </w:r>
      <w:r>
        <w:rPr>
          <w:rFonts w:hint="eastAsia" w:ascii="宋体" w:hAnsi="宋体" w:cs="宋体"/>
          <w:color w:val="000000"/>
          <w:kern w:val="0"/>
          <w:sz w:val="24"/>
          <w:lang w:val="en-US" w:bidi="ar"/>
        </w:rPr>
        <w:t xml:space="preserve">作为规划区内主要公共建筑景观廊道，要求后期建设应对其两侧的建筑界面和绿化景观进行精心设计，展现罗浮特色旅游小镇风貌。同时，保障牛吼江沿线的视线畅通，以及滨水绿地的景观丰富性。 </w:t>
      </w:r>
    </w:p>
    <w:p w14:paraId="01C7DADB">
      <w:pPr>
        <w:pStyle w:val="5"/>
        <w:numPr>
          <w:ilvl w:val="0"/>
          <w:numId w:val="49"/>
        </w:numPr>
        <w:rPr>
          <w:rFonts w:hint="eastAsia"/>
          <w:lang w:bidi="ar"/>
        </w:rPr>
      </w:pPr>
      <w:r>
        <w:rPr>
          <w:rFonts w:hint="eastAsia"/>
          <w:lang w:bidi="ar"/>
        </w:rPr>
        <w:t xml:space="preserve">景观节点 </w:t>
      </w:r>
    </w:p>
    <w:p w14:paraId="6BE02FB2">
      <w:pPr>
        <w:widowControl/>
        <w:spacing w:after="166"/>
        <w:ind w:firstLine="500"/>
        <w:jc w:val="left"/>
        <w:rPr>
          <w:lang w:val="en-US"/>
        </w:rPr>
      </w:pPr>
      <w:r>
        <w:rPr>
          <w:rFonts w:hint="eastAsia"/>
          <w:lang w:val="en-US" w:bidi="ar"/>
        </w:rPr>
        <w:t>共设置</w:t>
      </w:r>
      <w:r>
        <w:rPr>
          <w:rFonts w:hint="eastAsia"/>
          <w:lang w:val="en-US" w:eastAsia="zh" w:bidi="ar"/>
        </w:rPr>
        <w:t>城市</w:t>
      </w:r>
      <w:r>
        <w:rPr>
          <w:rFonts w:hint="eastAsia"/>
          <w:lang w:val="en-US" w:bidi="ar"/>
        </w:rPr>
        <w:t>建筑</w:t>
      </w:r>
      <w:r>
        <w:rPr>
          <w:rFonts w:hint="eastAsia"/>
          <w:lang w:val="en-US" w:eastAsia="zh" w:bidi="ar"/>
        </w:rPr>
        <w:t>和绿地景观节点等两类</w:t>
      </w:r>
      <w:r>
        <w:rPr>
          <w:rFonts w:hint="eastAsia"/>
          <w:lang w:val="en-US" w:bidi="ar"/>
        </w:rPr>
        <w:t>空间节点，</w:t>
      </w:r>
      <w:r>
        <w:rPr>
          <w:rFonts w:hint="eastAsia"/>
          <w:lang w:val="en-US" w:eastAsia="zh" w:bidi="ar"/>
        </w:rPr>
        <w:t>城市</w:t>
      </w:r>
      <w:r>
        <w:rPr>
          <w:rFonts w:hint="eastAsia"/>
          <w:lang w:val="en-US" w:bidi="ar"/>
        </w:rPr>
        <w:t>建筑节点</w:t>
      </w:r>
      <w:r>
        <w:rPr>
          <w:rFonts w:hint="eastAsia"/>
          <w:lang w:val="en-US" w:eastAsia="zh" w:bidi="ar"/>
        </w:rPr>
        <w:t>包括</w:t>
      </w:r>
      <w:r>
        <w:rPr>
          <w:rFonts w:hint="eastAsia"/>
          <w:lang w:val="en-US" w:bidi="ar"/>
        </w:rPr>
        <w:t>：</w:t>
      </w:r>
      <w:r>
        <w:rPr>
          <w:rFonts w:hint="eastAsia"/>
          <w:lang w:val="en-US" w:eastAsia="zh" w:bidi="ar"/>
        </w:rPr>
        <w:t>白云城区门户（白云鄂博大街与通阳道交汇处）、白云鄂博火车站（矿山路西端）、道衡广场——再就业市场（矿山路和通阳道交汇处）、草原英雄小姐妹纪念馆等，框定城区主要节点与边界</w:t>
      </w:r>
      <w:r>
        <w:rPr>
          <w:rFonts w:hint="eastAsia"/>
          <w:lang w:val="en-US" w:bidi="ar"/>
        </w:rPr>
        <w:t>。绿地</w:t>
      </w:r>
      <w:r>
        <w:rPr>
          <w:rFonts w:hint="eastAsia"/>
          <w:lang w:val="en-US" w:eastAsia="zh" w:bidi="ar"/>
        </w:rPr>
        <w:t>景观</w:t>
      </w:r>
      <w:r>
        <w:rPr>
          <w:rFonts w:hint="eastAsia"/>
          <w:lang w:val="en-US" w:bidi="ar"/>
        </w:rPr>
        <w:t>节点</w:t>
      </w:r>
      <w:r>
        <w:rPr>
          <w:rFonts w:hint="eastAsia"/>
          <w:lang w:val="en-US" w:eastAsia="zh" w:bidi="ar"/>
        </w:rPr>
        <w:t>包括矿山公园敖包、稀土广场（湿地公园北）、塔拉公园、丁香园等</w:t>
      </w:r>
      <w:r>
        <w:rPr>
          <w:rFonts w:hint="eastAsia"/>
          <w:lang w:val="en-US" w:bidi="ar"/>
        </w:rPr>
        <w:t xml:space="preserve">。 </w:t>
      </w:r>
    </w:p>
    <w:p w14:paraId="29AFF601">
      <w:pPr>
        <w:pStyle w:val="3"/>
        <w:numPr>
          <w:ilvl w:val="1"/>
          <w:numId w:val="5"/>
        </w:numPr>
        <w:spacing w:before="332" w:after="166"/>
        <w:rPr>
          <w:rFonts w:hint="eastAsia"/>
        </w:rPr>
      </w:pPr>
      <w:r>
        <w:rPr>
          <w:rFonts w:hint="eastAsia"/>
        </w:rPr>
        <w:t>空间形态设计引导</w:t>
      </w:r>
    </w:p>
    <w:p w14:paraId="1B640DAC">
      <w:pPr>
        <w:bidi w:val="0"/>
        <w:rPr>
          <w:rFonts w:hint="eastAsia"/>
          <w:lang w:val="en-US" w:eastAsia="zh"/>
        </w:rPr>
      </w:pPr>
      <w:r>
        <w:rPr>
          <w:rFonts w:hint="eastAsia"/>
          <w:lang w:val="en-US" w:eastAsia="zh"/>
        </w:rPr>
        <w:t xml:space="preserve">规划区内应协调道路、片区、节点等空间要素的组织关联，形成和谐、有序的空间景观特征，构建外部形象展示面良好、内部空间变化丰富的良好风貌。 </w:t>
      </w:r>
    </w:p>
    <w:p w14:paraId="55EA5526">
      <w:pPr>
        <w:bidi w:val="0"/>
        <w:rPr>
          <w:rFonts w:hint="eastAsia"/>
          <w:lang w:val="en-US" w:eastAsia="zh"/>
        </w:rPr>
      </w:pPr>
      <w:r>
        <w:rPr>
          <w:rFonts w:hint="eastAsia"/>
          <w:lang w:val="en-US" w:eastAsia="zh"/>
        </w:rPr>
        <w:t>01单元 引导形成沿矿山公园生态城市界面和沿矿山路沿线活力城市界面加强矿山公园绿地景观向城市渗透，因循地形形成错落起伏、高密有机的城市空间格局。矿山路西侧结合火车站商业服务节点，结合公园绿地建设城市文体休闲场所，沿线居住区保留传统工人住区风貌进行有机更新。</w:t>
      </w:r>
    </w:p>
    <w:p w14:paraId="2A658D83">
      <w:pPr>
        <w:bidi w:val="0"/>
        <w:rPr>
          <w:rFonts w:hint="eastAsia"/>
          <w:lang w:val="en-US" w:eastAsia="zh"/>
        </w:rPr>
      </w:pPr>
      <w:r>
        <w:rPr>
          <w:rFonts w:hint="eastAsia"/>
          <w:lang w:val="en-US" w:eastAsia="zh"/>
        </w:rPr>
        <w:t>02单元 引导沿矿山路和百灵道T型公共活力轴线，引导塔拉公园联通形成开敬连续的城市旅游公园，同时结合道衡广场-穿心街建设区级商业中心节点，形成公园商业意象。引导地质道沿线城市更新形成都市工业发展区</w:t>
      </w:r>
    </w:p>
    <w:p w14:paraId="1E39E04A">
      <w:pPr>
        <w:bidi w:val="0"/>
        <w:rPr>
          <w:rFonts w:hint="eastAsia"/>
          <w:lang w:val="en-US" w:eastAsia="zh"/>
        </w:rPr>
      </w:pPr>
      <w:r>
        <w:rPr>
          <w:rFonts w:hint="eastAsia"/>
          <w:lang w:val="en-US" w:eastAsia="zh"/>
        </w:rPr>
        <w:t>03单元 塑造白云鄂博大街、通阳道城市轴线景观风貌，形成连续完成城市界面，打造转盘中心节点城市门户意象，四角设置标志性建筑。进一步完善湿地公园、丁香园游憩功能，打造园城相融的生态城市片区。</w:t>
      </w:r>
    </w:p>
    <w:p w14:paraId="788FD2CC">
      <w:pPr>
        <w:bidi w:val="0"/>
        <w:rPr>
          <w:rFonts w:hint="eastAsia"/>
          <w:lang w:val="en-US" w:eastAsia="zh"/>
        </w:rPr>
      </w:pPr>
      <w:r>
        <w:rPr>
          <w:rFonts w:hint="eastAsia"/>
          <w:lang w:val="en-US" w:eastAsia="zh"/>
        </w:rPr>
        <w:t>04单元 沿矿山路、稀土大街形成商业活力界面，引导新建居住区集约建设、完善居住用地与社区配套，形成现代宜居城市风貌。</w:t>
      </w:r>
    </w:p>
    <w:p w14:paraId="7A57F288">
      <w:pPr>
        <w:bidi w:val="0"/>
        <w:rPr>
          <w:rFonts w:hint="eastAsia"/>
          <w:lang w:val="en-US" w:eastAsia="zh"/>
        </w:rPr>
      </w:pPr>
      <w:r>
        <w:rPr>
          <w:rFonts w:hint="eastAsia"/>
          <w:lang w:val="en-US" w:eastAsia="zh"/>
        </w:rPr>
        <w:t>05单元 塑造白云鄂博大街、通阳道城市轴线景观风貌，塑造国道沿线仓储物流片区产城融合风貌。</w:t>
      </w:r>
    </w:p>
    <w:p w14:paraId="326633E6">
      <w:pPr>
        <w:pStyle w:val="3"/>
        <w:numPr>
          <w:ilvl w:val="1"/>
          <w:numId w:val="5"/>
        </w:numPr>
        <w:spacing w:before="332" w:after="166"/>
        <w:rPr>
          <w:rFonts w:hint="eastAsia"/>
        </w:rPr>
      </w:pPr>
      <w:r>
        <w:rPr>
          <w:rFonts w:hint="eastAsia"/>
        </w:rPr>
        <w:t xml:space="preserve">建筑与公共空间设计指引 </w:t>
      </w:r>
    </w:p>
    <w:p w14:paraId="15E28BAD">
      <w:pPr>
        <w:widowControl/>
        <w:spacing w:after="166"/>
        <w:ind w:firstLine="480"/>
        <w:jc w:val="left"/>
        <w:rPr>
          <w:rFonts w:hint="eastAsia" w:ascii="宋体" w:hAnsi="宋体" w:cs="宋体"/>
          <w:color w:val="000000"/>
          <w:kern w:val="0"/>
          <w:sz w:val="24"/>
          <w:lang w:val="en-US" w:eastAsia="zh" w:bidi="ar"/>
        </w:rPr>
      </w:pPr>
      <w:r>
        <w:rPr>
          <w:rFonts w:hint="eastAsia" w:ascii="宋体" w:hAnsi="宋体" w:cs="宋体"/>
          <w:color w:val="000000"/>
          <w:kern w:val="0"/>
          <w:sz w:val="24"/>
          <w:lang w:val="en-US" w:eastAsia="zh" w:bidi="ar"/>
        </w:rPr>
        <w:t xml:space="preserve">规划区内新建、改建、扩建的建筑工程，其建筑造型及立面设计、装饰装修等必须与周围环境相协调。 </w:t>
      </w:r>
    </w:p>
    <w:p w14:paraId="1C55AAFF">
      <w:pPr>
        <w:pStyle w:val="5"/>
        <w:numPr>
          <w:ilvl w:val="0"/>
          <w:numId w:val="50"/>
        </w:numPr>
        <w:rPr>
          <w:rFonts w:hint="eastAsia"/>
          <w:lang w:bidi="ar"/>
        </w:rPr>
      </w:pPr>
      <w:r>
        <w:rPr>
          <w:rFonts w:hint="eastAsia"/>
          <w:lang w:bidi="ar"/>
        </w:rPr>
        <w:t xml:space="preserve">绿色开敞空间 </w:t>
      </w:r>
    </w:p>
    <w:p w14:paraId="3771D10F">
      <w:pPr>
        <w:widowControl/>
        <w:spacing w:after="166"/>
        <w:ind w:firstLine="758" w:firstLineChars="316"/>
        <w:jc w:val="left"/>
        <w:rPr>
          <w:rFonts w:hint="eastAsia" w:ascii="宋体" w:hAnsi="宋体" w:cs="宋体"/>
          <w:color w:val="000000"/>
          <w:kern w:val="0"/>
          <w:sz w:val="24"/>
          <w:lang w:val="en-US" w:bidi="ar"/>
        </w:rPr>
      </w:pPr>
      <w:r>
        <w:rPr>
          <w:rFonts w:hint="eastAsia" w:ascii="宋体" w:hAnsi="宋体" w:cs="宋体"/>
          <w:color w:val="000000"/>
          <w:kern w:val="0"/>
          <w:sz w:val="24"/>
          <w:lang w:val="en-US" w:bidi="ar"/>
        </w:rPr>
        <w:t>通过公园绿地、水系绿道等开敞空间与商业地块内部空间建立联系，形成具有</w:t>
      </w:r>
      <w:r>
        <w:rPr>
          <w:rFonts w:hint="eastAsia" w:ascii="宋体" w:hAnsi="宋体" w:cs="宋体"/>
          <w:color w:val="000000"/>
          <w:kern w:val="0"/>
          <w:sz w:val="24"/>
          <w:lang w:val="en-US" w:eastAsia="zh" w:bidi="ar"/>
        </w:rPr>
        <w:t>白云矿区</w:t>
      </w:r>
      <w:r>
        <w:rPr>
          <w:rFonts w:hint="eastAsia" w:ascii="宋体" w:hAnsi="宋体" w:cs="宋体"/>
          <w:color w:val="000000"/>
          <w:kern w:val="0"/>
          <w:sz w:val="24"/>
          <w:lang w:val="en-US" w:bidi="ar"/>
        </w:rPr>
        <w:t xml:space="preserve">风貌特色的绿色开敞空间，并规划布局连贯连续的步道网络。 </w:t>
      </w:r>
    </w:p>
    <w:p w14:paraId="5044D31F">
      <w:pPr>
        <w:pStyle w:val="5"/>
        <w:numPr>
          <w:ilvl w:val="0"/>
          <w:numId w:val="50"/>
        </w:numPr>
        <w:rPr>
          <w:rFonts w:hint="eastAsia"/>
          <w:lang w:bidi="ar"/>
        </w:rPr>
      </w:pPr>
      <w:r>
        <w:rPr>
          <w:rFonts w:hint="eastAsia"/>
          <w:lang w:bidi="ar"/>
        </w:rPr>
        <w:t xml:space="preserve">商业、娱乐和文体休闲空间 </w:t>
      </w:r>
    </w:p>
    <w:p w14:paraId="0B7AF51F">
      <w:pPr>
        <w:widowControl/>
        <w:spacing w:after="166"/>
        <w:ind w:firstLine="480"/>
        <w:jc w:val="left"/>
      </w:pPr>
      <w:r>
        <w:rPr>
          <w:rFonts w:hint="eastAsia" w:ascii="宋体" w:hAnsi="宋体" w:cs="宋体"/>
          <w:color w:val="000000"/>
          <w:kern w:val="0"/>
          <w:sz w:val="24"/>
          <w:lang w:val="en-US" w:bidi="ar"/>
        </w:rPr>
        <w:t xml:space="preserve">组织立体化、活跃的的商业娱乐空间；构建完善的步行网络，注重景观环境设计。 </w:t>
      </w:r>
    </w:p>
    <w:p w14:paraId="210E920A">
      <w:pPr>
        <w:pStyle w:val="5"/>
        <w:numPr>
          <w:ilvl w:val="0"/>
          <w:numId w:val="50"/>
        </w:numPr>
        <w:rPr>
          <w:rFonts w:hint="eastAsia"/>
          <w:lang w:bidi="ar"/>
        </w:rPr>
      </w:pPr>
      <w:r>
        <w:rPr>
          <w:rFonts w:hint="eastAsia"/>
          <w:lang w:bidi="ar"/>
        </w:rPr>
        <w:t xml:space="preserve">居住空间 </w:t>
      </w:r>
    </w:p>
    <w:p w14:paraId="1D067A22">
      <w:pPr>
        <w:widowControl/>
        <w:spacing w:after="166"/>
        <w:ind w:firstLine="499" w:firstLineChars="208"/>
        <w:jc w:val="left"/>
        <w:rPr>
          <w:lang w:val="en-US"/>
        </w:rPr>
      </w:pPr>
      <w:r>
        <w:rPr>
          <w:rFonts w:hint="eastAsia" w:ascii="宋体" w:hAnsi="宋体" w:cs="宋体"/>
          <w:color w:val="000000"/>
          <w:kern w:val="0"/>
          <w:sz w:val="24"/>
          <w:lang w:val="en-US" w:bidi="ar"/>
        </w:rPr>
        <w:t>建筑形式采用般条式</w:t>
      </w:r>
      <w:r>
        <w:rPr>
          <w:rFonts w:hint="eastAsia" w:ascii="宋体" w:hAnsi="宋体" w:cs="宋体"/>
          <w:color w:val="000000"/>
          <w:kern w:val="0"/>
          <w:sz w:val="24"/>
          <w:lang w:val="en-US" w:eastAsia="zh" w:bidi="ar"/>
        </w:rPr>
        <w:t>和</w:t>
      </w:r>
      <w:r>
        <w:rPr>
          <w:rFonts w:hint="eastAsia" w:ascii="宋体" w:hAnsi="宋体" w:cs="宋体"/>
          <w:color w:val="000000"/>
          <w:kern w:val="0"/>
          <w:sz w:val="24"/>
          <w:lang w:val="en-US" w:bidi="ar"/>
        </w:rPr>
        <w:t xml:space="preserve">转折条式结合。建筑宜采用现代建筑风格，尽量采用坡屋顶，屋顶色彩可多样化；墙面色彩素雅，一般处理为浅白色或浅暖色，点缀深暖色线条或色块。色调宜柔和、淡雅、温馨，外墙材料以涂料为主，其中下部墙裙可采用石材、原生态木质等装饰材料。 </w:t>
      </w:r>
    </w:p>
    <w:p w14:paraId="564B5C91">
      <w:pPr>
        <w:pStyle w:val="3"/>
        <w:numPr>
          <w:ilvl w:val="1"/>
          <w:numId w:val="5"/>
        </w:numPr>
        <w:spacing w:before="332" w:after="166"/>
        <w:rPr>
          <w:rFonts w:hint="eastAsia"/>
        </w:rPr>
      </w:pPr>
      <w:r>
        <w:rPr>
          <w:rFonts w:hint="eastAsia"/>
        </w:rPr>
        <w:t>环境要素指引</w:t>
      </w:r>
    </w:p>
    <w:p w14:paraId="042D6A98">
      <w:pPr>
        <w:pStyle w:val="5"/>
        <w:numPr>
          <w:ilvl w:val="0"/>
          <w:numId w:val="51"/>
        </w:numPr>
        <w:rPr>
          <w:rFonts w:hint="eastAsia"/>
          <w:lang w:bidi="ar"/>
        </w:rPr>
      </w:pPr>
      <w:r>
        <w:rPr>
          <w:rFonts w:hint="eastAsia"/>
          <w:lang w:bidi="ar"/>
        </w:rPr>
        <w:t xml:space="preserve">夜景照明 </w:t>
      </w:r>
    </w:p>
    <w:p w14:paraId="483D4520">
      <w:pPr>
        <w:spacing w:after="166"/>
        <w:ind w:firstLine="500"/>
      </w:pPr>
      <w:r>
        <w:rPr>
          <w:rFonts w:hint="eastAsia" w:ascii="楷体_GB2312" w:hAnsi="楷体_GB2312" w:eastAsia="楷体_GB2312" w:cs="楷体_GB2312"/>
          <w:lang w:val="en-US"/>
        </w:rPr>
        <w:t>夜景照明重点。</w:t>
      </w:r>
      <w:r>
        <w:rPr>
          <w:rFonts w:hint="eastAsia"/>
          <w:lang w:val="en-US"/>
        </w:rPr>
        <w:t>位于</w:t>
      </w:r>
      <w:r>
        <w:rPr>
          <w:rFonts w:hint="eastAsia"/>
          <w:lang w:val="en-US" w:eastAsia="zh"/>
        </w:rPr>
        <w:t>白云鄂博大街等主要街道和沿线重要</w:t>
      </w:r>
      <w:r>
        <w:rPr>
          <w:rFonts w:hint="eastAsia"/>
          <w:lang w:val="en-US"/>
        </w:rPr>
        <w:t xml:space="preserve">服务设施周边，结合相应构筑物和广场，为夜间的主要的照明区域。 </w:t>
      </w:r>
    </w:p>
    <w:p w14:paraId="570940C4">
      <w:pPr>
        <w:widowControl/>
        <w:spacing w:after="166"/>
        <w:ind w:firstLine="500"/>
        <w:jc w:val="left"/>
      </w:pPr>
      <w:r>
        <w:rPr>
          <w:rFonts w:hint="eastAsia" w:ascii="楷体_GB2312" w:hAnsi="楷体_GB2312" w:eastAsia="楷体_GB2312" w:cs="楷体_GB2312"/>
          <w:lang w:val="en-US"/>
        </w:rPr>
        <w:t>主要照明区。</w:t>
      </w:r>
      <w:r>
        <w:rPr>
          <w:rFonts w:hint="eastAsia"/>
          <w:lang w:val="en-US"/>
        </w:rPr>
        <w:t>规划区内</w:t>
      </w:r>
      <w:r>
        <w:rPr>
          <w:rFonts w:hint="eastAsia"/>
          <w:lang w:val="en-US" w:eastAsia="zh"/>
        </w:rPr>
        <w:t>重要地标节点、高度≥24米的建筑物</w:t>
      </w:r>
      <w:r>
        <w:rPr>
          <w:rFonts w:hint="eastAsia"/>
          <w:lang w:val="en-US"/>
        </w:rPr>
        <w:t>、</w:t>
      </w:r>
      <w:r>
        <w:rPr>
          <w:rFonts w:hint="eastAsia"/>
          <w:lang w:val="en-US" w:eastAsia="zh"/>
        </w:rPr>
        <w:t>文化体育场馆等人口集聚设施、</w:t>
      </w:r>
      <w:r>
        <w:rPr>
          <w:rFonts w:hint="eastAsia"/>
          <w:lang w:val="en-US"/>
        </w:rPr>
        <w:t xml:space="preserve">酒店商业等旅游服务设施是夜间主要照明建筑，可用 LED 灯勾勒建筑外轮廓，用泛光灯烘托其气氛。 </w:t>
      </w:r>
    </w:p>
    <w:p w14:paraId="11498D15">
      <w:pPr>
        <w:widowControl/>
        <w:spacing w:after="166"/>
        <w:ind w:firstLine="500"/>
        <w:jc w:val="left"/>
      </w:pPr>
      <w:r>
        <w:rPr>
          <w:rFonts w:hint="eastAsia" w:ascii="楷体_GB2312" w:hAnsi="楷体_GB2312" w:eastAsia="楷体_GB2312" w:cs="楷体_GB2312"/>
          <w:lang w:val="en-US"/>
        </w:rPr>
        <w:t>主要照明带。</w:t>
      </w:r>
      <w:r>
        <w:rPr>
          <w:rFonts w:hint="eastAsia"/>
          <w:lang w:val="en-US" w:eastAsia="zh"/>
        </w:rPr>
        <w:t>中央公园履带</w:t>
      </w:r>
      <w:r>
        <w:rPr>
          <w:rFonts w:hint="eastAsia"/>
          <w:lang w:val="en-US"/>
        </w:rPr>
        <w:t xml:space="preserve">作为主要景观轴线，以缓色光源的射灯、地灯、草坪灯为主，形成视觉上的“光带”。 </w:t>
      </w:r>
    </w:p>
    <w:p w14:paraId="331DB8B8">
      <w:pPr>
        <w:widowControl/>
        <w:spacing w:after="166"/>
        <w:ind w:firstLine="500"/>
        <w:jc w:val="left"/>
      </w:pPr>
      <w:r>
        <w:rPr>
          <w:rFonts w:hint="eastAsia" w:ascii="楷体_GB2312" w:hAnsi="楷体_GB2312" w:eastAsia="楷体_GB2312" w:cs="楷体_GB2312"/>
          <w:lang w:val="en-US"/>
        </w:rPr>
        <w:t>基础照明区。</w:t>
      </w:r>
      <w:r>
        <w:rPr>
          <w:rFonts w:hint="eastAsia"/>
          <w:lang w:val="en-US"/>
        </w:rPr>
        <w:t xml:space="preserve">其他区域以基础照明为主，多采用草坪灯或和小品相结合的壁灯，以不产生强烈的点光源为宜。 </w:t>
      </w:r>
    </w:p>
    <w:p w14:paraId="0C11F212">
      <w:pPr>
        <w:widowControl/>
        <w:spacing w:after="166"/>
        <w:ind w:firstLine="500"/>
        <w:jc w:val="left"/>
      </w:pPr>
      <w:r>
        <w:rPr>
          <w:rFonts w:hint="eastAsia" w:ascii="楷体_GB2312" w:hAnsi="楷体_GB2312" w:eastAsia="楷体_GB2312" w:cs="楷体_GB2312"/>
          <w:lang w:val="en-US"/>
        </w:rPr>
        <w:t>道路照明。</w:t>
      </w:r>
      <w:r>
        <w:rPr>
          <w:rFonts w:hint="eastAsia"/>
          <w:lang w:val="en-US"/>
        </w:rPr>
        <w:t xml:space="preserve">按规范保证视线辨别和交通安全需要。应体现道路等级，满足引导和辨别的功能。特殊的景观道路可通过道路绿化照明或广告灯箱处理达到不同的效果。 </w:t>
      </w:r>
    </w:p>
    <w:p w14:paraId="73FA136A">
      <w:pPr>
        <w:pStyle w:val="5"/>
        <w:numPr>
          <w:ilvl w:val="0"/>
          <w:numId w:val="51"/>
        </w:numPr>
        <w:rPr>
          <w:rFonts w:hint="eastAsia"/>
          <w:lang w:bidi="ar"/>
        </w:rPr>
      </w:pPr>
      <w:r>
        <w:rPr>
          <w:rFonts w:hint="eastAsia"/>
          <w:lang w:bidi="ar"/>
        </w:rPr>
        <w:t xml:space="preserve">广告标识 </w:t>
      </w:r>
    </w:p>
    <w:p w14:paraId="3376AEFD">
      <w:pPr>
        <w:widowControl/>
        <w:spacing w:after="166"/>
        <w:ind w:firstLine="480"/>
        <w:jc w:val="left"/>
        <w:rPr>
          <w:rFonts w:hint="eastAsia" w:ascii="宋体" w:hAnsi="宋体" w:cs="宋体"/>
          <w:color w:val="000000"/>
          <w:kern w:val="0"/>
          <w:sz w:val="24"/>
          <w:lang w:val="en-US" w:bidi="ar"/>
        </w:rPr>
      </w:pPr>
      <w:r>
        <w:rPr>
          <w:rFonts w:hint="eastAsia" w:ascii="宋体" w:hAnsi="宋体" w:cs="宋体"/>
          <w:color w:val="000000"/>
          <w:kern w:val="0"/>
          <w:sz w:val="24"/>
          <w:lang w:val="en-US" w:bidi="ar"/>
        </w:rPr>
        <w:t xml:space="preserve">禁止在规划区内设置固定的大中型商业广告。广告的安置不应破坏原有的建筑空间感觉和建筑立面。沿干道两侧的多层建筑可安置一些造型简洁的广告牌，一般以高出地面 6 米为宜。商业空间应以演出展览的广告为主，严禁杂乱地安置商业广告。小型广告可结合建筑、设施、小品以及标志系统的灵活设计，为丰富多彩的城市空间提供点缀。 </w:t>
      </w:r>
    </w:p>
    <w:p w14:paraId="102A1425">
      <w:pPr>
        <w:pStyle w:val="5"/>
        <w:numPr>
          <w:ilvl w:val="0"/>
          <w:numId w:val="51"/>
        </w:numPr>
        <w:rPr>
          <w:rFonts w:hint="eastAsia"/>
          <w:lang w:bidi="ar"/>
        </w:rPr>
      </w:pPr>
      <w:r>
        <w:rPr>
          <w:rFonts w:hint="eastAsia"/>
          <w:lang w:bidi="ar"/>
        </w:rPr>
        <w:t xml:space="preserve">无障碍设计 </w:t>
      </w:r>
    </w:p>
    <w:p w14:paraId="73DA2330">
      <w:pPr>
        <w:widowControl/>
        <w:spacing w:after="166"/>
        <w:ind w:firstLine="480"/>
        <w:jc w:val="left"/>
        <w:rPr>
          <w:rFonts w:hint="eastAsia" w:ascii="宋体" w:hAnsi="宋体" w:cs="宋体"/>
          <w:color w:val="000000"/>
          <w:kern w:val="0"/>
          <w:sz w:val="24"/>
          <w:lang w:val="en-US" w:bidi="ar"/>
        </w:rPr>
      </w:pPr>
      <w:r>
        <w:rPr>
          <w:rFonts w:hint="eastAsia" w:ascii="宋体" w:hAnsi="宋体" w:cs="宋体"/>
          <w:color w:val="000000"/>
          <w:kern w:val="0"/>
          <w:sz w:val="24"/>
          <w:lang w:val="en-US" w:bidi="ar"/>
        </w:rPr>
        <w:t xml:space="preserve">规划区内的公共活动空间、步行系统、广场、公共场所和建筑物出入口等区域，有高差的地方均应设计方便步行或轮椅通行的坡道。在城市主要的人行道应铺设连续的盲人行走的专用线设施。公共场所中的电话亭和公厕设计须考虑为残疾人和儿童设置专用的设备。 </w:t>
      </w:r>
    </w:p>
    <w:p w14:paraId="1C273F10">
      <w:pPr>
        <w:pStyle w:val="5"/>
        <w:numPr>
          <w:ilvl w:val="0"/>
          <w:numId w:val="51"/>
        </w:numPr>
        <w:rPr>
          <w:rFonts w:hint="eastAsia"/>
          <w:lang w:bidi="ar"/>
        </w:rPr>
      </w:pPr>
      <w:r>
        <w:rPr>
          <w:rFonts w:hint="eastAsia"/>
          <w:lang w:bidi="ar"/>
        </w:rPr>
        <w:t xml:space="preserve">城市家具 </w:t>
      </w:r>
    </w:p>
    <w:p w14:paraId="30D014B6">
      <w:pPr>
        <w:widowControl/>
        <w:spacing w:after="166"/>
        <w:ind w:firstLine="480"/>
        <w:jc w:val="left"/>
        <w:rPr>
          <w:rFonts w:hint="eastAsia" w:ascii="宋体" w:hAnsi="宋体" w:cs="宋体"/>
          <w:color w:val="000000"/>
          <w:kern w:val="0"/>
          <w:sz w:val="24"/>
          <w:lang w:val="en-US" w:bidi="ar"/>
        </w:rPr>
      </w:pPr>
      <w:r>
        <w:rPr>
          <w:rFonts w:hint="eastAsia" w:ascii="宋体" w:hAnsi="宋体" w:cs="宋体"/>
          <w:color w:val="000000"/>
          <w:kern w:val="0"/>
          <w:sz w:val="24"/>
          <w:lang w:val="en-US" w:bidi="ar"/>
        </w:rPr>
        <w:t xml:space="preserve">座椅：考虑舒适性与耐久性的结合，不同区域的座椅造型风格应不同。可结合花坛、亭廊等小品设施进行布置。 </w:t>
      </w:r>
    </w:p>
    <w:p w14:paraId="084D06EC">
      <w:pPr>
        <w:widowControl/>
        <w:spacing w:after="166"/>
        <w:ind w:firstLine="480"/>
        <w:jc w:val="left"/>
        <w:rPr>
          <w:rFonts w:hint="eastAsia" w:ascii="宋体" w:hAnsi="宋体" w:cs="宋体"/>
          <w:color w:val="000000"/>
          <w:kern w:val="0"/>
          <w:sz w:val="24"/>
          <w:lang w:val="en-US" w:bidi="ar"/>
        </w:rPr>
      </w:pPr>
      <w:r>
        <w:rPr>
          <w:rFonts w:hint="eastAsia" w:ascii="宋体" w:hAnsi="宋体" w:cs="宋体"/>
          <w:color w:val="000000"/>
          <w:kern w:val="0"/>
          <w:sz w:val="24"/>
          <w:lang w:val="en-US" w:bidi="ar"/>
        </w:rPr>
        <w:t xml:space="preserve">广告牌：除大中型广告设施以外，小型的广告牌必须尺寸统一，成组排列，外形简洁。 </w:t>
      </w:r>
    </w:p>
    <w:p w14:paraId="697F35AE">
      <w:pPr>
        <w:widowControl/>
        <w:spacing w:after="166"/>
        <w:ind w:firstLine="480"/>
        <w:jc w:val="left"/>
        <w:rPr>
          <w:rFonts w:hint="eastAsia" w:ascii="宋体" w:hAnsi="宋体" w:cs="宋体"/>
          <w:color w:val="000000"/>
          <w:kern w:val="0"/>
          <w:sz w:val="24"/>
          <w:lang w:val="en-US" w:bidi="ar"/>
        </w:rPr>
      </w:pPr>
      <w:r>
        <w:rPr>
          <w:rFonts w:hint="eastAsia" w:ascii="宋体" w:hAnsi="宋体" w:cs="宋体"/>
          <w:color w:val="000000"/>
          <w:kern w:val="0"/>
          <w:sz w:val="24"/>
          <w:lang w:val="en-US" w:bidi="ar"/>
        </w:rPr>
        <w:t xml:space="preserve">废物箱：间距不大于 150 米，节点区密度适当加大。考虑与其它城市家具组合布置，同时要满足清洁卫生的要求。 </w:t>
      </w:r>
    </w:p>
    <w:p w14:paraId="76B5E0E5">
      <w:pPr>
        <w:pStyle w:val="5"/>
        <w:numPr>
          <w:ilvl w:val="0"/>
          <w:numId w:val="51"/>
        </w:numPr>
        <w:rPr>
          <w:rFonts w:hint="eastAsia"/>
          <w:lang w:bidi="ar"/>
        </w:rPr>
      </w:pPr>
      <w:r>
        <w:rPr>
          <w:rFonts w:hint="eastAsia"/>
          <w:lang w:bidi="ar"/>
        </w:rPr>
        <w:t xml:space="preserve">地面铺装 </w:t>
      </w:r>
    </w:p>
    <w:p w14:paraId="183EBFEC">
      <w:pPr>
        <w:widowControl/>
        <w:spacing w:after="166"/>
        <w:ind w:firstLine="480"/>
        <w:jc w:val="left"/>
        <w:rPr>
          <w:lang w:val="en-US"/>
        </w:rPr>
      </w:pPr>
      <w:r>
        <w:rPr>
          <w:rFonts w:hint="eastAsia" w:ascii="宋体" w:hAnsi="宋体" w:cs="宋体"/>
          <w:color w:val="000000"/>
          <w:kern w:val="0"/>
          <w:sz w:val="24"/>
          <w:lang w:val="en-US" w:bidi="ar"/>
        </w:rPr>
        <w:t xml:space="preserve">用不同的铺装形式、铺装色彩对场地进行划分，丰富空间变化，增强环境可识别性，并引导使用。材料以井冈山市当地材料为主，石板、碎石、砂砾、混凝土砖构成铺装主体。 </w:t>
      </w:r>
    </w:p>
    <w:p w14:paraId="10904FB1">
      <w:pPr>
        <w:pStyle w:val="3"/>
        <w:numPr>
          <w:ilvl w:val="1"/>
          <w:numId w:val="5"/>
        </w:numPr>
        <w:spacing w:before="332" w:after="166"/>
        <w:rPr>
          <w:rFonts w:hint="eastAsia"/>
        </w:rPr>
      </w:pPr>
      <w:r>
        <w:rPr>
          <w:rFonts w:hint="eastAsia"/>
        </w:rPr>
        <w:t>城市色彩指引</w:t>
      </w:r>
    </w:p>
    <w:p w14:paraId="26F6BF16">
      <w:pPr>
        <w:widowControl/>
        <w:spacing w:after="166"/>
        <w:ind w:firstLine="480"/>
        <w:jc w:val="left"/>
        <w:rPr>
          <w:rFonts w:hint="eastAsia" w:ascii="宋体" w:hAnsi="宋体" w:cs="宋体"/>
          <w:color w:val="000000"/>
          <w:kern w:val="0"/>
          <w:sz w:val="24"/>
          <w:lang w:val="en-US" w:bidi="ar"/>
        </w:rPr>
      </w:pPr>
      <w:r>
        <w:rPr>
          <w:rFonts w:hint="eastAsia" w:ascii="宋体" w:hAnsi="宋体" w:cs="宋体"/>
          <w:color w:val="000000"/>
          <w:kern w:val="0"/>
          <w:sz w:val="24"/>
          <w:lang w:val="en-US" w:bidi="ar"/>
        </w:rPr>
        <w:t>建筑色彩应与</w:t>
      </w:r>
      <w:r>
        <w:rPr>
          <w:rFonts w:hint="eastAsia" w:ascii="宋体" w:hAnsi="宋体" w:cs="宋体"/>
          <w:color w:val="000000"/>
          <w:kern w:val="0"/>
          <w:sz w:val="24"/>
          <w:lang w:val="en-US" w:eastAsia="zh" w:bidi="ar"/>
        </w:rPr>
        <w:t>白云矿区城区</w:t>
      </w:r>
      <w:r>
        <w:rPr>
          <w:rFonts w:hint="eastAsia" w:ascii="宋体" w:hAnsi="宋体" w:cs="宋体"/>
          <w:color w:val="000000"/>
          <w:kern w:val="0"/>
          <w:sz w:val="24"/>
          <w:lang w:val="en-US" w:bidi="ar"/>
        </w:rPr>
        <w:t>整体环境相协调，主色调应为淡雅明快的中性淡青色为主，辅以冷灰、暖灰色彩，适当增加一些明度较高的色彩，但片区主导色彩。以绿色空间为背景，采用低彩度、暖灰色的基调，形成清新明快、亲切质朴的片区总体色调。临近主要绿色开敞空间的建筑界面，色彩明度不宜过高，以形成城绿相融的色彩氛围。</w:t>
      </w:r>
    </w:p>
    <w:p w14:paraId="4960A83F">
      <w:pPr>
        <w:widowControl/>
        <w:spacing w:after="166"/>
        <w:ind w:firstLine="480"/>
        <w:jc w:val="left"/>
        <w:rPr>
          <w:rFonts w:hint="eastAsia" w:ascii="宋体" w:hAnsi="宋体" w:cs="宋体"/>
          <w:color w:val="000000"/>
          <w:kern w:val="0"/>
          <w:sz w:val="24"/>
          <w:lang w:val="en-US" w:bidi="ar"/>
        </w:rPr>
      </w:pPr>
      <w:r>
        <w:rPr>
          <w:rFonts w:hint="eastAsia" w:ascii="宋体" w:hAnsi="宋体" w:cs="宋体"/>
          <w:color w:val="000000"/>
          <w:kern w:val="0"/>
          <w:sz w:val="24"/>
          <w:lang w:val="en-US" w:bidi="ar"/>
        </w:rPr>
        <w:t>建筑主导色彩。与自然环境和谐，强调片区特色，培育多元复合的建筑色彩体系，建筑色彩需与周围环境相协调并符合建筑自身功能特点，沉稳大气、清新明亮，单体建筑不得大面积使用强烈浓重的色彩。居住建筑色彩以暖色为主、色彩清透明朗、亲切温暖；商务办公建筑色彩以中性色调为主、色彩清新明亮、现代明快；商业建筑色彩宜与居住建筑形成良好呼应，色彩明快温暖、活力积极；企业配套建筑色彩清朗明快、舒适亲切；街区建筑色彩以低彩度、高明度颜色为主，色彩清朗醇和，形成宜居宜业的氛围。</w:t>
      </w:r>
    </w:p>
    <w:p w14:paraId="3D528F67">
      <w:pPr>
        <w:widowControl/>
        <w:spacing w:after="166"/>
        <w:ind w:firstLine="480"/>
        <w:jc w:val="left"/>
        <w:rPr>
          <w:rFonts w:hint="eastAsia" w:ascii="宋体" w:hAnsi="宋体" w:cs="宋体"/>
          <w:color w:val="000000"/>
          <w:kern w:val="0"/>
          <w:sz w:val="24"/>
          <w:lang w:val="en-US" w:bidi="ar"/>
        </w:rPr>
      </w:pPr>
      <w:r>
        <w:rPr>
          <w:rFonts w:hint="eastAsia" w:ascii="宋体" w:hAnsi="宋体" w:cs="宋体"/>
          <w:color w:val="000000"/>
          <w:kern w:val="0"/>
          <w:sz w:val="24"/>
          <w:lang w:val="en-US" w:bidi="ar"/>
        </w:rPr>
        <w:t>传承传统人居理念，融合现代城市建设特点，突出中西合璧、以中为主、古今交融的建筑风格，建筑材料以本地为主，材质安全耐久、节能环保，塑造融于自然、融入环境的特色建筑风貌。</w:t>
      </w:r>
    </w:p>
    <w:p w14:paraId="3E0A969B">
      <w:pPr>
        <w:widowControl/>
        <w:spacing w:after="166"/>
        <w:ind w:firstLine="480"/>
        <w:jc w:val="left"/>
        <w:rPr>
          <w:rFonts w:hint="eastAsia" w:ascii="宋体" w:hAnsi="宋体" w:cs="宋体"/>
          <w:color w:val="000000"/>
          <w:kern w:val="0"/>
          <w:sz w:val="24"/>
          <w:lang w:val="en-US" w:bidi="ar"/>
        </w:rPr>
      </w:pPr>
      <w:r>
        <w:rPr>
          <w:rFonts w:hint="eastAsia" w:ascii="宋体" w:hAnsi="宋体" w:cs="宋体"/>
          <w:color w:val="000000"/>
          <w:kern w:val="0"/>
          <w:sz w:val="24"/>
          <w:lang w:val="en-US" w:bidi="ar"/>
        </w:rPr>
        <w:t>居住建筑在满足通风采光的基础上，采用围合式、行列式等布局，立面元素简洁明快、舒适宜人，细部营造强调近人尺度的亲切感、归属感。</w:t>
      </w:r>
    </w:p>
    <w:p w14:paraId="357CB0DF">
      <w:pPr>
        <w:widowControl/>
        <w:spacing w:after="166"/>
        <w:ind w:firstLine="480"/>
        <w:jc w:val="left"/>
        <w:rPr>
          <w:rFonts w:hint="eastAsia" w:ascii="宋体" w:hAnsi="宋体" w:cs="宋体"/>
          <w:color w:val="000000"/>
          <w:kern w:val="0"/>
          <w:sz w:val="24"/>
          <w:lang w:val="en-US" w:bidi="ar"/>
        </w:rPr>
      </w:pPr>
      <w:r>
        <w:rPr>
          <w:rFonts w:hint="eastAsia" w:ascii="宋体" w:hAnsi="宋体" w:cs="宋体"/>
          <w:color w:val="000000"/>
          <w:kern w:val="0"/>
          <w:sz w:val="24"/>
          <w:lang w:val="en-US" w:bidi="ar"/>
        </w:rPr>
        <w:t>商务办公建筑采用点板结合、高低错落、张弛有度，立面元素现代简洁、均衡有序，立面材质避免采用大面积玻璃幕墙，细部营造简约大方。</w:t>
      </w:r>
    </w:p>
    <w:p w14:paraId="696CA9DD">
      <w:pPr>
        <w:widowControl/>
        <w:spacing w:after="166"/>
        <w:ind w:firstLine="480"/>
        <w:jc w:val="left"/>
        <w:rPr>
          <w:rFonts w:hint="eastAsia" w:ascii="宋体" w:hAnsi="宋体" w:cs="宋体"/>
          <w:color w:val="000000"/>
          <w:kern w:val="0"/>
          <w:sz w:val="24"/>
          <w:lang w:val="en-US" w:bidi="ar"/>
        </w:rPr>
      </w:pPr>
      <w:r>
        <w:rPr>
          <w:rFonts w:hint="eastAsia" w:ascii="宋体" w:hAnsi="宋体" w:cs="宋体"/>
          <w:color w:val="000000"/>
          <w:kern w:val="0"/>
          <w:sz w:val="24"/>
          <w:lang w:val="en-US" w:bidi="ar"/>
        </w:rPr>
        <w:t>商业建筑布局与街道有机结合，形成宜人的街道界面，立面元素丰富细腻、尺度宜人，细部营造结合业态，形成连续舒适的活力空间。</w:t>
      </w:r>
    </w:p>
    <w:p w14:paraId="74E7B362">
      <w:pPr>
        <w:widowControl/>
        <w:spacing w:after="166"/>
        <w:ind w:firstLine="480"/>
        <w:jc w:val="left"/>
        <w:rPr>
          <w:rFonts w:hint="eastAsia" w:ascii="宋体" w:hAnsi="宋体" w:cs="宋体"/>
          <w:color w:val="000000"/>
          <w:kern w:val="0"/>
          <w:sz w:val="24"/>
          <w:lang w:val="en-US" w:bidi="ar"/>
        </w:rPr>
      </w:pPr>
      <w:r>
        <w:rPr>
          <w:rFonts w:hint="eastAsia" w:ascii="宋体" w:hAnsi="宋体" w:cs="宋体"/>
          <w:color w:val="000000"/>
          <w:kern w:val="0"/>
          <w:sz w:val="24"/>
          <w:lang w:val="en-US" w:bidi="ar"/>
        </w:rPr>
        <w:t>街区建筑鼓励多功能建筑混合交互、有机组合，立面元素繁简得宜、多样统一，材质选取与细部营造结合建筑功能，体现建筑属性的同时展现多元融合。</w:t>
      </w:r>
    </w:p>
    <w:p w14:paraId="43C6830E">
      <w:pPr>
        <w:widowControl/>
        <w:spacing w:after="166"/>
        <w:ind w:firstLine="480"/>
        <w:jc w:val="left"/>
        <w:rPr>
          <w:rFonts w:hint="eastAsia" w:ascii="宋体" w:hAnsi="宋体" w:cs="宋体"/>
          <w:color w:val="000000"/>
          <w:kern w:val="0"/>
          <w:sz w:val="24"/>
          <w:lang w:val="en-US" w:bidi="ar"/>
        </w:rPr>
      </w:pPr>
      <w:r>
        <w:rPr>
          <w:rFonts w:hint="eastAsia" w:ascii="宋体" w:hAnsi="宋体" w:cs="宋体"/>
          <w:color w:val="000000"/>
          <w:kern w:val="0"/>
          <w:sz w:val="24"/>
          <w:lang w:val="en-US" w:bidi="ar"/>
        </w:rPr>
        <w:t>落实绿色低碳节水节能安全建筑标准，引导应用绿色建筑设计和施工技术，使用绿色建筑材料，利用先进建造工艺提升建筑防震抗震能力，形成可持续发展的城区建筑特色。</w:t>
      </w:r>
    </w:p>
    <w:p w14:paraId="110C9DC3">
      <w:pPr>
        <w:widowControl/>
        <w:spacing w:after="166"/>
        <w:ind w:firstLine="500"/>
        <w:jc w:val="left"/>
        <w:rPr>
          <w:rFonts w:hint="eastAsia" w:ascii="宋体" w:hAnsi="宋体" w:cs="宋体"/>
          <w:u w:val="single"/>
          <w:lang w:val="en-US" w:bidi="ar"/>
        </w:rPr>
      </w:pPr>
    </w:p>
    <w:p w14:paraId="18032741">
      <w:pPr>
        <w:spacing w:after="166"/>
        <w:ind w:firstLine="500"/>
        <w:rPr>
          <w:rFonts w:hint="eastAsia" w:ascii="宋体" w:hAnsi="宋体" w:cs="宋体"/>
          <w:u w:val="single"/>
          <w:lang w:val="en-US" w:bidi="ar"/>
        </w:rPr>
      </w:pPr>
      <w:r>
        <w:rPr>
          <w:rFonts w:ascii="宋体" w:hAnsi="宋体" w:cs="宋体"/>
          <w:u w:val="single"/>
          <w:lang w:val="en-US" w:bidi="ar"/>
        </w:rPr>
        <w:br w:type="page"/>
      </w:r>
    </w:p>
    <w:p w14:paraId="5C7C1F50">
      <w:pPr>
        <w:pStyle w:val="2"/>
        <w:numPr>
          <w:ilvl w:val="0"/>
          <w:numId w:val="5"/>
        </w:numPr>
        <w:rPr>
          <w:rFonts w:hint="eastAsia"/>
        </w:rPr>
      </w:pPr>
      <w:bookmarkStart w:id="77" w:name="_Toc12117"/>
      <w:r>
        <w:t>城市控制线规划</w:t>
      </w:r>
      <w:bookmarkEnd w:id="77"/>
    </w:p>
    <w:p w14:paraId="14E31481">
      <w:pPr>
        <w:widowControl/>
        <w:spacing w:after="166"/>
        <w:ind w:firstLine="500"/>
        <w:jc w:val="left"/>
        <w:rPr>
          <w:rFonts w:hint="eastAsia" w:ascii="宋体" w:hAnsi="宋体" w:cs="宋体"/>
          <w:lang w:val="en-US" w:bidi="ar"/>
        </w:rPr>
      </w:pPr>
      <w:r>
        <w:rPr>
          <w:rFonts w:hint="eastAsia" w:ascii="宋体" w:hAnsi="宋体" w:cs="宋体"/>
          <w:lang w:val="en-US" w:bidi="ar"/>
        </w:rPr>
        <w:t>本规划涉及的城市控制线包括：道路红线、绿地绿线、市政黄线，不涉及河道蓝线、电力黑线以及文物紫线等。规划涉及的城市控制线要求，除执行本规划规定外，还需同时符合相关行业规范、标准等的相关要求。</w:t>
      </w:r>
    </w:p>
    <w:p w14:paraId="105A0916">
      <w:pPr>
        <w:pStyle w:val="3"/>
        <w:numPr>
          <w:ilvl w:val="1"/>
          <w:numId w:val="5"/>
        </w:numPr>
        <w:spacing w:before="332" w:after="166"/>
        <w:rPr>
          <w:rFonts w:hint="eastAsia"/>
        </w:rPr>
      </w:pPr>
      <w:r>
        <w:rPr>
          <w:rFonts w:hint="eastAsia"/>
        </w:rPr>
        <w:t>道路红线</w:t>
      </w:r>
    </w:p>
    <w:p w14:paraId="523AB702">
      <w:pPr>
        <w:pStyle w:val="4"/>
        <w:numPr>
          <w:ilvl w:val="2"/>
          <w:numId w:val="5"/>
        </w:numPr>
        <w:spacing w:before="332" w:after="166"/>
        <w:rPr>
          <w:rFonts w:ascii="Times New Roman" w:hAnsi="Times New Roman"/>
          <w:lang w:val="en-US"/>
        </w:rPr>
      </w:pPr>
      <w:r>
        <w:rPr>
          <w:rFonts w:hint="eastAsia" w:ascii="Times New Roman" w:hAnsi="Times New Roman"/>
          <w:lang w:val="en-US"/>
        </w:rPr>
        <w:t>红线的划定</w:t>
      </w:r>
    </w:p>
    <w:p w14:paraId="161EE3F6">
      <w:pPr>
        <w:spacing w:after="166"/>
        <w:ind w:firstLine="500"/>
        <w:rPr>
          <w:lang w:val="en-US"/>
        </w:rPr>
      </w:pPr>
      <w:r>
        <w:rPr>
          <w:rFonts w:hint="eastAsia"/>
          <w:lang w:val="en-US"/>
        </w:rPr>
        <w:t>“红线”是指规划用于界定城市道路、广场用地和对外交通用地的控制线。控制道路红线的核心是控制道路用地范围、限定各类道路沿线建（构）筑物的建设条件。</w:t>
      </w:r>
    </w:p>
    <w:p w14:paraId="1D81D1E4">
      <w:pPr>
        <w:spacing w:after="166"/>
        <w:ind w:firstLine="500"/>
        <w:rPr>
          <w:lang w:val="en-US"/>
        </w:rPr>
      </w:pPr>
      <w:r>
        <w:rPr>
          <w:rFonts w:hint="eastAsia"/>
          <w:lang w:val="en-US"/>
        </w:rPr>
        <w:t>本规划区涉及的“红线”包括：快速路、主干路、次干路、支路的道路红线，其中支路红线为引导性指标，可根据实施需要履行相应程序后作适当调整。</w:t>
      </w:r>
    </w:p>
    <w:p w14:paraId="6AA8C18A">
      <w:pPr>
        <w:spacing w:after="166"/>
        <w:ind w:firstLine="500"/>
        <w:rPr>
          <w:lang w:val="en-US"/>
        </w:rPr>
      </w:pPr>
      <w:r>
        <w:rPr>
          <w:rFonts w:hint="eastAsia"/>
          <w:lang w:val="en-US"/>
        </w:rPr>
        <w:t>本规划区涉及的“红线”包括：主干路、次干路、支路的道路红线。规划主干路四条，规划红线宽度为26-40米；规划次干路8条，规划红线宽度为24-36米。规划支路27条，规划红线宽度为10-15米。</w:t>
      </w:r>
    </w:p>
    <w:p w14:paraId="5C114CFF">
      <w:pPr>
        <w:pStyle w:val="4"/>
        <w:numPr>
          <w:ilvl w:val="2"/>
          <w:numId w:val="5"/>
        </w:numPr>
        <w:spacing w:before="332" w:after="166"/>
        <w:rPr>
          <w:rFonts w:ascii="Times New Roman" w:hAnsi="Times New Roman"/>
          <w:lang w:val="en-US"/>
        </w:rPr>
      </w:pPr>
      <w:r>
        <w:rPr>
          <w:rFonts w:hint="eastAsia" w:ascii="Times New Roman" w:hAnsi="Times New Roman"/>
          <w:lang w:val="en-US"/>
        </w:rPr>
        <w:t>红线控制要求</w:t>
      </w:r>
    </w:p>
    <w:p w14:paraId="734098A4">
      <w:pPr>
        <w:spacing w:after="166"/>
        <w:ind w:firstLine="500"/>
        <w:rPr>
          <w:rFonts w:hint="eastAsia"/>
        </w:rPr>
      </w:pPr>
      <w:r>
        <w:rPr>
          <w:rFonts w:hint="eastAsia"/>
        </w:rPr>
        <w:t>严格控制道路用地红线，红线内土地不得进行任何与道路功能不相符合的使用。新建道路应按照规划实行统一的城市道路断面，以保障城市道路建设的标准化和规范化。特殊道路的断面形式，可按城市规划要求另行确定。道路红线两侧建（构）筑物，应根据相关管理要求向外侧退让。退让范围属道路防护绿地，不得建设永久性或临时性建（构）筑物。</w:t>
      </w:r>
    </w:p>
    <w:p w14:paraId="63F00C9D">
      <w:pPr>
        <w:pStyle w:val="3"/>
        <w:numPr>
          <w:ilvl w:val="1"/>
          <w:numId w:val="5"/>
        </w:numPr>
        <w:spacing w:before="332" w:after="166"/>
        <w:rPr>
          <w:rFonts w:hint="eastAsia"/>
        </w:rPr>
      </w:pPr>
      <w:r>
        <w:rPr>
          <w:rFonts w:hint="eastAsia"/>
        </w:rPr>
        <w:t>绿地绿线</w:t>
      </w:r>
    </w:p>
    <w:p w14:paraId="3F883C56">
      <w:pPr>
        <w:pStyle w:val="4"/>
        <w:numPr>
          <w:ilvl w:val="2"/>
          <w:numId w:val="5"/>
        </w:numPr>
        <w:spacing w:before="332" w:after="166"/>
        <w:rPr>
          <w:rFonts w:ascii="Times New Roman" w:hAnsi="Times New Roman"/>
          <w:lang w:val="en-US"/>
        </w:rPr>
      </w:pPr>
      <w:r>
        <w:rPr>
          <w:rFonts w:hint="eastAsia" w:ascii="Times New Roman" w:hAnsi="Times New Roman"/>
          <w:lang w:val="en-US"/>
        </w:rPr>
        <w:t>绿线的划定</w:t>
      </w:r>
    </w:p>
    <w:p w14:paraId="0044F483">
      <w:pPr>
        <w:spacing w:after="0"/>
        <w:ind w:firstLine="0"/>
      </w:pPr>
      <w:r>
        <w:rPr>
          <w:rFonts w:hint="eastAsia"/>
        </w:rPr>
        <w:t>“绿线”是指用于界定绿化用地、生态保护用地等范围界线的控制线。</w:t>
      </w:r>
    </w:p>
    <w:p w14:paraId="5E26456A">
      <w:pPr>
        <w:spacing w:after="166"/>
        <w:rPr>
          <w:rFonts w:hint="eastAsia"/>
        </w:rPr>
      </w:pPr>
      <w:r>
        <w:rPr>
          <w:rFonts w:hint="eastAsia"/>
        </w:rPr>
        <w:t>规划划定174.87公顷城市绿线，主要包括丁香园、湿地公园、矿山公园等公共绿地。</w:t>
      </w:r>
    </w:p>
    <w:p w14:paraId="1766BA18">
      <w:pPr>
        <w:spacing w:after="0"/>
        <w:ind w:firstLine="0"/>
      </w:pPr>
      <w:r>
        <w:rPr>
          <w:rFonts w:hint="eastAsia"/>
        </w:rPr>
        <w:t>本规划区涉及的“绿线”依据《城市用地分类与规划建设用地标准》、《城市绿地分类标准》划定。本规划范围内的公园绿地和防护绿地等用地范围。详见“绿地与开敞空间规划图”。</w:t>
      </w:r>
    </w:p>
    <w:p w14:paraId="663539C6">
      <w:pPr>
        <w:pStyle w:val="4"/>
        <w:numPr>
          <w:ilvl w:val="2"/>
          <w:numId w:val="5"/>
        </w:numPr>
        <w:spacing w:before="332" w:after="166"/>
        <w:rPr>
          <w:rFonts w:ascii="Times New Roman" w:hAnsi="Times New Roman"/>
          <w:lang w:val="en-US"/>
        </w:rPr>
      </w:pPr>
      <w:r>
        <w:rPr>
          <w:rFonts w:hint="eastAsia" w:ascii="Times New Roman" w:hAnsi="Times New Roman"/>
          <w:lang w:val="en-US"/>
        </w:rPr>
        <w:t>绿线控制要求</w:t>
      </w:r>
    </w:p>
    <w:p w14:paraId="41470581">
      <w:pPr>
        <w:spacing w:after="166"/>
        <w:ind w:firstLine="500"/>
        <w:rPr>
          <w:lang w:val="en-US"/>
        </w:rPr>
      </w:pPr>
      <w:r>
        <w:rPr>
          <w:rFonts w:hint="eastAsia"/>
          <w:lang w:val="en-US"/>
        </w:rPr>
        <w:t>城市绿地划定后，任何单位和个人不得擅自调整。确因规划调整或建设需要调整的，需按照法定程序审批后方可调整。要严格保护位于绿线范围内现有的绿化植被和水域面积，加强绿化尚未覆盖地区的绿化造林工作。在绿线控制范围内，允许安排与绿地功能相关的设施，严禁与绿化用地功能无关的建设活动。</w:t>
      </w:r>
    </w:p>
    <w:p w14:paraId="0912131C">
      <w:pPr>
        <w:spacing w:after="166"/>
        <w:ind w:firstLine="500"/>
        <w:rPr>
          <w:lang w:val="en-US"/>
        </w:rPr>
      </w:pPr>
      <w:r>
        <w:rPr>
          <w:rFonts w:hint="eastAsia"/>
          <w:lang w:val="en-US"/>
        </w:rPr>
        <w:t>绿线管理和划定按《城市绿线管理办法》（中华人民共和国建设部令112号）、《城市绿线划定技术规范》（GB/T51163-2016）执行。</w:t>
      </w:r>
    </w:p>
    <w:p w14:paraId="615AC7B4">
      <w:pPr>
        <w:pStyle w:val="3"/>
        <w:numPr>
          <w:ilvl w:val="1"/>
          <w:numId w:val="5"/>
        </w:numPr>
        <w:spacing w:before="332" w:after="166"/>
        <w:rPr>
          <w:rFonts w:hint="eastAsia"/>
        </w:rPr>
      </w:pPr>
      <w:r>
        <w:rPr>
          <w:rFonts w:hint="eastAsia"/>
        </w:rPr>
        <w:t>市政黄线</w:t>
      </w:r>
    </w:p>
    <w:p w14:paraId="30EFF899">
      <w:pPr>
        <w:pStyle w:val="4"/>
        <w:numPr>
          <w:ilvl w:val="2"/>
          <w:numId w:val="5"/>
        </w:numPr>
        <w:spacing w:before="332" w:after="166"/>
        <w:rPr>
          <w:rFonts w:hint="eastAsia" w:ascii="Times New Roman" w:hAnsi="Times New Roman"/>
          <w:lang w:val="en-US"/>
        </w:rPr>
      </w:pPr>
      <w:r>
        <w:rPr>
          <w:rFonts w:hint="eastAsia" w:ascii="Times New Roman" w:hAnsi="Times New Roman"/>
          <w:lang w:val="en-US"/>
        </w:rPr>
        <w:t>黄线的划定</w:t>
      </w:r>
    </w:p>
    <w:p w14:paraId="1DF8C56D">
      <w:pPr>
        <w:spacing w:after="166"/>
        <w:ind w:firstLine="500"/>
        <w:rPr>
          <w:lang w:val="en-US"/>
        </w:rPr>
      </w:pPr>
      <w:r>
        <w:rPr>
          <w:rFonts w:hint="eastAsia"/>
          <w:lang w:val="en-US"/>
        </w:rPr>
        <w:t xml:space="preserve">城市黄线是指对城市发展全局有影响的、城市规划中确定的必须控制的城市基础设施用地的控制界线。 </w:t>
      </w:r>
    </w:p>
    <w:p w14:paraId="2B4E39D7">
      <w:pPr>
        <w:spacing w:after="166"/>
        <w:ind w:firstLine="500"/>
        <w:rPr>
          <w:lang w:val="en-US"/>
        </w:rPr>
      </w:pPr>
      <w:r>
        <w:rPr>
          <w:rFonts w:hint="eastAsia"/>
          <w:lang w:val="en-US"/>
        </w:rPr>
        <w:t>规划区内城市黄线所指城市基础设施包括以下内容：城市公共交通设施、城市供水设施、城市排水设施、城市环境卫生设施、城市供电设施、城市通信设施、城市消防设施、城市抗震防灾设施及其他对城市发展全局有影响的城市基础设施。</w:t>
      </w:r>
    </w:p>
    <w:p w14:paraId="52DB8E22">
      <w:pPr>
        <w:spacing w:after="166"/>
        <w:ind w:firstLine="500"/>
        <w:rPr>
          <w:lang w:val="en-US"/>
        </w:rPr>
      </w:pPr>
      <w:r>
        <w:rPr>
          <w:rFonts w:hint="eastAsia"/>
          <w:lang w:val="en-US"/>
        </w:rPr>
        <w:t>规划划定44.02公顷城市黄线。</w:t>
      </w:r>
      <w:r>
        <w:rPr>
          <w:lang w:val="en-US"/>
        </w:rPr>
        <w:t>具体包括</w:t>
      </w:r>
      <w:r>
        <w:rPr>
          <w:rFonts w:hint="eastAsia" w:cs="宋体"/>
          <w:kern w:val="0"/>
          <w:szCs w:val="25"/>
          <w:lang w:val="en-US" w:bidi="ar"/>
        </w:rPr>
        <w:t>具体包括火车站、汽车客运站、</w:t>
      </w:r>
      <w:r>
        <w:rPr>
          <w:rFonts w:hint="eastAsia" w:cs="宋体"/>
          <w:kern w:val="0"/>
          <w:szCs w:val="25"/>
          <w:lang w:val="en-US" w:eastAsia="zh-CN" w:bidi="ar"/>
        </w:rPr>
        <w:t>热源厂、</w:t>
      </w:r>
      <w:r>
        <w:rPr>
          <w:rFonts w:hint="eastAsia" w:cs="宋体"/>
          <w:kern w:val="0"/>
          <w:szCs w:val="25"/>
          <w:lang w:val="en-US" w:bidi="ar"/>
        </w:rPr>
        <w:t>供热站、环卫综合体、消防站</w:t>
      </w:r>
      <w:r>
        <w:rPr>
          <w:rFonts w:hint="eastAsia" w:cs="宋体"/>
          <w:kern w:val="0"/>
          <w:szCs w:val="25"/>
          <w:lang w:val="en-US" w:eastAsia="zh-CN" w:bidi="ar"/>
        </w:rPr>
        <w:t>、邮政支局</w:t>
      </w:r>
      <w:r>
        <w:rPr>
          <w:rFonts w:hint="eastAsia" w:cs="宋体"/>
          <w:kern w:val="0"/>
          <w:szCs w:val="25"/>
          <w:lang w:val="en-US" w:bidi="ar"/>
        </w:rPr>
        <w:t>等设施用地</w:t>
      </w:r>
      <w:r>
        <w:rPr>
          <w:rFonts w:hint="eastAsia"/>
          <w:lang w:val="en-US"/>
        </w:rPr>
        <w:t>。</w:t>
      </w:r>
    </w:p>
    <w:p w14:paraId="60E60C66">
      <w:pPr>
        <w:pStyle w:val="4"/>
        <w:numPr>
          <w:ilvl w:val="2"/>
          <w:numId w:val="5"/>
        </w:numPr>
        <w:spacing w:before="332" w:after="166"/>
        <w:rPr>
          <w:rFonts w:hint="eastAsia" w:ascii="Times New Roman" w:hAnsi="Times New Roman"/>
          <w:lang w:val="en-US"/>
        </w:rPr>
      </w:pPr>
      <w:r>
        <w:rPr>
          <w:rFonts w:hint="eastAsia" w:ascii="Times New Roman" w:hAnsi="Times New Roman"/>
          <w:lang w:val="en-US"/>
        </w:rPr>
        <w:t>黄线控制要求</w:t>
      </w:r>
    </w:p>
    <w:p w14:paraId="0C68D934">
      <w:pPr>
        <w:spacing w:after="166"/>
        <w:ind w:firstLine="500"/>
        <w:rPr>
          <w:lang w:val="en-US"/>
        </w:rPr>
      </w:pPr>
      <w:r>
        <w:rPr>
          <w:rFonts w:hint="eastAsia"/>
          <w:lang w:val="en-US"/>
        </w:rPr>
        <w:t>城市黄线一经批准，不得擅自调整。</w:t>
      </w:r>
    </w:p>
    <w:p w14:paraId="56BED0E9">
      <w:pPr>
        <w:spacing w:after="166"/>
        <w:ind w:firstLine="500"/>
        <w:rPr>
          <w:lang w:val="en-US"/>
        </w:rPr>
      </w:pPr>
      <w:r>
        <w:rPr>
          <w:rFonts w:hint="eastAsia"/>
          <w:lang w:val="en-US"/>
        </w:rPr>
        <w:t>因城镇发展和功能布局变化等原因，确实需要调整城市黄线的，应当组织专家论证，依法调整规划，并相应调整城市黄线。调整后的城市黄线，应当随调整后的规划一并报批。</w:t>
      </w:r>
    </w:p>
    <w:p w14:paraId="0E7CF42F">
      <w:pPr>
        <w:spacing w:after="166"/>
        <w:ind w:firstLine="500"/>
        <w:rPr>
          <w:lang w:val="en-US"/>
        </w:rPr>
      </w:pPr>
      <w:r>
        <w:rPr>
          <w:rFonts w:hint="eastAsia"/>
          <w:lang w:val="en-US"/>
        </w:rPr>
        <w:t>调整后的城市黄线应当在报批前进行公示，法律、法规规定不得公开的除外。</w:t>
      </w:r>
    </w:p>
    <w:p w14:paraId="4F6E35D8">
      <w:pPr>
        <w:spacing w:after="166"/>
        <w:ind w:firstLine="500"/>
        <w:rPr>
          <w:lang w:val="en-US"/>
        </w:rPr>
      </w:pPr>
      <w:r>
        <w:rPr>
          <w:rFonts w:hint="eastAsia"/>
          <w:lang w:val="en-US"/>
        </w:rPr>
        <w:t>在城市黄线内进行建设活动，应当贯彻安全、高效的方针，处理好近远期的关系，根据城市发展的实际需要，分期有序实施。在城市黄线内进行建设，应当符合经批准的规划。</w:t>
      </w:r>
    </w:p>
    <w:p w14:paraId="4C603CA0">
      <w:pPr>
        <w:spacing w:after="166"/>
        <w:ind w:firstLine="500" w:firstLineChars="0"/>
        <w:rPr>
          <w:rFonts w:hint="eastAsia"/>
          <w:lang w:val="en-US"/>
        </w:rPr>
      </w:pPr>
      <w:r>
        <w:rPr>
          <w:rFonts w:hint="eastAsia"/>
          <w:lang w:val="en-US"/>
        </w:rPr>
        <w:t>在城市黄线内新建、改建、扩建各类建筑物、构筑物、道路、管线和其他工程设施，应当依法向建设主管部门（城乡规划主管部门）申请办理规划许可，并依据有关法律、法规办理相关手续。</w:t>
      </w:r>
    </w:p>
    <w:p w14:paraId="5195E54D">
      <w:pPr>
        <w:spacing w:after="166"/>
        <w:ind w:firstLine="500" w:firstLineChars="0"/>
        <w:rPr>
          <w:lang w:val="en-US"/>
        </w:rPr>
      </w:pPr>
      <w:r>
        <w:rPr>
          <w:rFonts w:hint="eastAsia"/>
          <w:lang w:val="en-US"/>
        </w:rPr>
        <w:t>迁移、拆除城市黄线内城市基础设施的，应当依据有关法律、法规办理相关手续。</w:t>
      </w:r>
    </w:p>
    <w:p w14:paraId="7CE21C62">
      <w:pPr>
        <w:spacing w:after="166"/>
        <w:ind w:firstLine="500"/>
        <w:rPr>
          <w:lang w:val="en-US"/>
        </w:rPr>
      </w:pPr>
      <w:r>
        <w:rPr>
          <w:rFonts w:hint="eastAsia"/>
          <w:lang w:val="en-US"/>
        </w:rPr>
        <w:t>因建设或其他特殊情况需要临时占用城市黄线内土地的，应当依法办理相关审批手续。</w:t>
      </w:r>
    </w:p>
    <w:p w14:paraId="150E5986">
      <w:pPr>
        <w:spacing w:after="166"/>
        <w:ind w:firstLine="500"/>
        <w:rPr>
          <w:lang w:val="en-US"/>
        </w:rPr>
      </w:pPr>
      <w:r>
        <w:rPr>
          <w:rFonts w:hint="eastAsia"/>
          <w:lang w:val="en-US"/>
        </w:rPr>
        <w:t>在城市黄线范围内禁止进行下列活动：</w:t>
      </w:r>
    </w:p>
    <w:p w14:paraId="798A3CEE">
      <w:pPr>
        <w:spacing w:after="166"/>
        <w:ind w:firstLine="500"/>
        <w:rPr>
          <w:lang w:val="en-US"/>
        </w:rPr>
      </w:pPr>
      <w:r>
        <w:rPr>
          <w:rFonts w:hint="eastAsia"/>
          <w:lang w:val="en-US"/>
        </w:rPr>
        <w:t xml:space="preserve">（1）违反城市规划要求，进行建筑物、构筑物及其他设施的建设； </w:t>
      </w:r>
    </w:p>
    <w:p w14:paraId="28C223D5">
      <w:pPr>
        <w:spacing w:after="166"/>
        <w:ind w:firstLine="500"/>
        <w:rPr>
          <w:lang w:val="en-US"/>
        </w:rPr>
      </w:pPr>
      <w:r>
        <w:rPr>
          <w:rFonts w:hint="eastAsia"/>
          <w:lang w:val="en-US"/>
        </w:rPr>
        <w:t>（2）违反国家有关技术标准和规范进行建设；</w:t>
      </w:r>
    </w:p>
    <w:p w14:paraId="16889D9E">
      <w:pPr>
        <w:spacing w:after="166"/>
        <w:ind w:firstLine="500"/>
        <w:rPr>
          <w:lang w:val="en-US"/>
        </w:rPr>
      </w:pPr>
      <w:r>
        <w:rPr>
          <w:rFonts w:hint="eastAsia"/>
          <w:lang w:val="en-US"/>
        </w:rPr>
        <w:t xml:space="preserve">（3）未经批准，改装、迁移或拆毁原有城市基础设施； </w:t>
      </w:r>
    </w:p>
    <w:p w14:paraId="065228CD">
      <w:pPr>
        <w:spacing w:after="166"/>
        <w:ind w:firstLine="500"/>
        <w:rPr>
          <w:lang w:val="en-US"/>
        </w:rPr>
      </w:pPr>
      <w:r>
        <w:rPr>
          <w:rFonts w:hint="eastAsia"/>
          <w:lang w:val="en-US"/>
        </w:rPr>
        <w:t>（4）其他损坏城市基础设施或影响城市基础设施安全和正常运转的行为。</w:t>
      </w:r>
    </w:p>
    <w:p w14:paraId="477F5FF4">
      <w:pPr>
        <w:widowControl/>
        <w:spacing w:after="166"/>
        <w:ind w:firstLine="0" w:firstLineChars="0"/>
        <w:jc w:val="left"/>
        <w:rPr>
          <w:rFonts w:hint="eastAsia" w:ascii="宋体" w:hAnsi="宋体" w:cs="宋体"/>
          <w:u w:val="single"/>
          <w:lang w:val="en-US" w:bidi="ar"/>
        </w:rPr>
      </w:pPr>
      <w:r>
        <w:drawing>
          <wp:inline distT="0" distB="0" distL="114300" distR="114300">
            <wp:extent cx="5271770" cy="4359910"/>
            <wp:effectExtent l="0" t="0" r="5080" b="2540"/>
            <wp:docPr id="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
                    <pic:cNvPicPr>
                      <a:picLocks noChangeAspect="1"/>
                    </pic:cNvPicPr>
                  </pic:nvPicPr>
                  <pic:blipFill>
                    <a:blip r:embed="rId114"/>
                    <a:stretch>
                      <a:fillRect/>
                    </a:stretch>
                  </pic:blipFill>
                  <pic:spPr>
                    <a:xfrm>
                      <a:off x="0" y="0"/>
                      <a:ext cx="5271770" cy="4359910"/>
                    </a:xfrm>
                    <a:prstGeom prst="rect">
                      <a:avLst/>
                    </a:prstGeom>
                    <a:noFill/>
                    <a:ln>
                      <a:noFill/>
                    </a:ln>
                  </pic:spPr>
                </pic:pic>
              </a:graphicData>
            </a:graphic>
          </wp:inline>
        </w:drawing>
      </w:r>
    </w:p>
    <w:p w14:paraId="0C639360">
      <w:pPr>
        <w:pStyle w:val="117"/>
        <w:rPr>
          <w:rFonts w:hint="eastAsia"/>
        </w:rPr>
      </w:pPr>
      <w:r>
        <w:rPr>
          <w:rFonts w:hint="eastAsia"/>
        </w:rPr>
        <w:t>图14-1 城市控制线规划图</w:t>
      </w:r>
    </w:p>
    <w:p w14:paraId="657AB64A">
      <w:pPr>
        <w:spacing w:after="166"/>
        <w:ind w:firstLine="500"/>
        <w:rPr>
          <w:rFonts w:hint="eastAsia" w:ascii="宋体" w:hAnsi="宋体" w:cs="宋体"/>
          <w:u w:val="single"/>
          <w:lang w:val="en-US" w:bidi="ar"/>
        </w:rPr>
      </w:pPr>
      <w:r>
        <w:rPr>
          <w:rFonts w:ascii="宋体" w:hAnsi="宋体" w:cs="宋体"/>
          <w:u w:val="single"/>
          <w:lang w:val="en-US" w:bidi="ar"/>
        </w:rPr>
        <w:br w:type="page"/>
      </w:r>
    </w:p>
    <w:p w14:paraId="41367CDF">
      <w:pPr>
        <w:pStyle w:val="2"/>
        <w:numPr>
          <w:ilvl w:val="0"/>
          <w:numId w:val="5"/>
        </w:numPr>
        <w:rPr>
          <w:rFonts w:hint="eastAsia"/>
        </w:rPr>
      </w:pPr>
      <w:bookmarkStart w:id="78" w:name="_Toc26485"/>
      <w:r>
        <w:rPr>
          <w:rFonts w:hint="eastAsia"/>
        </w:rPr>
        <w:t>地块划分与容量指标控制</w:t>
      </w:r>
      <w:bookmarkEnd w:id="78"/>
    </w:p>
    <w:p w14:paraId="3C6D6D58">
      <w:pPr>
        <w:pStyle w:val="3"/>
        <w:numPr>
          <w:ilvl w:val="1"/>
          <w:numId w:val="5"/>
        </w:numPr>
        <w:spacing w:before="332" w:after="166"/>
        <w:rPr>
          <w:rFonts w:hint="eastAsia"/>
        </w:rPr>
      </w:pPr>
      <w:r>
        <w:t>控制单元</w:t>
      </w:r>
    </w:p>
    <w:p w14:paraId="7726E836">
      <w:pPr>
        <w:spacing w:after="166"/>
        <w:ind w:firstLine="500"/>
      </w:pPr>
      <w:r>
        <w:rPr>
          <w:rFonts w:hint="eastAsia"/>
          <w:lang w:val="en-US"/>
        </w:rPr>
        <w:t>按照“地域完整、功能明确、界限稳定、编码统一、规模适宜、利于配套”的原则，依据城市空间结构与功能布局，综合考虑社区划分、公共服务设施配套规模等因素，以城市道路、河流和绿廊等为界限，对规划范围进行控制单元划分。</w:t>
      </w:r>
    </w:p>
    <w:p w14:paraId="1DFE4E72">
      <w:pPr>
        <w:spacing w:after="166"/>
        <w:ind w:firstLine="500"/>
      </w:pPr>
      <w:r>
        <w:rPr>
          <w:rFonts w:hint="eastAsia"/>
          <w:lang w:val="en-US"/>
        </w:rPr>
        <w:t xml:space="preserve">白云鄂博矿区城区共划分为 </w:t>
      </w:r>
      <w:r>
        <w:rPr>
          <w:lang w:val="en-US"/>
        </w:rPr>
        <w:t>5</w:t>
      </w:r>
      <w:r>
        <w:rPr>
          <w:rFonts w:hint="eastAsia"/>
          <w:lang w:val="en-US"/>
        </w:rPr>
        <w:t>个单元，编号分别为150206001202001、150206001202002、150206001201003、150206002201004、150206002201005。建立全域覆盖、差异管控、逐级落实的规划管控体系，实施刚性管控与弹性引导，统筹各类开发建设活动。</w:t>
      </w:r>
    </w:p>
    <w:p w14:paraId="31EF697A">
      <w:pPr>
        <w:spacing w:beforeAutospacing="1" w:after="166"/>
        <w:ind w:firstLine="500"/>
      </w:pPr>
      <w:r>
        <w:rPr>
          <w:rFonts w:hint="eastAsia"/>
          <w:lang w:val="en-US" w:bidi="ar"/>
        </w:rPr>
        <w:t xml:space="preserve"> </w:t>
      </w:r>
      <w:r>
        <w:drawing>
          <wp:inline distT="0" distB="0" distL="114300" distR="114300">
            <wp:extent cx="5140960" cy="4199255"/>
            <wp:effectExtent l="0" t="0" r="254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115"/>
                    <a:stretch>
                      <a:fillRect/>
                    </a:stretch>
                  </pic:blipFill>
                  <pic:spPr>
                    <a:xfrm>
                      <a:off x="0" y="0"/>
                      <a:ext cx="5142269" cy="4200021"/>
                    </a:xfrm>
                    <a:prstGeom prst="rect">
                      <a:avLst/>
                    </a:prstGeom>
                  </pic:spPr>
                </pic:pic>
              </a:graphicData>
            </a:graphic>
          </wp:inline>
        </w:drawing>
      </w:r>
    </w:p>
    <w:p w14:paraId="2AE50D49">
      <w:pPr>
        <w:pStyle w:val="268"/>
      </w:pPr>
      <w:r>
        <w:rPr>
          <w:rFonts w:hint="eastAsia"/>
        </w:rPr>
        <w:t>图15-1 详细规划单元划分示意图</w:t>
      </w:r>
    </w:p>
    <w:p w14:paraId="30795A53">
      <w:pPr>
        <w:pStyle w:val="3"/>
        <w:numPr>
          <w:ilvl w:val="1"/>
          <w:numId w:val="5"/>
        </w:numPr>
        <w:spacing w:before="332" w:after="166"/>
        <w:rPr>
          <w:rFonts w:hint="eastAsia"/>
        </w:rPr>
      </w:pPr>
      <w:r>
        <w:t>地块划分原则</w:t>
      </w:r>
    </w:p>
    <w:p w14:paraId="3D5A4D4C">
      <w:pPr>
        <w:spacing w:after="166"/>
        <w:ind w:firstLine="500"/>
      </w:pPr>
      <w:r>
        <w:rPr>
          <w:rFonts w:hint="eastAsia"/>
          <w:lang w:val="en-US"/>
        </w:rPr>
        <w:t>基本地块划分应以保持用地性质的完整性和唯一性，并有利于下层次修建性详细规划的编制和土地出让为原则。规划以区内主要道路、绿地、水系以及用地边界为界，对规划范围划分为276个地块。</w:t>
      </w:r>
    </w:p>
    <w:p w14:paraId="725876EB">
      <w:pPr>
        <w:pStyle w:val="3"/>
        <w:numPr>
          <w:ilvl w:val="1"/>
          <w:numId w:val="5"/>
        </w:numPr>
        <w:spacing w:before="332" w:after="166"/>
        <w:rPr>
          <w:rFonts w:hint="eastAsia"/>
        </w:rPr>
      </w:pPr>
      <w:r>
        <w:t>用地分类标准</w:t>
      </w:r>
    </w:p>
    <w:p w14:paraId="526E11B0">
      <w:pPr>
        <w:spacing w:after="166"/>
        <w:ind w:firstLine="500"/>
        <w:rPr>
          <w:lang w:val="en-US"/>
        </w:rPr>
      </w:pPr>
      <w:r>
        <w:rPr>
          <w:rFonts w:hint="eastAsia"/>
          <w:lang w:val="en-US"/>
        </w:rPr>
        <w:t>本规划以《国土空间调查、规划、用途管制用地用海分类指南》为用地类别划分的主要依据。</w:t>
      </w:r>
    </w:p>
    <w:p w14:paraId="26DEFAF2">
      <w:pPr>
        <w:pStyle w:val="3"/>
        <w:numPr>
          <w:ilvl w:val="1"/>
          <w:numId w:val="5"/>
        </w:numPr>
        <w:spacing w:before="332" w:after="166"/>
        <w:rPr>
          <w:rFonts w:hint="eastAsia"/>
        </w:rPr>
      </w:pPr>
      <w:r>
        <w:rPr>
          <w:rFonts w:hint="eastAsia"/>
        </w:rPr>
        <w:t>混合与兼容使用</w:t>
      </w:r>
    </w:p>
    <w:p w14:paraId="42C1BA22">
      <w:pPr>
        <w:pStyle w:val="5"/>
        <w:numPr>
          <w:ilvl w:val="0"/>
          <w:numId w:val="52"/>
        </w:numPr>
      </w:pPr>
      <w:r>
        <w:t>混合使用</w:t>
      </w:r>
    </w:p>
    <w:p w14:paraId="7F052223">
      <w:pPr>
        <w:spacing w:after="166"/>
        <w:ind w:firstLine="500"/>
      </w:pPr>
      <w:r>
        <w:rPr>
          <w:rFonts w:hint="eastAsia"/>
          <w:lang w:val="en-US"/>
        </w:rPr>
        <w:t>基本内涵：指一个地块中有两类或两类以上使用性质的建筑，且每类性质的地上建筑面积占地上总建筑面积的比例均超过10%的用地。</w:t>
      </w:r>
    </w:p>
    <w:p w14:paraId="5531C6AA">
      <w:pPr>
        <w:spacing w:after="166"/>
        <w:ind w:firstLine="500"/>
      </w:pPr>
      <w:r>
        <w:rPr>
          <w:rFonts w:hint="eastAsia"/>
          <w:lang w:val="en-US"/>
        </w:rPr>
        <w:t>表达方式：按照各功能建筑面积占比进行排序。XY的表述形式代表X功能占比大于Y功能，X为该地块的主导功能。</w:t>
      </w:r>
    </w:p>
    <w:p w14:paraId="355ADBD7">
      <w:pPr>
        <w:spacing w:after="166"/>
        <w:ind w:firstLine="500"/>
      </w:pPr>
      <w:r>
        <w:rPr>
          <w:rFonts w:hint="eastAsia"/>
          <w:lang w:val="en-US"/>
        </w:rPr>
        <w:t>功能混合条件见用地混合引导表。</w:t>
      </w:r>
    </w:p>
    <w:p w14:paraId="2C3A638B">
      <w:pPr>
        <w:pStyle w:val="5"/>
        <w:numPr>
          <w:ilvl w:val="0"/>
          <w:numId w:val="51"/>
        </w:numPr>
      </w:pPr>
      <w:r>
        <w:t>兼容使用</w:t>
      </w:r>
    </w:p>
    <w:p w14:paraId="5EB06FCA">
      <w:pPr>
        <w:spacing w:after="166"/>
        <w:ind w:firstLine="500"/>
      </w:pPr>
      <w:r>
        <w:rPr>
          <w:rFonts w:hint="eastAsia"/>
          <w:lang w:val="en-US"/>
        </w:rPr>
        <w:t>基本内涵：指一个独立性质的地块中附属配套其他功能。</w:t>
      </w:r>
    </w:p>
    <w:p w14:paraId="2D3EDBC0">
      <w:pPr>
        <w:spacing w:after="166"/>
        <w:ind w:firstLine="500"/>
      </w:pPr>
      <w:r>
        <w:rPr>
          <w:rFonts w:hint="eastAsia"/>
          <w:lang w:val="en-US"/>
        </w:rPr>
        <w:t>表达方式：依据控规用地混合引导表在图则中表达，在出具规划条件时，予以明确兼容性质与比例。</w:t>
      </w:r>
    </w:p>
    <w:p w14:paraId="1AA078E6">
      <w:pPr>
        <w:spacing w:after="166"/>
        <w:ind w:firstLine="500"/>
      </w:pPr>
      <w:r>
        <w:rPr>
          <w:rFonts w:hint="eastAsia"/>
          <w:lang w:val="en-US"/>
        </w:rPr>
        <w:t>功能兼容条件见用地混合引导表。</w:t>
      </w:r>
    </w:p>
    <w:p w14:paraId="06B41BD1">
      <w:pPr>
        <w:spacing w:beforeAutospacing="1" w:after="166"/>
        <w:ind w:firstLine="500"/>
        <w:rPr>
          <w:rFonts w:hint="eastAsia" w:ascii="宋体" w:hAnsi="宋体" w:cs="宋体"/>
          <w:color w:val="000000"/>
          <w:kern w:val="0"/>
        </w:rPr>
      </w:pPr>
      <w:r>
        <w:rPr>
          <w:rFonts w:hint="eastAsia" w:ascii="宋体" w:hAnsi="宋体" w:cs="宋体"/>
          <w:color w:val="000000"/>
          <w:kern w:val="0"/>
          <w:lang w:val="en-US" w:bidi="ar"/>
        </w:rPr>
        <w:br w:type="page"/>
      </w:r>
    </w:p>
    <w:p w14:paraId="331DA23A">
      <w:pPr>
        <w:pStyle w:val="117"/>
      </w:pPr>
      <w:r>
        <w:rPr>
          <w:rFonts w:hint="eastAsia"/>
        </w:rPr>
        <w:t xml:space="preserve"> 表15-1 用地混合引导表</w:t>
      </w:r>
    </w:p>
    <w:tbl>
      <w:tblPr>
        <w:tblStyle w:val="36"/>
        <w:tblpPr w:leftFromText="180" w:rightFromText="180" w:vertAnchor="text" w:horzAnchor="page" w:tblpX="1919" w:tblpY="146"/>
        <w:tblOverlap w:val="never"/>
        <w:tblW w:w="460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34"/>
        <w:gridCol w:w="340"/>
        <w:gridCol w:w="340"/>
        <w:gridCol w:w="340"/>
        <w:gridCol w:w="340"/>
        <w:gridCol w:w="340"/>
        <w:gridCol w:w="340"/>
        <w:gridCol w:w="340"/>
        <w:gridCol w:w="340"/>
        <w:gridCol w:w="340"/>
        <w:gridCol w:w="340"/>
        <w:gridCol w:w="340"/>
        <w:gridCol w:w="340"/>
        <w:gridCol w:w="340"/>
        <w:gridCol w:w="339"/>
        <w:gridCol w:w="339"/>
        <w:gridCol w:w="339"/>
        <w:gridCol w:w="339"/>
        <w:gridCol w:w="339"/>
      </w:tblGrid>
      <w:tr w14:paraId="4F7345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3" w:hRule="atLeast"/>
        </w:trPr>
        <w:tc>
          <w:tcPr>
            <w:tcW w:w="1104" w:type="pct"/>
            <w:tcBorders>
              <w:bottom w:val="single" w:color="auto" w:sz="4" w:space="0"/>
              <w:right w:val="single" w:color="auto" w:sz="4" w:space="0"/>
            </w:tcBorders>
            <w:shd w:val="clear" w:color="auto" w:fill="auto"/>
            <w:vAlign w:val="center"/>
            <mc:AlternateContent>
              <mc:Choice Requires="wpsCustomData">
                <wpsCustomData:diagonals>
                  <wpsCustomData:diagonal from="10000" to="30000">
                    <wpsCustomData:border w:val="single" w:color="auto" w:sz="4" w:space="0"/>
                  </wpsCustomData:diagonal>
                </wpsCustomData:diagonals>
              </mc:Choice>
            </mc:AlternateContent>
          </w:tcPr>
          <w:p w14:paraId="73DB5CC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 xml:space="preserve"> </w:t>
            </w:r>
          </w:p>
          <w:p w14:paraId="08314787">
            <w:pPr>
              <w:pStyle w:val="115"/>
              <w:keepNext w:val="0"/>
              <w:keepLines w:val="0"/>
              <w:suppressLineNumbers w:val="0"/>
              <w:spacing w:before="0" w:beforeAutospacing="0" w:afterAutospacing="0"/>
              <w:ind w:left="0" w:right="0"/>
              <w:rPr>
                <w:rFonts w:hint="default"/>
                <w:sz w:val="16"/>
                <w:szCs w:val="21"/>
              </w:rPr>
            </w:pPr>
          </w:p>
          <w:p w14:paraId="109839B1">
            <w:pPr>
              <w:pStyle w:val="115"/>
              <w:keepNext w:val="0"/>
              <w:keepLines w:val="0"/>
              <w:suppressLineNumbers w:val="0"/>
              <w:spacing w:before="0" w:beforeAutospacing="0" w:afterAutospacing="0"/>
              <w:ind w:left="0" w:right="0"/>
              <w:rPr>
                <w:rFonts w:hint="default"/>
                <w:sz w:val="16"/>
                <w:szCs w:val="21"/>
              </w:rPr>
            </w:pPr>
          </w:p>
          <w:p w14:paraId="238B2C7E">
            <w:pPr>
              <w:pStyle w:val="115"/>
              <w:keepNext w:val="0"/>
              <w:keepLines w:val="0"/>
              <w:suppressLineNumbers w:val="0"/>
              <w:spacing w:before="0" w:beforeAutospacing="0" w:afterAutospacing="0"/>
              <w:ind w:left="0" w:right="0"/>
              <w:rPr>
                <w:rFonts w:hint="default"/>
                <w:sz w:val="16"/>
                <w:szCs w:val="21"/>
              </w:rPr>
            </w:pPr>
          </w:p>
          <w:p w14:paraId="580E97DC">
            <w:pPr>
              <w:pStyle w:val="115"/>
              <w:keepNext w:val="0"/>
              <w:keepLines w:val="0"/>
              <w:suppressLineNumbers w:val="0"/>
              <w:spacing w:before="0" w:beforeAutospacing="0" w:afterAutospacing="0"/>
              <w:ind w:left="0" w:right="0"/>
              <w:rPr>
                <w:rFonts w:hint="default"/>
                <w:sz w:val="16"/>
                <w:szCs w:val="21"/>
              </w:rPr>
            </w:pPr>
          </w:p>
          <w:p w14:paraId="57C51EF1">
            <w:pPr>
              <w:pStyle w:val="115"/>
              <w:keepNext w:val="0"/>
              <w:keepLines w:val="0"/>
              <w:suppressLineNumbers w:val="0"/>
              <w:spacing w:before="0" w:beforeAutospacing="0" w:afterAutospacing="0"/>
              <w:ind w:left="0" w:right="0"/>
              <w:rPr>
                <w:rFonts w:hint="default"/>
                <w:sz w:val="16"/>
                <w:szCs w:val="21"/>
              </w:rPr>
            </w:pPr>
          </w:p>
          <w:p w14:paraId="7F5BECA5">
            <w:pPr>
              <w:pStyle w:val="115"/>
              <w:keepNext w:val="0"/>
              <w:keepLines w:val="0"/>
              <w:suppressLineNumbers w:val="0"/>
              <w:snapToGrid w:val="0"/>
              <w:spacing w:before="0" w:beforeAutospacing="0" w:afterAutospacing="0"/>
              <w:ind w:left="0" w:right="0"/>
              <mc:AlternateContent>
                <mc:Choice Requires="wpsCustomData">
                  <wpsCustomData:diagonalParaType/>
                </mc:Choice>
              </mc:AlternateContent>
              <w:rPr>
                <w:rFonts w:hint="default"/>
                <w:sz w:val="16"/>
                <w:szCs w:val="21"/>
              </w:rPr>
            </w:pPr>
            <w:r>
              <w:rPr>
                <w:rFonts w:hint="eastAsia"/>
                <w:sz w:val="16"/>
                <w:szCs w:val="21"/>
              </w:rPr>
              <w:t>规划用地性质</w:t>
            </w:r>
          </w:p>
          <w:p w14:paraId="28696F17">
            <w:pPr>
              <w:pStyle w:val="115"/>
              <w:keepNext w:val="0"/>
              <w:keepLines w:val="0"/>
              <w:suppressLineNumbers w:val="0"/>
              <w:spacing w:before="0" w:beforeAutospacing="0" w:afterAutospacing="0"/>
              <w:ind w:left="0" w:right="0"/>
              <w:rPr>
                <w:rFonts w:hint="eastAsia"/>
                <w:sz w:val="16"/>
                <w:szCs w:val="21"/>
              </w:rPr>
            </w:pPr>
          </w:p>
          <w:p w14:paraId="650B2D6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可混合用地性质</w:t>
            </w:r>
          </w:p>
          <w:p w14:paraId="393A729A">
            <w:pPr>
              <w:pStyle w:val="115"/>
              <w:keepNext w:val="0"/>
              <w:keepLines w:val="0"/>
              <w:suppressLineNumbers w:val="0"/>
              <w:spacing w:before="0" w:beforeAutospacing="0" w:afterAutospacing="0"/>
              <w:ind w:left="0" w:right="0"/>
              <w:rPr>
                <w:rFonts w:hint="default"/>
                <w:sz w:val="16"/>
                <w:szCs w:val="21"/>
              </w:rPr>
            </w:pPr>
          </w:p>
        </w:tc>
        <w:tc>
          <w:tcPr>
            <w:tcW w:w="216" w:type="pct"/>
            <w:tcBorders>
              <w:left w:val="single" w:color="auto" w:sz="4" w:space="0"/>
            </w:tcBorders>
            <w:shd w:val="clear" w:color="auto" w:fill="auto"/>
            <w:vAlign w:val="center"/>
          </w:tcPr>
          <w:p w14:paraId="38320EF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一类居住用地</w:t>
            </w:r>
          </w:p>
        </w:tc>
        <w:tc>
          <w:tcPr>
            <w:tcW w:w="216" w:type="pct"/>
            <w:shd w:val="clear" w:color="auto" w:fill="auto"/>
            <w:vAlign w:val="center"/>
          </w:tcPr>
          <w:p w14:paraId="27DD68B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二类居住用地</w:t>
            </w:r>
          </w:p>
        </w:tc>
        <w:tc>
          <w:tcPr>
            <w:tcW w:w="216" w:type="pct"/>
            <w:shd w:val="clear" w:color="auto" w:fill="auto"/>
            <w:vAlign w:val="center"/>
          </w:tcPr>
          <w:p w14:paraId="4E4D53B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文化设施用地</w:t>
            </w:r>
          </w:p>
        </w:tc>
        <w:tc>
          <w:tcPr>
            <w:tcW w:w="216" w:type="pct"/>
            <w:shd w:val="clear" w:color="auto" w:fill="auto"/>
            <w:vAlign w:val="center"/>
          </w:tcPr>
          <w:p w14:paraId="065909D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行政办公用地</w:t>
            </w:r>
          </w:p>
        </w:tc>
        <w:tc>
          <w:tcPr>
            <w:tcW w:w="216" w:type="pct"/>
            <w:shd w:val="clear" w:color="auto" w:fill="auto"/>
            <w:vAlign w:val="center"/>
          </w:tcPr>
          <w:p w14:paraId="1A36EF4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教育科研用地</w:t>
            </w:r>
          </w:p>
        </w:tc>
        <w:tc>
          <w:tcPr>
            <w:tcW w:w="216" w:type="pct"/>
            <w:shd w:val="clear" w:color="auto" w:fill="auto"/>
            <w:vAlign w:val="center"/>
          </w:tcPr>
          <w:p w14:paraId="1F67EF1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体育用地</w:t>
            </w:r>
          </w:p>
        </w:tc>
        <w:tc>
          <w:tcPr>
            <w:tcW w:w="216" w:type="pct"/>
            <w:shd w:val="clear" w:color="auto" w:fill="auto"/>
            <w:vAlign w:val="center"/>
          </w:tcPr>
          <w:p w14:paraId="6026A90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医疗卫生用地</w:t>
            </w:r>
          </w:p>
        </w:tc>
        <w:tc>
          <w:tcPr>
            <w:tcW w:w="216" w:type="pct"/>
            <w:shd w:val="clear" w:color="auto" w:fill="auto"/>
            <w:vAlign w:val="center"/>
          </w:tcPr>
          <w:p w14:paraId="3D50802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社会福利用地,</w:t>
            </w:r>
          </w:p>
        </w:tc>
        <w:tc>
          <w:tcPr>
            <w:tcW w:w="216" w:type="pct"/>
            <w:shd w:val="clear" w:color="auto" w:fill="auto"/>
            <w:vAlign w:val="center"/>
          </w:tcPr>
          <w:p w14:paraId="4D1F170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商业用地</w:t>
            </w:r>
          </w:p>
        </w:tc>
        <w:tc>
          <w:tcPr>
            <w:tcW w:w="216" w:type="pct"/>
            <w:shd w:val="clear" w:color="auto" w:fill="auto"/>
            <w:vAlign w:val="center"/>
          </w:tcPr>
          <w:p w14:paraId="2C19644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商务用地</w:t>
            </w:r>
          </w:p>
        </w:tc>
        <w:tc>
          <w:tcPr>
            <w:tcW w:w="216" w:type="pct"/>
            <w:shd w:val="clear" w:color="auto" w:fill="auto"/>
            <w:vAlign w:val="center"/>
          </w:tcPr>
          <w:p w14:paraId="7DCF3EF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康体娱乐用地</w:t>
            </w:r>
          </w:p>
        </w:tc>
        <w:tc>
          <w:tcPr>
            <w:tcW w:w="216" w:type="pct"/>
            <w:shd w:val="clear" w:color="auto" w:fill="auto"/>
            <w:vAlign w:val="center"/>
          </w:tcPr>
          <w:p w14:paraId="7914D02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一类工业用地</w:t>
            </w:r>
          </w:p>
        </w:tc>
        <w:tc>
          <w:tcPr>
            <w:tcW w:w="216" w:type="pct"/>
            <w:shd w:val="clear" w:color="auto" w:fill="auto"/>
            <w:vAlign w:val="center"/>
          </w:tcPr>
          <w:p w14:paraId="1CE03D9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二类工业用地</w:t>
            </w:r>
          </w:p>
        </w:tc>
        <w:tc>
          <w:tcPr>
            <w:tcW w:w="215" w:type="pct"/>
            <w:shd w:val="clear" w:color="auto" w:fill="auto"/>
            <w:vAlign w:val="center"/>
          </w:tcPr>
          <w:p w14:paraId="2B2ABD0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生产研发用地</w:t>
            </w:r>
          </w:p>
        </w:tc>
        <w:tc>
          <w:tcPr>
            <w:tcW w:w="215" w:type="pct"/>
            <w:shd w:val="clear" w:color="auto" w:fill="auto"/>
            <w:vAlign w:val="center"/>
          </w:tcPr>
          <w:p w14:paraId="51E81E9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一类仓储物流用地</w:t>
            </w:r>
          </w:p>
        </w:tc>
        <w:tc>
          <w:tcPr>
            <w:tcW w:w="215" w:type="pct"/>
            <w:shd w:val="clear" w:color="auto" w:fill="auto"/>
            <w:vAlign w:val="center"/>
          </w:tcPr>
          <w:p w14:paraId="79C131A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二类仓储物流用地</w:t>
            </w:r>
          </w:p>
        </w:tc>
        <w:tc>
          <w:tcPr>
            <w:tcW w:w="215" w:type="pct"/>
            <w:shd w:val="clear" w:color="auto" w:fill="auto"/>
            <w:vAlign w:val="center"/>
          </w:tcPr>
          <w:p w14:paraId="63B717A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交通枢纽用地</w:t>
            </w:r>
          </w:p>
        </w:tc>
        <w:tc>
          <w:tcPr>
            <w:tcW w:w="215" w:type="pct"/>
            <w:shd w:val="clear" w:color="auto" w:fill="auto"/>
            <w:vAlign w:val="center"/>
          </w:tcPr>
          <w:p w14:paraId="3433C07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交通场站用地</w:t>
            </w:r>
          </w:p>
        </w:tc>
      </w:tr>
      <w:tr w14:paraId="54DB08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tcBorders>
              <w:top w:val="single" w:color="auto" w:sz="4" w:space="0"/>
            </w:tcBorders>
            <w:shd w:val="clear" w:color="auto" w:fill="auto"/>
            <w:vAlign w:val="center"/>
          </w:tcPr>
          <w:p w14:paraId="6D9693A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二类居住用地</w:t>
            </w:r>
          </w:p>
        </w:tc>
        <w:tc>
          <w:tcPr>
            <w:tcW w:w="216" w:type="pct"/>
            <w:shd w:val="clear" w:color="auto" w:fill="auto"/>
            <w:vAlign w:val="center"/>
          </w:tcPr>
          <w:p w14:paraId="41A5C82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mc:AlternateContent>
              <mc:Choice Requires="wpsCustomData">
                <wpsCustomData:diagonals>
                  <wpsCustomData:diagonal from="10000" to="30000">
                    <wpsCustomData:border w:val="single" w:color="auto" w:sz="4" w:space="0"/>
                  </wpsCustomData:diagonal>
                </wpsCustomData:diagonals>
              </mc:Choice>
            </mc:AlternateContent>
          </w:tcPr>
          <w:p w14:paraId="58BF744A">
            <w:pPr>
              <w:pStyle w:val="115"/>
              <w:keepNext w:val="0"/>
              <w:keepLines w:val="0"/>
              <w:suppressLineNumbers w:val="0"/>
              <w:spacing w:before="0" w:beforeAutospacing="0" w:afterAutospacing="0"/>
              <w:ind w:left="0" w:right="0"/>
              <w:rPr>
                <w:rFonts w:hint="default"/>
                <w:sz w:val="16"/>
                <w:szCs w:val="21"/>
              </w:rPr>
            </w:pPr>
          </w:p>
          <w:p w14:paraId="4F185E18">
            <w:pPr>
              <w:pStyle w:val="115"/>
              <w:keepNext w:val="0"/>
              <w:keepLines w:val="0"/>
              <w:suppressLineNumbers w:val="0"/>
              <w:snapToGrid w:val="0"/>
              <w:spacing w:before="0" w:beforeAutospacing="0" w:afterAutospacing="0"/>
              <w:ind w:left="0" w:right="0"/>
              <mc:AlternateContent>
                <mc:Choice Requires="wpsCustomData">
                  <wpsCustomData:diagonalParaType/>
                </mc:Choice>
              </mc:AlternateContent>
              <w:rPr>
                <w:rFonts w:hint="default"/>
                <w:sz w:val="16"/>
                <w:szCs w:val="21"/>
              </w:rPr>
            </w:pPr>
          </w:p>
          <w:p w14:paraId="1CC943E6">
            <w:pPr>
              <w:pStyle w:val="115"/>
              <w:keepNext w:val="0"/>
              <w:keepLines w:val="0"/>
              <w:suppressLineNumbers w:val="0"/>
              <w:spacing w:before="0" w:beforeAutospacing="0" w:afterAutospacing="0"/>
              <w:ind w:left="0" w:right="0"/>
              <w:rPr>
                <w:rFonts w:hint="default"/>
                <w:sz w:val="16"/>
                <w:szCs w:val="21"/>
              </w:rPr>
            </w:pPr>
          </w:p>
        </w:tc>
        <w:tc>
          <w:tcPr>
            <w:tcW w:w="216" w:type="pct"/>
            <w:shd w:val="clear" w:color="auto" w:fill="auto"/>
            <w:vAlign w:val="center"/>
          </w:tcPr>
          <w:p w14:paraId="1E12100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ACC39B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0D5F2A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B428FD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443A37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F40EBD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AF586C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7F4505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3C20E9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4D9519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FE657D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55DB9ED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0CC259A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7C8F2A7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1ADCD60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4FFD9A5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r w14:paraId="4EF0A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3596F84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其他居住用地</w:t>
            </w:r>
          </w:p>
        </w:tc>
        <w:tc>
          <w:tcPr>
            <w:tcW w:w="216" w:type="pct"/>
            <w:shd w:val="clear" w:color="auto" w:fill="auto"/>
            <w:vAlign w:val="center"/>
          </w:tcPr>
          <w:p w14:paraId="6FF58B4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83ADC1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A1FC4B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40B978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1A9841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1FDCFF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64E0EE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D865BA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E8CD25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2607A6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C74506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78E17C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CCCFDD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64E2EBF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74D80BD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3A50C07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78FDAC6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0BE7CCF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r w14:paraId="518C7F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1A3772C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基层社区中心</w:t>
            </w:r>
          </w:p>
        </w:tc>
        <w:tc>
          <w:tcPr>
            <w:tcW w:w="216" w:type="pct"/>
            <w:shd w:val="clear" w:color="auto" w:fill="auto"/>
            <w:vAlign w:val="center"/>
          </w:tcPr>
          <w:p w14:paraId="62ABF55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F58E3F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EA953D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5F7854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71F645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F6AB1E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CF21A4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F29FB2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41CF8A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67C027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B2A037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6D00C0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3895AB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3CAC85B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3E6EC1B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6DF0F39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256705E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435F2FE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r w14:paraId="0974D3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17CEE21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行政办公用地</w:t>
            </w:r>
          </w:p>
        </w:tc>
        <w:tc>
          <w:tcPr>
            <w:tcW w:w="216" w:type="pct"/>
            <w:shd w:val="clear" w:color="auto" w:fill="auto"/>
            <w:vAlign w:val="center"/>
          </w:tcPr>
          <w:p w14:paraId="5ECB890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34A289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mc:AlternateContent>
              <mc:Choice Requires="wpsCustomData">
                <wpsCustomData:diagonals>
                  <wpsCustomData:diagonal from="10000" to="30000">
                    <wpsCustomData:border w:val="single" w:color="auto" w:sz="4" w:space="0"/>
                  </wpsCustomData:diagonal>
                </wpsCustomData:diagonals>
              </mc:Choice>
            </mc:AlternateContent>
          </w:tcPr>
          <w:p w14:paraId="56D1D69B">
            <w:pPr>
              <w:pStyle w:val="115"/>
              <w:keepNext w:val="0"/>
              <w:keepLines w:val="0"/>
              <w:suppressLineNumbers w:val="0"/>
              <w:spacing w:before="0" w:beforeAutospacing="0" w:afterAutospacing="0"/>
              <w:ind w:left="0" w:right="0"/>
              <w:rPr>
                <w:rFonts w:hint="default"/>
                <w:sz w:val="16"/>
                <w:szCs w:val="21"/>
              </w:rPr>
            </w:pPr>
          </w:p>
          <w:p w14:paraId="163F7FDB">
            <w:pPr>
              <w:pStyle w:val="115"/>
              <w:keepNext w:val="0"/>
              <w:keepLines w:val="0"/>
              <w:suppressLineNumbers w:val="0"/>
              <w:snapToGrid w:val="0"/>
              <w:spacing w:before="0" w:beforeAutospacing="0" w:afterAutospacing="0"/>
              <w:ind w:left="0" w:right="0"/>
              <mc:AlternateContent>
                <mc:Choice Requires="wpsCustomData">
                  <wpsCustomData:diagonalParaType/>
                </mc:Choice>
              </mc:AlternateContent>
              <w:rPr>
                <w:rFonts w:hint="default"/>
                <w:sz w:val="16"/>
                <w:szCs w:val="21"/>
              </w:rPr>
            </w:pPr>
          </w:p>
          <w:p w14:paraId="672D89F5">
            <w:pPr>
              <w:pStyle w:val="115"/>
              <w:keepNext w:val="0"/>
              <w:keepLines w:val="0"/>
              <w:suppressLineNumbers w:val="0"/>
              <w:spacing w:before="0" w:beforeAutospacing="0" w:afterAutospacing="0"/>
              <w:ind w:left="0" w:right="0"/>
              <w:rPr>
                <w:rFonts w:hint="default"/>
                <w:sz w:val="16"/>
                <w:szCs w:val="21"/>
              </w:rPr>
            </w:pPr>
          </w:p>
        </w:tc>
        <w:tc>
          <w:tcPr>
            <w:tcW w:w="216" w:type="pct"/>
            <w:shd w:val="clear" w:color="auto" w:fill="auto"/>
            <w:vAlign w:val="center"/>
          </w:tcPr>
          <w:p w14:paraId="30E0F17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0D5683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BFAD02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09A4CF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08D366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6857B7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455945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8B293B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07C959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A8422D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60EB2A4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229BA60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28EE941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294EB60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3FB5846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r w14:paraId="0DB2C3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4D54933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文化设施用地</w:t>
            </w:r>
          </w:p>
        </w:tc>
        <w:tc>
          <w:tcPr>
            <w:tcW w:w="216" w:type="pct"/>
            <w:shd w:val="clear" w:color="auto" w:fill="auto"/>
            <w:vAlign w:val="center"/>
          </w:tcPr>
          <w:p w14:paraId="427192C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247402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23C19A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mc:AlternateContent>
              <mc:Choice Requires="wpsCustomData">
                <wpsCustomData:diagonals>
                  <wpsCustomData:diagonal from="10000" to="30000">
                    <wpsCustomData:border w:val="single" w:color="auto" w:sz="4" w:space="0"/>
                  </wpsCustomData:diagonal>
                </wpsCustomData:diagonals>
              </mc:Choice>
            </mc:AlternateContent>
          </w:tcPr>
          <w:p w14:paraId="7F28DAE0">
            <w:pPr>
              <w:pStyle w:val="115"/>
              <w:keepNext w:val="0"/>
              <w:keepLines w:val="0"/>
              <w:suppressLineNumbers w:val="0"/>
              <w:spacing w:before="0" w:beforeAutospacing="0" w:afterAutospacing="0"/>
              <w:ind w:left="0" w:right="0"/>
              <w:rPr>
                <w:rFonts w:hint="default"/>
                <w:sz w:val="16"/>
                <w:szCs w:val="21"/>
              </w:rPr>
            </w:pPr>
          </w:p>
          <w:p w14:paraId="2FB3DDA0">
            <w:pPr>
              <w:pStyle w:val="115"/>
              <w:keepNext w:val="0"/>
              <w:keepLines w:val="0"/>
              <w:suppressLineNumbers w:val="0"/>
              <w:snapToGrid w:val="0"/>
              <w:spacing w:before="0" w:beforeAutospacing="0" w:afterAutospacing="0"/>
              <w:ind w:left="0" w:right="0"/>
              <mc:AlternateContent>
                <mc:Choice Requires="wpsCustomData">
                  <wpsCustomData:diagonalParaType/>
                </mc:Choice>
              </mc:AlternateContent>
              <w:rPr>
                <w:rFonts w:hint="default"/>
                <w:sz w:val="16"/>
                <w:szCs w:val="21"/>
              </w:rPr>
            </w:pPr>
          </w:p>
          <w:p w14:paraId="6019642E">
            <w:pPr>
              <w:pStyle w:val="115"/>
              <w:keepNext w:val="0"/>
              <w:keepLines w:val="0"/>
              <w:suppressLineNumbers w:val="0"/>
              <w:spacing w:before="0" w:beforeAutospacing="0" w:afterAutospacing="0"/>
              <w:ind w:left="0" w:right="0"/>
              <w:rPr>
                <w:rFonts w:hint="default"/>
                <w:sz w:val="16"/>
                <w:szCs w:val="21"/>
              </w:rPr>
            </w:pPr>
          </w:p>
        </w:tc>
        <w:tc>
          <w:tcPr>
            <w:tcW w:w="216" w:type="pct"/>
            <w:shd w:val="clear" w:color="auto" w:fill="auto"/>
            <w:vAlign w:val="center"/>
          </w:tcPr>
          <w:p w14:paraId="2B45F87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E800FE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D8D6CC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2290A6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A9F593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4172BF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B8E250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0B43AC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CD722B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02E83D2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37E0D2C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13279F9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4C323C0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3B7FC20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r w14:paraId="107DAD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4566FF5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教育科研用地</w:t>
            </w:r>
          </w:p>
        </w:tc>
        <w:tc>
          <w:tcPr>
            <w:tcW w:w="216" w:type="pct"/>
            <w:shd w:val="clear" w:color="auto" w:fill="auto"/>
            <w:vAlign w:val="center"/>
          </w:tcPr>
          <w:p w14:paraId="1F9224F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438738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563FFD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E0A7B9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mc:AlternateContent>
              <mc:Choice Requires="wpsCustomData">
                <wpsCustomData:diagonals>
                  <wpsCustomData:diagonal from="10000" to="30000">
                    <wpsCustomData:border w:val="single" w:color="auto" w:sz="4" w:space="0"/>
                  </wpsCustomData:diagonal>
                </wpsCustomData:diagonals>
              </mc:Choice>
            </mc:AlternateContent>
          </w:tcPr>
          <w:p w14:paraId="64F91F5D">
            <w:pPr>
              <w:pStyle w:val="115"/>
              <w:keepNext w:val="0"/>
              <w:keepLines w:val="0"/>
              <w:suppressLineNumbers w:val="0"/>
              <w:spacing w:before="0" w:beforeAutospacing="0" w:afterAutospacing="0"/>
              <w:ind w:left="0" w:right="0"/>
              <w:rPr>
                <w:rFonts w:hint="default"/>
                <w:sz w:val="16"/>
                <w:szCs w:val="21"/>
              </w:rPr>
            </w:pPr>
          </w:p>
          <w:p w14:paraId="49FD7759">
            <w:pPr>
              <w:pStyle w:val="115"/>
              <w:keepNext w:val="0"/>
              <w:keepLines w:val="0"/>
              <w:suppressLineNumbers w:val="0"/>
              <w:snapToGrid w:val="0"/>
              <w:spacing w:before="0" w:beforeAutospacing="0" w:afterAutospacing="0"/>
              <w:ind w:left="0" w:right="0"/>
              <mc:AlternateContent>
                <mc:Choice Requires="wpsCustomData">
                  <wpsCustomData:diagonalParaType/>
                </mc:Choice>
              </mc:AlternateContent>
              <w:rPr>
                <w:rFonts w:hint="default"/>
                <w:sz w:val="16"/>
                <w:szCs w:val="21"/>
              </w:rPr>
            </w:pPr>
          </w:p>
          <w:p w14:paraId="476875AD">
            <w:pPr>
              <w:pStyle w:val="115"/>
              <w:keepNext w:val="0"/>
              <w:keepLines w:val="0"/>
              <w:suppressLineNumbers w:val="0"/>
              <w:spacing w:before="0" w:beforeAutospacing="0" w:afterAutospacing="0"/>
              <w:ind w:left="0" w:right="0"/>
              <w:rPr>
                <w:rFonts w:hint="default"/>
                <w:sz w:val="16"/>
                <w:szCs w:val="21"/>
              </w:rPr>
            </w:pPr>
          </w:p>
        </w:tc>
        <w:tc>
          <w:tcPr>
            <w:tcW w:w="216" w:type="pct"/>
            <w:shd w:val="clear" w:color="auto" w:fill="auto"/>
            <w:vAlign w:val="center"/>
          </w:tcPr>
          <w:p w14:paraId="606240D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1CEC6C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0EB23D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CEA530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B45F33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028DB4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9885DC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421159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2D33D6A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69AED40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77A1BF2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5A713EC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544A891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r w14:paraId="2128E6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012D853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体育用地</w:t>
            </w:r>
          </w:p>
        </w:tc>
        <w:tc>
          <w:tcPr>
            <w:tcW w:w="216" w:type="pct"/>
            <w:shd w:val="clear" w:color="auto" w:fill="auto"/>
            <w:vAlign w:val="center"/>
          </w:tcPr>
          <w:p w14:paraId="34A2623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9A2CA2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4E4696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C1508A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0B1D26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mc:AlternateContent>
              <mc:Choice Requires="wpsCustomData">
                <wpsCustomData:diagonals>
                  <wpsCustomData:diagonal from="10000" to="30000">
                    <wpsCustomData:border w:val="single" w:color="auto" w:sz="4" w:space="0"/>
                  </wpsCustomData:diagonal>
                </wpsCustomData:diagonals>
              </mc:Choice>
            </mc:AlternateContent>
          </w:tcPr>
          <w:p w14:paraId="132D8C5E">
            <w:pPr>
              <w:pStyle w:val="115"/>
              <w:keepNext w:val="0"/>
              <w:keepLines w:val="0"/>
              <w:suppressLineNumbers w:val="0"/>
              <w:spacing w:before="0" w:beforeAutospacing="0" w:afterAutospacing="0"/>
              <w:ind w:left="0" w:right="0"/>
              <w:rPr>
                <w:rFonts w:hint="default"/>
                <w:sz w:val="16"/>
                <w:szCs w:val="21"/>
              </w:rPr>
            </w:pPr>
          </w:p>
          <w:p w14:paraId="7F80B082">
            <w:pPr>
              <w:pStyle w:val="115"/>
              <w:keepNext w:val="0"/>
              <w:keepLines w:val="0"/>
              <w:suppressLineNumbers w:val="0"/>
              <w:snapToGrid w:val="0"/>
              <w:spacing w:before="0" w:beforeAutospacing="0" w:afterAutospacing="0"/>
              <w:ind w:left="0" w:right="0"/>
              <mc:AlternateContent>
                <mc:Choice Requires="wpsCustomData">
                  <wpsCustomData:diagonalParaType/>
                </mc:Choice>
              </mc:AlternateContent>
              <w:rPr>
                <w:rFonts w:hint="default"/>
                <w:sz w:val="16"/>
                <w:szCs w:val="21"/>
              </w:rPr>
            </w:pPr>
          </w:p>
          <w:p w14:paraId="4FD5D424">
            <w:pPr>
              <w:pStyle w:val="115"/>
              <w:keepNext w:val="0"/>
              <w:keepLines w:val="0"/>
              <w:suppressLineNumbers w:val="0"/>
              <w:spacing w:before="0" w:beforeAutospacing="0" w:afterAutospacing="0"/>
              <w:ind w:left="0" w:right="0"/>
              <w:rPr>
                <w:rFonts w:hint="default"/>
                <w:sz w:val="16"/>
                <w:szCs w:val="21"/>
              </w:rPr>
            </w:pPr>
          </w:p>
        </w:tc>
        <w:tc>
          <w:tcPr>
            <w:tcW w:w="216" w:type="pct"/>
            <w:shd w:val="clear" w:color="auto" w:fill="auto"/>
            <w:vAlign w:val="center"/>
          </w:tcPr>
          <w:p w14:paraId="0FA2FE3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0BED55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712F9D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419C18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424C25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DA554D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59345A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180A3BD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4FCECE4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4AEBF20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06EB936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3512043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r w14:paraId="4F8D03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6403033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医疗卫生用地</w:t>
            </w:r>
          </w:p>
        </w:tc>
        <w:tc>
          <w:tcPr>
            <w:tcW w:w="216" w:type="pct"/>
            <w:shd w:val="clear" w:color="auto" w:fill="auto"/>
            <w:vAlign w:val="center"/>
          </w:tcPr>
          <w:p w14:paraId="2131AED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BA6EF6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FD82E0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8B4255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3A77D5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E563F7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mc:AlternateContent>
              <mc:Choice Requires="wpsCustomData">
                <wpsCustomData:diagonals>
                  <wpsCustomData:diagonal from="10000" to="30000">
                    <wpsCustomData:border w:val="single" w:color="auto" w:sz="4" w:space="0"/>
                  </wpsCustomData:diagonal>
                </wpsCustomData:diagonals>
              </mc:Choice>
            </mc:AlternateContent>
          </w:tcPr>
          <w:p w14:paraId="46DC4AE2">
            <w:pPr>
              <w:pStyle w:val="115"/>
              <w:keepNext w:val="0"/>
              <w:keepLines w:val="0"/>
              <w:suppressLineNumbers w:val="0"/>
              <w:spacing w:before="0" w:beforeAutospacing="0" w:afterAutospacing="0"/>
              <w:ind w:left="0" w:right="0"/>
              <w:rPr>
                <w:rFonts w:hint="default"/>
                <w:sz w:val="16"/>
                <w:szCs w:val="21"/>
              </w:rPr>
            </w:pPr>
          </w:p>
          <w:p w14:paraId="4E46ED79">
            <w:pPr>
              <w:pStyle w:val="115"/>
              <w:keepNext w:val="0"/>
              <w:keepLines w:val="0"/>
              <w:suppressLineNumbers w:val="0"/>
              <w:snapToGrid w:val="0"/>
              <w:spacing w:before="0" w:beforeAutospacing="0" w:afterAutospacing="0"/>
              <w:ind w:left="0" w:right="0"/>
              <mc:AlternateContent>
                <mc:Choice Requires="wpsCustomData">
                  <wpsCustomData:diagonalParaType/>
                </mc:Choice>
              </mc:AlternateContent>
              <w:rPr>
                <w:rFonts w:hint="default"/>
                <w:sz w:val="16"/>
                <w:szCs w:val="21"/>
              </w:rPr>
            </w:pPr>
          </w:p>
          <w:p w14:paraId="23FEFDF5">
            <w:pPr>
              <w:pStyle w:val="115"/>
              <w:keepNext w:val="0"/>
              <w:keepLines w:val="0"/>
              <w:suppressLineNumbers w:val="0"/>
              <w:spacing w:before="0" w:beforeAutospacing="0" w:afterAutospacing="0"/>
              <w:ind w:left="0" w:right="0"/>
              <w:rPr>
                <w:rFonts w:hint="default"/>
                <w:sz w:val="16"/>
                <w:szCs w:val="21"/>
              </w:rPr>
            </w:pPr>
          </w:p>
        </w:tc>
        <w:tc>
          <w:tcPr>
            <w:tcW w:w="216" w:type="pct"/>
            <w:shd w:val="clear" w:color="auto" w:fill="auto"/>
            <w:vAlign w:val="center"/>
          </w:tcPr>
          <w:p w14:paraId="2BF04AF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BCE60B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255A92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78E739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2F3581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E5FE11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4A04948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5E4199A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3C46FA5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1FD7C3C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5102A07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r w14:paraId="691317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3881F05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社会福利用地,</w:t>
            </w:r>
          </w:p>
        </w:tc>
        <w:tc>
          <w:tcPr>
            <w:tcW w:w="216" w:type="pct"/>
            <w:shd w:val="clear" w:color="auto" w:fill="auto"/>
            <w:vAlign w:val="center"/>
          </w:tcPr>
          <w:p w14:paraId="48FB4F6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8C1D7F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6D194E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E4BBE0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EB3C74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B0C254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7D60C6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mc:AlternateContent>
              <mc:Choice Requires="wpsCustomData">
                <wpsCustomData:diagonals>
                  <wpsCustomData:diagonal from="10000" to="30000">
                    <wpsCustomData:border w:val="single" w:color="auto" w:sz="4" w:space="0"/>
                  </wpsCustomData:diagonal>
                </wpsCustomData:diagonals>
              </mc:Choice>
            </mc:AlternateContent>
          </w:tcPr>
          <w:p w14:paraId="4730588D">
            <w:pPr>
              <w:pStyle w:val="115"/>
              <w:keepNext w:val="0"/>
              <w:keepLines w:val="0"/>
              <w:suppressLineNumbers w:val="0"/>
              <w:spacing w:before="0" w:beforeAutospacing="0" w:afterAutospacing="0"/>
              <w:ind w:left="0" w:right="0"/>
              <w:rPr>
                <w:rFonts w:hint="default"/>
                <w:sz w:val="16"/>
                <w:szCs w:val="21"/>
              </w:rPr>
            </w:pPr>
          </w:p>
          <w:p w14:paraId="76D6808B">
            <w:pPr>
              <w:pStyle w:val="115"/>
              <w:keepNext w:val="0"/>
              <w:keepLines w:val="0"/>
              <w:suppressLineNumbers w:val="0"/>
              <w:snapToGrid w:val="0"/>
              <w:spacing w:before="0" w:beforeAutospacing="0" w:afterAutospacing="0"/>
              <w:ind w:left="0" w:right="0"/>
              <mc:AlternateContent>
                <mc:Choice Requires="wpsCustomData">
                  <wpsCustomData:diagonalParaType/>
                </mc:Choice>
              </mc:AlternateContent>
              <w:rPr>
                <w:rFonts w:hint="default"/>
                <w:sz w:val="16"/>
                <w:szCs w:val="21"/>
              </w:rPr>
            </w:pPr>
          </w:p>
          <w:p w14:paraId="3EF6F323">
            <w:pPr>
              <w:pStyle w:val="115"/>
              <w:keepNext w:val="0"/>
              <w:keepLines w:val="0"/>
              <w:suppressLineNumbers w:val="0"/>
              <w:spacing w:before="0" w:beforeAutospacing="0" w:afterAutospacing="0"/>
              <w:ind w:left="0" w:right="0"/>
              <w:rPr>
                <w:rFonts w:hint="default"/>
                <w:sz w:val="16"/>
                <w:szCs w:val="21"/>
              </w:rPr>
            </w:pPr>
          </w:p>
        </w:tc>
        <w:tc>
          <w:tcPr>
            <w:tcW w:w="216" w:type="pct"/>
            <w:shd w:val="clear" w:color="auto" w:fill="auto"/>
            <w:vAlign w:val="center"/>
          </w:tcPr>
          <w:p w14:paraId="126040E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E97B73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616B59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0171B0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5D43A0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7B9880F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2303F3C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2C70420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169E483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5F23E9E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r w14:paraId="6BA188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5ADB34F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商业用地</w:t>
            </w:r>
          </w:p>
        </w:tc>
        <w:tc>
          <w:tcPr>
            <w:tcW w:w="216" w:type="pct"/>
            <w:shd w:val="clear" w:color="auto" w:fill="auto"/>
            <w:vAlign w:val="center"/>
          </w:tcPr>
          <w:p w14:paraId="345C833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45B54C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60469A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51550E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85A2AE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517356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96FDE9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8C3602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mc:AlternateContent>
              <mc:Choice Requires="wpsCustomData">
                <wpsCustomData:diagonals>
                  <wpsCustomData:diagonal from="10000" to="30000">
                    <wpsCustomData:border w:val="single" w:color="auto" w:sz="4" w:space="0"/>
                  </wpsCustomData:diagonal>
                </wpsCustomData:diagonals>
              </mc:Choice>
            </mc:AlternateContent>
          </w:tcPr>
          <w:p w14:paraId="41974BA8">
            <w:pPr>
              <w:pStyle w:val="115"/>
              <w:keepNext w:val="0"/>
              <w:keepLines w:val="0"/>
              <w:suppressLineNumbers w:val="0"/>
              <w:spacing w:before="0" w:beforeAutospacing="0" w:afterAutospacing="0"/>
              <w:ind w:left="0" w:right="0"/>
              <w:rPr>
                <w:rFonts w:hint="default"/>
                <w:sz w:val="16"/>
                <w:szCs w:val="21"/>
              </w:rPr>
            </w:pPr>
          </w:p>
          <w:p w14:paraId="163A2C46">
            <w:pPr>
              <w:pStyle w:val="115"/>
              <w:keepNext w:val="0"/>
              <w:keepLines w:val="0"/>
              <w:suppressLineNumbers w:val="0"/>
              <w:snapToGrid w:val="0"/>
              <w:spacing w:before="0" w:beforeAutospacing="0" w:afterAutospacing="0"/>
              <w:ind w:left="0" w:right="0"/>
              <mc:AlternateContent>
                <mc:Choice Requires="wpsCustomData">
                  <wpsCustomData:diagonalParaType/>
                </mc:Choice>
              </mc:AlternateContent>
              <w:rPr>
                <w:rFonts w:hint="default"/>
                <w:sz w:val="16"/>
                <w:szCs w:val="21"/>
              </w:rPr>
            </w:pPr>
          </w:p>
          <w:p w14:paraId="4AFB304E">
            <w:pPr>
              <w:pStyle w:val="115"/>
              <w:keepNext w:val="0"/>
              <w:keepLines w:val="0"/>
              <w:suppressLineNumbers w:val="0"/>
              <w:spacing w:before="0" w:beforeAutospacing="0" w:afterAutospacing="0"/>
              <w:ind w:left="0" w:right="0"/>
              <w:rPr>
                <w:rFonts w:hint="default"/>
                <w:sz w:val="16"/>
                <w:szCs w:val="21"/>
              </w:rPr>
            </w:pPr>
          </w:p>
        </w:tc>
        <w:tc>
          <w:tcPr>
            <w:tcW w:w="216" w:type="pct"/>
            <w:shd w:val="clear" w:color="auto" w:fill="auto"/>
            <w:vAlign w:val="center"/>
          </w:tcPr>
          <w:p w14:paraId="1779A99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5AA465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A6B269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7729FB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3E6F29D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0AA6DB4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6BC1545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497A466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6A49ADE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r w14:paraId="19F6E0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6A4BF87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商务用地</w:t>
            </w:r>
          </w:p>
        </w:tc>
        <w:tc>
          <w:tcPr>
            <w:tcW w:w="216" w:type="pct"/>
            <w:shd w:val="clear" w:color="auto" w:fill="auto"/>
            <w:vAlign w:val="center"/>
          </w:tcPr>
          <w:p w14:paraId="2978573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B5BEC4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96B955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AAA9D5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4835B9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ECF9CF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C0D58D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BFF3FC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EA6819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mc:AlternateContent>
              <mc:Choice Requires="wpsCustomData">
                <wpsCustomData:diagonals>
                  <wpsCustomData:diagonal from="10000" to="30000">
                    <wpsCustomData:border w:val="single" w:color="auto" w:sz="4" w:space="0"/>
                  </wpsCustomData:diagonal>
                </wpsCustomData:diagonals>
              </mc:Choice>
            </mc:AlternateContent>
          </w:tcPr>
          <w:p w14:paraId="7846FA19">
            <w:pPr>
              <w:pStyle w:val="115"/>
              <w:keepNext w:val="0"/>
              <w:keepLines w:val="0"/>
              <w:suppressLineNumbers w:val="0"/>
              <w:spacing w:before="0" w:beforeAutospacing="0" w:afterAutospacing="0"/>
              <w:ind w:left="0" w:right="0"/>
              <w:rPr>
                <w:rFonts w:hint="default"/>
                <w:sz w:val="16"/>
                <w:szCs w:val="21"/>
              </w:rPr>
            </w:pPr>
          </w:p>
          <w:p w14:paraId="6EEFFA4C">
            <w:pPr>
              <w:pStyle w:val="115"/>
              <w:keepNext w:val="0"/>
              <w:keepLines w:val="0"/>
              <w:suppressLineNumbers w:val="0"/>
              <w:snapToGrid w:val="0"/>
              <w:spacing w:before="0" w:beforeAutospacing="0" w:afterAutospacing="0"/>
              <w:ind w:left="0" w:right="0"/>
              <mc:AlternateContent>
                <mc:Choice Requires="wpsCustomData">
                  <wpsCustomData:diagonalParaType/>
                </mc:Choice>
              </mc:AlternateContent>
              <w:rPr>
                <w:rFonts w:hint="default"/>
                <w:sz w:val="16"/>
                <w:szCs w:val="21"/>
              </w:rPr>
            </w:pPr>
          </w:p>
          <w:p w14:paraId="6EB22CFA">
            <w:pPr>
              <w:pStyle w:val="115"/>
              <w:keepNext w:val="0"/>
              <w:keepLines w:val="0"/>
              <w:suppressLineNumbers w:val="0"/>
              <w:spacing w:before="0" w:beforeAutospacing="0" w:afterAutospacing="0"/>
              <w:ind w:left="0" w:right="0"/>
              <w:rPr>
                <w:rFonts w:hint="default"/>
                <w:sz w:val="16"/>
                <w:szCs w:val="21"/>
              </w:rPr>
            </w:pPr>
          </w:p>
        </w:tc>
        <w:tc>
          <w:tcPr>
            <w:tcW w:w="216" w:type="pct"/>
            <w:shd w:val="clear" w:color="auto" w:fill="auto"/>
            <w:vAlign w:val="center"/>
          </w:tcPr>
          <w:p w14:paraId="502E74C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8590CF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5B31E5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5F4A719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2E6C52C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505AB4E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55866DF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2EBE18E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r w14:paraId="2821C4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3160DEE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康体娱乐用地</w:t>
            </w:r>
          </w:p>
        </w:tc>
        <w:tc>
          <w:tcPr>
            <w:tcW w:w="216" w:type="pct"/>
            <w:shd w:val="clear" w:color="auto" w:fill="auto"/>
            <w:vAlign w:val="center"/>
          </w:tcPr>
          <w:p w14:paraId="040DC92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8BA29C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BE07BB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470FF8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C7BB54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E34E92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297DA0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EE02EA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570871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61BB75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mc:AlternateContent>
              <mc:Choice Requires="wpsCustomData">
                <wpsCustomData:diagonals>
                  <wpsCustomData:diagonal from="10000" to="30000">
                    <wpsCustomData:border w:val="single" w:color="auto" w:sz="4" w:space="0"/>
                  </wpsCustomData:diagonal>
                </wpsCustomData:diagonals>
              </mc:Choice>
            </mc:AlternateContent>
          </w:tcPr>
          <w:p w14:paraId="2C2CA540">
            <w:pPr>
              <w:pStyle w:val="115"/>
              <w:keepNext w:val="0"/>
              <w:keepLines w:val="0"/>
              <w:suppressLineNumbers w:val="0"/>
              <w:spacing w:before="0" w:beforeAutospacing="0" w:afterAutospacing="0"/>
              <w:ind w:left="0" w:right="0"/>
              <w:rPr>
                <w:rFonts w:hint="default"/>
                <w:sz w:val="16"/>
                <w:szCs w:val="21"/>
              </w:rPr>
            </w:pPr>
          </w:p>
          <w:p w14:paraId="0FD0FA27">
            <w:pPr>
              <w:pStyle w:val="115"/>
              <w:keepNext w:val="0"/>
              <w:keepLines w:val="0"/>
              <w:suppressLineNumbers w:val="0"/>
              <w:snapToGrid w:val="0"/>
              <w:spacing w:before="0" w:beforeAutospacing="0" w:afterAutospacing="0"/>
              <w:ind w:left="0" w:right="0"/>
              <mc:AlternateContent>
                <mc:Choice Requires="wpsCustomData">
                  <wpsCustomData:diagonalParaType/>
                </mc:Choice>
              </mc:AlternateContent>
              <w:rPr>
                <w:rFonts w:hint="default"/>
                <w:sz w:val="16"/>
                <w:szCs w:val="21"/>
              </w:rPr>
            </w:pPr>
          </w:p>
          <w:p w14:paraId="6F5463FB">
            <w:pPr>
              <w:pStyle w:val="115"/>
              <w:keepNext w:val="0"/>
              <w:keepLines w:val="0"/>
              <w:suppressLineNumbers w:val="0"/>
              <w:spacing w:before="0" w:beforeAutospacing="0" w:afterAutospacing="0"/>
              <w:ind w:left="0" w:right="0"/>
              <w:rPr>
                <w:rFonts w:hint="default"/>
                <w:sz w:val="16"/>
                <w:szCs w:val="21"/>
              </w:rPr>
            </w:pPr>
          </w:p>
        </w:tc>
        <w:tc>
          <w:tcPr>
            <w:tcW w:w="216" w:type="pct"/>
            <w:shd w:val="clear" w:color="auto" w:fill="auto"/>
            <w:vAlign w:val="center"/>
          </w:tcPr>
          <w:p w14:paraId="7F3AEC0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214DC1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3B2BE34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50A5D8F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3259FE1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79E49E2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0136B2C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r w14:paraId="49ED59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2383307F">
            <w:pPr>
              <w:pStyle w:val="115"/>
              <w:keepNext w:val="0"/>
              <w:keepLines w:val="0"/>
              <w:suppressLineNumbers w:val="0"/>
              <w:spacing w:before="0" w:beforeAutospacing="0" w:afterAutospacing="0"/>
              <w:ind w:left="0" w:right="0"/>
              <w:rPr>
                <w:rFonts w:hint="default"/>
                <w:sz w:val="16"/>
                <w:szCs w:val="21"/>
              </w:rPr>
            </w:pPr>
            <w:r>
              <w:rPr>
                <w:rFonts w:hint="eastAsia"/>
                <w:sz w:val="15"/>
                <w:szCs w:val="20"/>
              </w:rPr>
              <w:t>公用设施营业网点用地</w:t>
            </w:r>
          </w:p>
        </w:tc>
        <w:tc>
          <w:tcPr>
            <w:tcW w:w="216" w:type="pct"/>
            <w:shd w:val="clear" w:color="auto" w:fill="auto"/>
            <w:vAlign w:val="center"/>
          </w:tcPr>
          <w:p w14:paraId="16F0AB9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33DECD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80B8E2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533B3F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DE0A4E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CDB651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E692AC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E34DF5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64A882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F79F74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F0B5A4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16423E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1A0150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1DFC41F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3EC7EB0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4668CEA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0EA3555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30BBD32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r w14:paraId="60165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7AB3B72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其地服务设施用地</w:t>
            </w:r>
          </w:p>
        </w:tc>
        <w:tc>
          <w:tcPr>
            <w:tcW w:w="216" w:type="pct"/>
            <w:shd w:val="clear" w:color="auto" w:fill="auto"/>
            <w:vAlign w:val="center"/>
          </w:tcPr>
          <w:p w14:paraId="0EB28CF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BF07C6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8D0EAF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D1E8B0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C3A0DA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10C2D4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80A47F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FD939B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0FF69F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B50870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6A8261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992E45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5C0170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1B751FA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7326C9F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418B397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7D9BFA6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3D001E1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r w14:paraId="6AAC5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52DB245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一类工业用地</w:t>
            </w:r>
          </w:p>
        </w:tc>
        <w:tc>
          <w:tcPr>
            <w:tcW w:w="216" w:type="pct"/>
            <w:shd w:val="clear" w:color="auto" w:fill="auto"/>
            <w:vAlign w:val="center"/>
          </w:tcPr>
          <w:p w14:paraId="4824B28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6C2080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73CA82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E7B525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FE2FBC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3649A2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C06B89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CC1FA4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16DB2C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83C179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C2D5C4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mc:AlternateContent>
              <mc:Choice Requires="wpsCustomData">
                <wpsCustomData:diagonals>
                  <wpsCustomData:diagonal from="10000" to="30000">
                    <wpsCustomData:border w:val="single" w:color="auto" w:sz="4" w:space="0"/>
                  </wpsCustomData:diagonal>
                </wpsCustomData:diagonals>
              </mc:Choice>
            </mc:AlternateContent>
          </w:tcPr>
          <w:p w14:paraId="10170930">
            <w:pPr>
              <w:pStyle w:val="115"/>
              <w:keepNext w:val="0"/>
              <w:keepLines w:val="0"/>
              <w:suppressLineNumbers w:val="0"/>
              <w:spacing w:before="0" w:beforeAutospacing="0" w:afterAutospacing="0"/>
              <w:ind w:left="0" w:right="0"/>
              <w:rPr>
                <w:rFonts w:hint="default"/>
                <w:sz w:val="16"/>
                <w:szCs w:val="21"/>
              </w:rPr>
            </w:pPr>
          </w:p>
          <w:p w14:paraId="0A44AA83">
            <w:pPr>
              <w:pStyle w:val="115"/>
              <w:keepNext w:val="0"/>
              <w:keepLines w:val="0"/>
              <w:suppressLineNumbers w:val="0"/>
              <w:snapToGrid w:val="0"/>
              <w:spacing w:before="0" w:beforeAutospacing="0" w:afterAutospacing="0"/>
              <w:ind w:left="0" w:right="0"/>
              <mc:AlternateContent>
                <mc:Choice Requires="wpsCustomData">
                  <wpsCustomData:diagonalParaType/>
                </mc:Choice>
              </mc:AlternateContent>
              <w:rPr>
                <w:rFonts w:hint="default"/>
                <w:sz w:val="16"/>
                <w:szCs w:val="21"/>
              </w:rPr>
            </w:pPr>
          </w:p>
          <w:p w14:paraId="512352B7">
            <w:pPr>
              <w:pStyle w:val="115"/>
              <w:keepNext w:val="0"/>
              <w:keepLines w:val="0"/>
              <w:suppressLineNumbers w:val="0"/>
              <w:spacing w:before="0" w:beforeAutospacing="0" w:afterAutospacing="0"/>
              <w:ind w:left="0" w:right="0"/>
              <w:rPr>
                <w:rFonts w:hint="default"/>
                <w:sz w:val="16"/>
                <w:szCs w:val="21"/>
              </w:rPr>
            </w:pPr>
          </w:p>
        </w:tc>
        <w:tc>
          <w:tcPr>
            <w:tcW w:w="216" w:type="pct"/>
            <w:shd w:val="clear" w:color="auto" w:fill="auto"/>
            <w:vAlign w:val="center"/>
          </w:tcPr>
          <w:p w14:paraId="35EC829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06478B5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7AAF939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1431764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3D9D076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27F162E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r w14:paraId="3A271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67AC7A2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二类工业用地</w:t>
            </w:r>
          </w:p>
        </w:tc>
        <w:tc>
          <w:tcPr>
            <w:tcW w:w="216" w:type="pct"/>
            <w:shd w:val="clear" w:color="auto" w:fill="auto"/>
            <w:vAlign w:val="center"/>
          </w:tcPr>
          <w:p w14:paraId="17B60B9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8D81CF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FE8F91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52C86E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EF93CA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19CFBC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F2340E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2A24AF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41B6B8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376284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D663D4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218915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mc:AlternateContent>
              <mc:Choice Requires="wpsCustomData">
                <wpsCustomData:diagonals>
                  <wpsCustomData:diagonal from="10000" to="30000">
                    <wpsCustomData:border w:val="single" w:color="auto" w:sz="4" w:space="0"/>
                  </wpsCustomData:diagonal>
                </wpsCustomData:diagonals>
              </mc:Choice>
            </mc:AlternateContent>
          </w:tcPr>
          <w:p w14:paraId="0079E236">
            <w:pPr>
              <w:pStyle w:val="115"/>
              <w:keepNext w:val="0"/>
              <w:keepLines w:val="0"/>
              <w:suppressLineNumbers w:val="0"/>
              <w:spacing w:before="0" w:beforeAutospacing="0" w:afterAutospacing="0"/>
              <w:ind w:left="0" w:right="0"/>
              <w:rPr>
                <w:rFonts w:hint="default"/>
                <w:sz w:val="16"/>
                <w:szCs w:val="21"/>
              </w:rPr>
            </w:pPr>
          </w:p>
          <w:p w14:paraId="68FE00FC">
            <w:pPr>
              <w:pStyle w:val="115"/>
              <w:keepNext w:val="0"/>
              <w:keepLines w:val="0"/>
              <w:suppressLineNumbers w:val="0"/>
              <w:snapToGrid w:val="0"/>
              <w:spacing w:before="0" w:beforeAutospacing="0" w:afterAutospacing="0"/>
              <w:ind w:left="0" w:right="0"/>
              <mc:AlternateContent>
                <mc:Choice Requires="wpsCustomData">
                  <wpsCustomData:diagonalParaType/>
                </mc:Choice>
              </mc:AlternateContent>
              <w:rPr>
                <w:rFonts w:hint="default"/>
                <w:sz w:val="16"/>
                <w:szCs w:val="21"/>
              </w:rPr>
            </w:pPr>
          </w:p>
          <w:p w14:paraId="148E1029">
            <w:pPr>
              <w:pStyle w:val="115"/>
              <w:keepNext w:val="0"/>
              <w:keepLines w:val="0"/>
              <w:suppressLineNumbers w:val="0"/>
              <w:spacing w:before="0" w:beforeAutospacing="0" w:afterAutospacing="0"/>
              <w:ind w:left="0" w:right="0"/>
              <w:rPr>
                <w:rFonts w:hint="default"/>
                <w:sz w:val="16"/>
                <w:szCs w:val="21"/>
              </w:rPr>
            </w:pPr>
          </w:p>
        </w:tc>
        <w:tc>
          <w:tcPr>
            <w:tcW w:w="215" w:type="pct"/>
            <w:shd w:val="clear" w:color="auto" w:fill="auto"/>
            <w:vAlign w:val="center"/>
          </w:tcPr>
          <w:p w14:paraId="0256672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79F897B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0329BA2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6ED55FD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28D16FD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r w14:paraId="14C4A9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0B3F3D5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生产研发用地</w:t>
            </w:r>
          </w:p>
        </w:tc>
        <w:tc>
          <w:tcPr>
            <w:tcW w:w="216" w:type="pct"/>
            <w:shd w:val="clear" w:color="auto" w:fill="auto"/>
            <w:vAlign w:val="center"/>
          </w:tcPr>
          <w:p w14:paraId="688484F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F2F16D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FC8654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A6999C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1CDAF4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4268DF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1A583D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FC1678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407AF3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3BE5C4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AE6BA5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592C15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ECAAC2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mc:AlternateContent>
              <mc:Choice Requires="wpsCustomData">
                <wpsCustomData:diagonals>
                  <wpsCustomData:diagonal from="10000" to="30000">
                    <wpsCustomData:border w:val="single" w:color="auto" w:sz="4" w:space="0"/>
                  </wpsCustomData:diagonal>
                </wpsCustomData:diagonals>
              </mc:Choice>
            </mc:AlternateContent>
          </w:tcPr>
          <w:p w14:paraId="315CF3AD">
            <w:pPr>
              <w:pStyle w:val="115"/>
              <w:keepNext w:val="0"/>
              <w:keepLines w:val="0"/>
              <w:suppressLineNumbers w:val="0"/>
              <w:spacing w:before="0" w:beforeAutospacing="0" w:afterAutospacing="0"/>
              <w:ind w:left="0" w:right="0"/>
              <w:rPr>
                <w:rFonts w:hint="default"/>
                <w:sz w:val="16"/>
                <w:szCs w:val="21"/>
              </w:rPr>
            </w:pPr>
          </w:p>
          <w:p w14:paraId="29C2D762">
            <w:pPr>
              <w:pStyle w:val="115"/>
              <w:keepNext w:val="0"/>
              <w:keepLines w:val="0"/>
              <w:suppressLineNumbers w:val="0"/>
              <w:snapToGrid w:val="0"/>
              <w:spacing w:before="0" w:beforeAutospacing="0" w:afterAutospacing="0"/>
              <w:ind w:left="0" w:right="0"/>
              <mc:AlternateContent>
                <mc:Choice Requires="wpsCustomData">
                  <wpsCustomData:diagonalParaType/>
                </mc:Choice>
              </mc:AlternateContent>
              <w:rPr>
                <w:rFonts w:hint="default"/>
                <w:sz w:val="16"/>
                <w:szCs w:val="21"/>
              </w:rPr>
            </w:pPr>
          </w:p>
          <w:p w14:paraId="0E1E45DF">
            <w:pPr>
              <w:pStyle w:val="115"/>
              <w:keepNext w:val="0"/>
              <w:keepLines w:val="0"/>
              <w:suppressLineNumbers w:val="0"/>
              <w:spacing w:before="0" w:beforeAutospacing="0" w:afterAutospacing="0"/>
              <w:ind w:left="0" w:right="0"/>
              <w:rPr>
                <w:rFonts w:hint="default"/>
                <w:sz w:val="16"/>
                <w:szCs w:val="21"/>
              </w:rPr>
            </w:pPr>
          </w:p>
        </w:tc>
        <w:tc>
          <w:tcPr>
            <w:tcW w:w="215" w:type="pct"/>
            <w:shd w:val="clear" w:color="auto" w:fill="auto"/>
            <w:vAlign w:val="center"/>
          </w:tcPr>
          <w:p w14:paraId="0F5A33A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29D577A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680ECBA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6282B1B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r w14:paraId="2941D9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0676857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一类仓储物流用地</w:t>
            </w:r>
          </w:p>
        </w:tc>
        <w:tc>
          <w:tcPr>
            <w:tcW w:w="216" w:type="pct"/>
            <w:shd w:val="clear" w:color="auto" w:fill="auto"/>
            <w:vAlign w:val="center"/>
          </w:tcPr>
          <w:p w14:paraId="0DB53B3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6327FD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BB8334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792DBE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36F313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083B19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8BC633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04B78D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E9C9B7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EA35A1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4DE8E5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AE06EA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94F12B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238281B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mc:AlternateContent>
              <mc:Choice Requires="wpsCustomData">
                <wpsCustomData:diagonals>
                  <wpsCustomData:diagonal from="10000" to="30000">
                    <wpsCustomData:border w:val="single" w:color="auto" w:sz="4" w:space="0"/>
                  </wpsCustomData:diagonal>
                </wpsCustomData:diagonals>
              </mc:Choice>
            </mc:AlternateContent>
          </w:tcPr>
          <w:p w14:paraId="584B1B59">
            <w:pPr>
              <w:pStyle w:val="115"/>
              <w:keepNext w:val="0"/>
              <w:keepLines w:val="0"/>
              <w:suppressLineNumbers w:val="0"/>
              <w:spacing w:before="0" w:beforeAutospacing="0" w:afterAutospacing="0"/>
              <w:ind w:left="0" w:right="0"/>
              <w:rPr>
                <w:rFonts w:hint="default"/>
                <w:sz w:val="16"/>
                <w:szCs w:val="21"/>
              </w:rPr>
            </w:pPr>
          </w:p>
          <w:p w14:paraId="24944766">
            <w:pPr>
              <w:pStyle w:val="115"/>
              <w:keepNext w:val="0"/>
              <w:keepLines w:val="0"/>
              <w:suppressLineNumbers w:val="0"/>
              <w:snapToGrid w:val="0"/>
              <w:spacing w:before="0" w:beforeAutospacing="0" w:afterAutospacing="0"/>
              <w:ind w:left="0" w:right="0"/>
              <mc:AlternateContent>
                <mc:Choice Requires="wpsCustomData">
                  <wpsCustomData:diagonalParaType/>
                </mc:Choice>
              </mc:AlternateContent>
              <w:rPr>
                <w:rFonts w:hint="default"/>
                <w:sz w:val="16"/>
                <w:szCs w:val="21"/>
              </w:rPr>
            </w:pPr>
          </w:p>
          <w:p w14:paraId="391F91DF">
            <w:pPr>
              <w:pStyle w:val="115"/>
              <w:keepNext w:val="0"/>
              <w:keepLines w:val="0"/>
              <w:suppressLineNumbers w:val="0"/>
              <w:spacing w:before="0" w:beforeAutospacing="0" w:afterAutospacing="0"/>
              <w:ind w:left="0" w:right="0"/>
              <w:rPr>
                <w:rFonts w:hint="default"/>
                <w:sz w:val="16"/>
                <w:szCs w:val="21"/>
              </w:rPr>
            </w:pPr>
          </w:p>
        </w:tc>
        <w:tc>
          <w:tcPr>
            <w:tcW w:w="215" w:type="pct"/>
            <w:shd w:val="clear" w:color="auto" w:fill="auto"/>
            <w:noWrap/>
            <w:vAlign w:val="center"/>
          </w:tcPr>
          <w:p w14:paraId="78E859B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06D3BEE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6DD7FDB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r w14:paraId="0F9DA2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53F4415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二类仓储物流用地</w:t>
            </w:r>
          </w:p>
        </w:tc>
        <w:tc>
          <w:tcPr>
            <w:tcW w:w="216" w:type="pct"/>
            <w:shd w:val="clear" w:color="auto" w:fill="auto"/>
            <w:vAlign w:val="center"/>
          </w:tcPr>
          <w:p w14:paraId="4BB0864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415555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F3ABF1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597DC8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73BF34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EA23B2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DCDDA5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874AED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6243D1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DB46AD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5C41E4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C1223B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6B0845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45F002F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3A33D06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mc:AlternateContent>
              <mc:Choice Requires="wpsCustomData">
                <wpsCustomData:diagonals>
                  <wpsCustomData:diagonal from="10000" to="30000">
                    <wpsCustomData:border w:val="single" w:color="auto" w:sz="4" w:space="0"/>
                  </wpsCustomData:diagonal>
                </wpsCustomData:diagonals>
              </mc:Choice>
            </mc:AlternateContent>
          </w:tcPr>
          <w:p w14:paraId="0775CE04">
            <w:pPr>
              <w:pStyle w:val="115"/>
              <w:keepNext w:val="0"/>
              <w:keepLines w:val="0"/>
              <w:suppressLineNumbers w:val="0"/>
              <w:spacing w:before="0" w:beforeAutospacing="0" w:afterAutospacing="0"/>
              <w:ind w:left="0" w:right="0"/>
              <w:rPr>
                <w:rFonts w:hint="default"/>
                <w:sz w:val="16"/>
                <w:szCs w:val="21"/>
              </w:rPr>
            </w:pPr>
          </w:p>
          <w:p w14:paraId="07BB5825">
            <w:pPr>
              <w:pStyle w:val="115"/>
              <w:keepNext w:val="0"/>
              <w:keepLines w:val="0"/>
              <w:suppressLineNumbers w:val="0"/>
              <w:snapToGrid w:val="0"/>
              <w:spacing w:before="0" w:beforeAutospacing="0" w:afterAutospacing="0"/>
              <w:ind w:left="0" w:right="0"/>
              <mc:AlternateContent>
                <mc:Choice Requires="wpsCustomData">
                  <wpsCustomData:diagonalParaType/>
                </mc:Choice>
              </mc:AlternateContent>
              <w:rPr>
                <w:rFonts w:hint="default"/>
                <w:sz w:val="16"/>
                <w:szCs w:val="21"/>
              </w:rPr>
            </w:pPr>
          </w:p>
          <w:p w14:paraId="0B1F1637">
            <w:pPr>
              <w:pStyle w:val="115"/>
              <w:keepNext w:val="0"/>
              <w:keepLines w:val="0"/>
              <w:suppressLineNumbers w:val="0"/>
              <w:spacing w:before="0" w:beforeAutospacing="0" w:afterAutospacing="0"/>
              <w:ind w:left="0" w:right="0"/>
              <w:rPr>
                <w:rFonts w:hint="default"/>
                <w:sz w:val="16"/>
                <w:szCs w:val="21"/>
              </w:rPr>
            </w:pPr>
          </w:p>
        </w:tc>
        <w:tc>
          <w:tcPr>
            <w:tcW w:w="215" w:type="pct"/>
            <w:shd w:val="clear" w:color="auto" w:fill="auto"/>
            <w:noWrap/>
            <w:vAlign w:val="center"/>
          </w:tcPr>
          <w:p w14:paraId="7014CF9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4DF24DF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r w14:paraId="427967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341F79E5">
            <w:pPr>
              <w:pStyle w:val="115"/>
              <w:keepNext w:val="0"/>
              <w:keepLines w:val="0"/>
              <w:suppressLineNumbers w:val="0"/>
              <w:spacing w:before="0" w:beforeAutospacing="0" w:afterAutospacing="0"/>
              <w:ind w:left="0" w:right="0"/>
              <w:rPr>
                <w:rFonts w:hint="default"/>
                <w:sz w:val="16"/>
                <w:szCs w:val="21"/>
                <w:highlight w:val="none"/>
              </w:rPr>
            </w:pPr>
            <w:r>
              <w:rPr>
                <w:rFonts w:hint="eastAsia"/>
                <w:sz w:val="16"/>
                <w:szCs w:val="21"/>
                <w:highlight w:val="none"/>
              </w:rPr>
              <w:t>交通枢纽用地</w:t>
            </w:r>
          </w:p>
        </w:tc>
        <w:tc>
          <w:tcPr>
            <w:tcW w:w="216" w:type="pct"/>
            <w:shd w:val="clear" w:color="auto" w:fill="auto"/>
            <w:vAlign w:val="center"/>
          </w:tcPr>
          <w:p w14:paraId="75FC8DB3">
            <w:pPr>
              <w:pStyle w:val="115"/>
              <w:keepNext w:val="0"/>
              <w:keepLines w:val="0"/>
              <w:suppressLineNumbers w:val="0"/>
              <w:spacing w:before="0" w:beforeAutospacing="0" w:afterAutospacing="0"/>
              <w:ind w:left="0" w:right="0"/>
              <w:rPr>
                <w:rFonts w:hint="default"/>
                <w:sz w:val="16"/>
                <w:szCs w:val="21"/>
                <w:highlight w:val="none"/>
              </w:rPr>
            </w:pPr>
            <w:r>
              <w:rPr>
                <w:rFonts w:hint="eastAsia"/>
                <w:sz w:val="16"/>
                <w:szCs w:val="21"/>
                <w:highlight w:val="none"/>
              </w:rPr>
              <w:t>×</w:t>
            </w:r>
          </w:p>
        </w:tc>
        <w:tc>
          <w:tcPr>
            <w:tcW w:w="216" w:type="pct"/>
            <w:shd w:val="clear" w:color="auto" w:fill="auto"/>
            <w:vAlign w:val="center"/>
          </w:tcPr>
          <w:p w14:paraId="430DA996">
            <w:pPr>
              <w:pStyle w:val="115"/>
              <w:keepNext w:val="0"/>
              <w:keepLines w:val="0"/>
              <w:suppressLineNumbers w:val="0"/>
              <w:spacing w:before="0" w:beforeAutospacing="0" w:afterAutospacing="0"/>
              <w:ind w:left="0" w:right="0"/>
              <w:rPr>
                <w:rFonts w:hint="default"/>
                <w:sz w:val="16"/>
                <w:szCs w:val="21"/>
                <w:highlight w:val="none"/>
              </w:rPr>
            </w:pPr>
            <w:r>
              <w:rPr>
                <w:rFonts w:hint="eastAsia"/>
                <w:sz w:val="16"/>
                <w:szCs w:val="21"/>
                <w:highlight w:val="none"/>
              </w:rPr>
              <w:t>×</w:t>
            </w:r>
          </w:p>
        </w:tc>
        <w:tc>
          <w:tcPr>
            <w:tcW w:w="216" w:type="pct"/>
            <w:shd w:val="clear" w:color="auto" w:fill="auto"/>
            <w:vAlign w:val="center"/>
          </w:tcPr>
          <w:p w14:paraId="7D4D73AE">
            <w:pPr>
              <w:pStyle w:val="115"/>
              <w:keepNext w:val="0"/>
              <w:keepLines w:val="0"/>
              <w:suppressLineNumbers w:val="0"/>
              <w:spacing w:before="0" w:beforeAutospacing="0" w:afterAutospacing="0"/>
              <w:ind w:left="0" w:right="0"/>
              <w:rPr>
                <w:rFonts w:hint="default"/>
                <w:sz w:val="16"/>
                <w:szCs w:val="21"/>
                <w:highlight w:val="none"/>
              </w:rPr>
            </w:pPr>
            <w:r>
              <w:rPr>
                <w:rFonts w:hint="eastAsia"/>
                <w:sz w:val="16"/>
                <w:szCs w:val="21"/>
                <w:highlight w:val="none"/>
              </w:rPr>
              <w:t>×</w:t>
            </w:r>
          </w:p>
        </w:tc>
        <w:tc>
          <w:tcPr>
            <w:tcW w:w="216" w:type="pct"/>
            <w:shd w:val="clear" w:color="auto" w:fill="auto"/>
            <w:vAlign w:val="center"/>
          </w:tcPr>
          <w:p w14:paraId="76AFE1F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FAA9E8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BEB110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F8F8C6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EF4C47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C6807F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01AE6B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F4CD00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35DC8D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CD2457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178AAF9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2DB835B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583A7EC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mc:AlternateContent>
              <mc:Choice Requires="wpsCustomData">
                <wpsCustomData:diagonals>
                  <wpsCustomData:diagonal from="10000" to="30000">
                    <wpsCustomData:border w:val="single" w:color="auto" w:sz="4" w:space="0"/>
                  </wpsCustomData:diagonal>
                </wpsCustomData:diagonals>
              </mc:Choice>
            </mc:AlternateContent>
          </w:tcPr>
          <w:p w14:paraId="47AF799C">
            <w:pPr>
              <w:pStyle w:val="115"/>
              <w:keepNext w:val="0"/>
              <w:keepLines w:val="0"/>
              <w:suppressLineNumbers w:val="0"/>
              <w:spacing w:before="0" w:beforeAutospacing="0" w:afterAutospacing="0"/>
              <w:ind w:left="0" w:right="0"/>
              <w:rPr>
                <w:rFonts w:hint="default"/>
                <w:sz w:val="16"/>
                <w:szCs w:val="21"/>
                <w:highlight w:val="yellow"/>
              </w:rPr>
            </w:pPr>
          </w:p>
          <w:p w14:paraId="24EE998F">
            <w:pPr>
              <w:pStyle w:val="115"/>
              <w:keepNext w:val="0"/>
              <w:keepLines w:val="0"/>
              <w:suppressLineNumbers w:val="0"/>
              <w:snapToGrid w:val="0"/>
              <w:spacing w:before="0" w:beforeAutospacing="0" w:afterAutospacing="0"/>
              <w:ind w:left="0" w:right="0"/>
              <mc:AlternateContent>
                <mc:Choice Requires="wpsCustomData">
                  <wpsCustomData:diagonalParaType/>
                </mc:Choice>
              </mc:AlternateContent>
              <w:rPr>
                <w:rFonts w:hint="default"/>
                <w:sz w:val="16"/>
                <w:szCs w:val="21"/>
                <w:highlight w:val="yellow"/>
              </w:rPr>
            </w:pPr>
          </w:p>
          <w:p w14:paraId="07E0A5DC">
            <w:pPr>
              <w:pStyle w:val="115"/>
              <w:keepNext w:val="0"/>
              <w:keepLines w:val="0"/>
              <w:suppressLineNumbers w:val="0"/>
              <w:spacing w:before="0" w:beforeAutospacing="0" w:afterAutospacing="0"/>
              <w:ind w:left="0" w:right="0"/>
              <w:rPr>
                <w:rFonts w:hint="default"/>
                <w:sz w:val="16"/>
                <w:szCs w:val="21"/>
                <w:highlight w:val="yellow"/>
              </w:rPr>
            </w:pPr>
          </w:p>
        </w:tc>
        <w:tc>
          <w:tcPr>
            <w:tcW w:w="215" w:type="pct"/>
            <w:shd w:val="clear" w:color="auto" w:fill="auto"/>
            <w:noWrap/>
            <w:vAlign w:val="center"/>
          </w:tcPr>
          <w:p w14:paraId="53C35CC3">
            <w:pPr>
              <w:pStyle w:val="115"/>
              <w:keepNext w:val="0"/>
              <w:keepLines w:val="0"/>
              <w:suppressLineNumbers w:val="0"/>
              <w:spacing w:before="0" w:beforeAutospacing="0" w:afterAutospacing="0"/>
              <w:ind w:left="0" w:right="0"/>
              <w:rPr>
                <w:rFonts w:hint="default"/>
                <w:sz w:val="16"/>
                <w:szCs w:val="21"/>
                <w:highlight w:val="yellow"/>
              </w:rPr>
            </w:pPr>
            <w:r>
              <w:rPr>
                <w:rFonts w:hint="eastAsia"/>
                <w:sz w:val="16"/>
                <w:szCs w:val="21"/>
              </w:rPr>
              <w:t>×</w:t>
            </w:r>
          </w:p>
        </w:tc>
      </w:tr>
      <w:tr w14:paraId="59D25C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77D140C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交通场站用地</w:t>
            </w:r>
          </w:p>
        </w:tc>
        <w:tc>
          <w:tcPr>
            <w:tcW w:w="216" w:type="pct"/>
            <w:shd w:val="clear" w:color="auto" w:fill="auto"/>
            <w:vAlign w:val="center"/>
          </w:tcPr>
          <w:p w14:paraId="1E24729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A5BBBC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213AE2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E9B733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C74D57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EB22B7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7DD0B4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D279EA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B0260F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1D7BEB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28BF62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B4F5AB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DD891B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72D2FD3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3B9BC12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02F6DE1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63AED72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mc:AlternateContent>
              <mc:Choice Requires="wpsCustomData">
                <wpsCustomData:diagonals>
                  <wpsCustomData:diagonal from="10000" to="30000">
                    <wpsCustomData:border w:val="single" w:color="auto" w:sz="4" w:space="0"/>
                  </wpsCustomData:diagonal>
                </wpsCustomData:diagonals>
              </mc:Choice>
            </mc:AlternateContent>
          </w:tcPr>
          <w:p w14:paraId="0AAE690E">
            <w:pPr>
              <w:pStyle w:val="115"/>
              <w:keepNext w:val="0"/>
              <w:keepLines w:val="0"/>
              <w:suppressLineNumbers w:val="0"/>
              <w:spacing w:before="0" w:beforeAutospacing="0" w:afterAutospacing="0"/>
              <w:ind w:left="0" w:right="0"/>
              <w:rPr>
                <w:rFonts w:hint="default"/>
                <w:sz w:val="16"/>
                <w:szCs w:val="21"/>
              </w:rPr>
            </w:pPr>
          </w:p>
          <w:p w14:paraId="404AB199">
            <w:pPr>
              <w:pStyle w:val="115"/>
              <w:keepNext w:val="0"/>
              <w:keepLines w:val="0"/>
              <w:suppressLineNumbers w:val="0"/>
              <w:snapToGrid w:val="0"/>
              <w:spacing w:before="0" w:beforeAutospacing="0" w:afterAutospacing="0"/>
              <w:ind w:left="0" w:right="0"/>
              <mc:AlternateContent>
                <mc:Choice Requires="wpsCustomData">
                  <wpsCustomData:diagonalParaType/>
                </mc:Choice>
              </mc:AlternateContent>
              <w:rPr>
                <w:rFonts w:hint="default"/>
                <w:sz w:val="16"/>
                <w:szCs w:val="21"/>
              </w:rPr>
            </w:pPr>
          </w:p>
          <w:p w14:paraId="0BABD292">
            <w:pPr>
              <w:pStyle w:val="115"/>
              <w:keepNext w:val="0"/>
              <w:keepLines w:val="0"/>
              <w:suppressLineNumbers w:val="0"/>
              <w:spacing w:before="0" w:beforeAutospacing="0" w:afterAutospacing="0"/>
              <w:ind w:left="0" w:right="0"/>
              <w:rPr>
                <w:rFonts w:hint="default"/>
                <w:sz w:val="16"/>
                <w:szCs w:val="21"/>
              </w:rPr>
            </w:pPr>
          </w:p>
        </w:tc>
      </w:tr>
      <w:tr w14:paraId="1364D9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284640D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公园绿地</w:t>
            </w:r>
          </w:p>
        </w:tc>
        <w:tc>
          <w:tcPr>
            <w:tcW w:w="216" w:type="pct"/>
            <w:shd w:val="clear" w:color="auto" w:fill="auto"/>
            <w:vAlign w:val="center"/>
          </w:tcPr>
          <w:p w14:paraId="47055A3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8A1772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FB63F9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3084DB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89046C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73747B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ABD56A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BDD20F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3D6CD9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6FD142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671F50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D51FF5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949884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091A476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395DF11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51E8CE6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6AFF351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31E750C8">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r w14:paraId="37BD0E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71BCB70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防护绿地</w:t>
            </w:r>
          </w:p>
        </w:tc>
        <w:tc>
          <w:tcPr>
            <w:tcW w:w="216" w:type="pct"/>
            <w:shd w:val="clear" w:color="auto" w:fill="auto"/>
            <w:vAlign w:val="center"/>
          </w:tcPr>
          <w:p w14:paraId="28470FC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2C62CC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1D64AD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EBC401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97DCA5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1FC225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2F05C5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5E16CE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030253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53364B1">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94C5FB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894AB3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1B4588E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042B3BD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7D3E1AE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3F5290D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5C7A45F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5766F719">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r w14:paraId="1DCF7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4" w:type="pct"/>
            <w:shd w:val="clear" w:color="auto" w:fill="auto"/>
            <w:vAlign w:val="center"/>
          </w:tcPr>
          <w:p w14:paraId="2604C7AE">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广场绿地</w:t>
            </w:r>
          </w:p>
        </w:tc>
        <w:tc>
          <w:tcPr>
            <w:tcW w:w="216" w:type="pct"/>
            <w:shd w:val="clear" w:color="auto" w:fill="auto"/>
            <w:vAlign w:val="center"/>
          </w:tcPr>
          <w:p w14:paraId="350917B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0602243">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68ECC62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40D423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73EF6A9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676E347">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3CC7052F">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566C65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0E69D1D6">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2D0D2B64">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4764DD1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22BB51A">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6" w:type="pct"/>
            <w:shd w:val="clear" w:color="auto" w:fill="auto"/>
            <w:vAlign w:val="center"/>
          </w:tcPr>
          <w:p w14:paraId="5D2ABE2C">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59F38965">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vAlign w:val="center"/>
          </w:tcPr>
          <w:p w14:paraId="7FF0B2B2">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23D6AEFD">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073E0190">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c>
          <w:tcPr>
            <w:tcW w:w="215" w:type="pct"/>
            <w:shd w:val="clear" w:color="auto" w:fill="auto"/>
            <w:noWrap/>
            <w:vAlign w:val="center"/>
          </w:tcPr>
          <w:p w14:paraId="14AFB52B">
            <w:pPr>
              <w:pStyle w:val="115"/>
              <w:keepNext w:val="0"/>
              <w:keepLines w:val="0"/>
              <w:suppressLineNumbers w:val="0"/>
              <w:spacing w:before="0" w:beforeAutospacing="0" w:afterAutospacing="0"/>
              <w:ind w:left="0" w:right="0"/>
              <w:rPr>
                <w:rFonts w:hint="default"/>
                <w:sz w:val="16"/>
                <w:szCs w:val="21"/>
              </w:rPr>
            </w:pPr>
            <w:r>
              <w:rPr>
                <w:rFonts w:hint="eastAsia"/>
                <w:sz w:val="16"/>
                <w:szCs w:val="21"/>
              </w:rPr>
              <w:t>○</w:t>
            </w:r>
          </w:p>
        </w:tc>
      </w:tr>
    </w:tbl>
    <w:p w14:paraId="179DB088">
      <w:pPr>
        <w:spacing w:after="166"/>
        <w:ind w:firstLine="500"/>
        <w:rPr>
          <w:lang w:val="en-US" w:eastAsia="zh"/>
        </w:rPr>
      </w:pPr>
      <w:r>
        <w:rPr>
          <w:rFonts w:hint="eastAsia"/>
          <w:lang w:val="en-US" w:eastAsia="zh"/>
        </w:rPr>
        <w:br w:type="page"/>
      </w:r>
    </w:p>
    <w:p w14:paraId="72B9EF1C">
      <w:pPr>
        <w:widowControl/>
        <w:spacing w:after="166"/>
        <w:ind w:left="504" w:firstLine="480"/>
        <w:jc w:val="center"/>
        <w:textAlignment w:val="baseline"/>
        <w:rPr>
          <w:rFonts w:hint="eastAsia" w:ascii="宋体" w:hAnsi="宋体" w:cs="宋体"/>
          <w:kern w:val="0"/>
          <w:sz w:val="24"/>
          <w:szCs w:val="24"/>
        </w:rPr>
      </w:pPr>
      <w:r>
        <w:rPr>
          <w:rFonts w:hint="eastAsia" w:ascii="宋体" w:hAnsi="宋体" w:cs="宋体"/>
          <w:kern w:val="0"/>
          <w:sz w:val="24"/>
          <w:szCs w:val="24"/>
          <w:lang w:val="en-US" w:bidi="ar"/>
        </w:rPr>
        <w:t xml:space="preserve"> </w:t>
      </w:r>
    </w:p>
    <w:p w14:paraId="585AE377">
      <w:pPr>
        <w:pStyle w:val="3"/>
        <w:numPr>
          <w:ilvl w:val="1"/>
          <w:numId w:val="5"/>
        </w:numPr>
        <w:spacing w:before="332" w:after="166"/>
        <w:rPr>
          <w:rFonts w:hint="eastAsia"/>
        </w:rPr>
      </w:pPr>
      <w:r>
        <w:t>竖向设计</w:t>
      </w:r>
    </w:p>
    <w:p w14:paraId="17912E15">
      <w:pPr>
        <w:spacing w:after="166"/>
        <w:ind w:firstLine="500"/>
        <w:rPr>
          <w:lang w:val="en-US"/>
        </w:rPr>
      </w:pPr>
      <w:r>
        <w:rPr>
          <w:rFonts w:hint="eastAsia"/>
          <w:lang w:val="en-US"/>
        </w:rPr>
        <w:t>规划区道路最小纵坡应大于0.2%,最大纵坡应控制8.0%以内，部分坡度大于3%的道路，具体设计时应满足道路最小坡长的要求。道路横坡控制在1%-2%。各道路中心线交叉点及转折点坐标、高程、道路坡度详见分图则。</w:t>
      </w:r>
    </w:p>
    <w:p w14:paraId="7AE993A0">
      <w:pPr>
        <w:pStyle w:val="13"/>
        <w:spacing w:after="166"/>
        <w:ind w:firstLine="0" w:firstLineChars="0"/>
        <w:jc w:val="center"/>
        <w:rPr>
          <w:rFonts w:hint="eastAsia"/>
          <w:lang w:val="en-US"/>
        </w:rPr>
      </w:pPr>
      <w:r>
        <w:rPr>
          <w:rFonts w:hint="eastAsia"/>
          <w:lang w:val="en-US"/>
        </w:rPr>
        <w:drawing>
          <wp:inline distT="0" distB="0" distL="0" distR="0">
            <wp:extent cx="4709795" cy="3855085"/>
            <wp:effectExtent l="0" t="0" r="0" b="0"/>
            <wp:docPr id="17022744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274486" name="图片 1"/>
                    <pic:cNvPicPr>
                      <a:picLocks noChangeAspect="1"/>
                    </pic:cNvPicPr>
                  </pic:nvPicPr>
                  <pic:blipFill>
                    <a:blip r:embed="rId116"/>
                    <a:srcRect l="1309" t="8793" r="21166" b="1445"/>
                    <a:stretch>
                      <a:fillRect/>
                    </a:stretch>
                  </pic:blipFill>
                  <pic:spPr>
                    <a:xfrm>
                      <a:off x="0" y="0"/>
                      <a:ext cx="4723385" cy="3866356"/>
                    </a:xfrm>
                    <a:prstGeom prst="rect">
                      <a:avLst/>
                    </a:prstGeom>
                    <a:ln>
                      <a:noFill/>
                    </a:ln>
                  </pic:spPr>
                </pic:pic>
              </a:graphicData>
            </a:graphic>
          </wp:inline>
        </w:drawing>
      </w:r>
    </w:p>
    <w:p w14:paraId="74E68742">
      <w:pPr>
        <w:pStyle w:val="268"/>
        <w:rPr>
          <w:rFonts w:hint="eastAsia"/>
        </w:rPr>
      </w:pPr>
      <w:r>
        <w:rPr>
          <w:rFonts w:hint="eastAsia"/>
        </w:rPr>
        <w:t>图15-2 竖向规划图</w:t>
      </w:r>
    </w:p>
    <w:p w14:paraId="5E30FFCF">
      <w:pPr>
        <w:pStyle w:val="3"/>
        <w:numPr>
          <w:ilvl w:val="1"/>
          <w:numId w:val="5"/>
        </w:numPr>
        <w:spacing w:before="332" w:after="166"/>
        <w:rPr>
          <w:rFonts w:hint="eastAsia"/>
        </w:rPr>
      </w:pPr>
      <w:r>
        <w:t>容积率</w:t>
      </w:r>
    </w:p>
    <w:p w14:paraId="47CC437D">
      <w:pPr>
        <w:spacing w:after="166"/>
        <w:ind w:firstLine="500"/>
      </w:pPr>
      <w:r>
        <w:rPr>
          <w:rFonts w:hint="eastAsia"/>
          <w:lang w:val="en-US"/>
        </w:rPr>
        <w:t>规划容积率的制定应综合考虑用地功能的规模需求、区位的土地价值、环境的承载力等多种因素，统筹制定。容积率指标控制上限。</w:t>
      </w:r>
    </w:p>
    <w:p w14:paraId="40F422D0">
      <w:pPr>
        <w:spacing w:after="166"/>
        <w:ind w:firstLine="500"/>
      </w:pPr>
      <w:r>
        <w:rPr>
          <w:rStyle w:val="54"/>
          <w:rFonts w:hint="eastAsia"/>
        </w:rPr>
        <w:t>①体现土地价值原则。</w:t>
      </w:r>
      <w:r>
        <w:rPr>
          <w:rFonts w:hint="eastAsia"/>
          <w:lang w:val="en-US"/>
        </w:rPr>
        <w:t>临近地区中心、主要道路两侧的开发强度应适当提升。</w:t>
      </w:r>
    </w:p>
    <w:p w14:paraId="192CE9D5">
      <w:pPr>
        <w:spacing w:after="166"/>
        <w:ind w:firstLine="500"/>
      </w:pPr>
      <w:r>
        <w:rPr>
          <w:rStyle w:val="54"/>
          <w:rFonts w:hint="eastAsia"/>
        </w:rPr>
        <w:t>②满足基本规模原则。</w:t>
      </w:r>
      <w:r>
        <w:rPr>
          <w:rFonts w:hint="eastAsia"/>
          <w:lang w:val="en-US"/>
        </w:rPr>
        <w:t>教育、医疗、体育、文化等公共服务设施应满足基本功能所需的规模要求。容积率控制在0.6-1.5之间。</w:t>
      </w:r>
    </w:p>
    <w:p w14:paraId="6BFCED84">
      <w:pPr>
        <w:spacing w:after="166"/>
        <w:ind w:firstLine="500"/>
      </w:pPr>
      <w:r>
        <w:rPr>
          <w:rStyle w:val="54"/>
          <w:rFonts w:hint="eastAsia"/>
        </w:rPr>
        <w:t>③匹配产品形态原则。</w:t>
      </w:r>
      <w:r>
        <w:rPr>
          <w:rFonts w:hint="eastAsia"/>
          <w:lang w:val="en-US"/>
        </w:rPr>
        <w:t>商业、住宅等开发强度，应与对应产品形态相一致。特色商业街宜为1.0，商业综合体宜为2.0，多层住宅为1.0-1.2，高品质改善住宅宜为1.0。</w:t>
      </w:r>
    </w:p>
    <w:p w14:paraId="38696AED">
      <w:pPr>
        <w:spacing w:after="166"/>
        <w:ind w:firstLine="500"/>
        <w:rPr>
          <w:lang w:val="en-US"/>
        </w:rPr>
      </w:pPr>
      <w:r>
        <w:rPr>
          <w:rStyle w:val="54"/>
          <w:rFonts w:hint="eastAsia"/>
        </w:rPr>
        <w:t>④符合环境承载力原则。</w:t>
      </w:r>
      <w:r>
        <w:rPr>
          <w:rFonts w:hint="eastAsia"/>
          <w:lang w:val="en-US"/>
        </w:rPr>
        <w:t>应保证居住用地总体规模对应人口与总规预测人口（约3.0万人）基本一致，住宅承载力与发展规模相匹配。</w:t>
      </w:r>
    </w:p>
    <w:p w14:paraId="35528D49">
      <w:pPr>
        <w:pStyle w:val="117"/>
      </w:pPr>
      <w:r>
        <w:rPr>
          <w:rFonts w:hint="eastAsia"/>
        </w:rPr>
        <w:t>表15-2 规划容积率控制指标表</w:t>
      </w:r>
    </w:p>
    <w:tbl>
      <w:tblPr>
        <w:tblStyle w:val="37"/>
        <w:tblW w:w="494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1"/>
        <w:gridCol w:w="1188"/>
        <w:gridCol w:w="5436"/>
      </w:tblGrid>
      <w:tr w14:paraId="1C7403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1069" w:type="pct"/>
            <w:tcBorders>
              <w:top w:val="single" w:color="auto" w:sz="4" w:space="0"/>
              <w:left w:val="single" w:color="auto" w:sz="4" w:space="0"/>
              <w:bottom w:val="single" w:color="auto" w:sz="4" w:space="0"/>
              <w:right w:val="single" w:color="auto" w:sz="4" w:space="0"/>
            </w:tcBorders>
            <w:shd w:val="clear" w:color="auto" w:fill="auto"/>
            <w:vAlign w:val="center"/>
          </w:tcPr>
          <w:p w14:paraId="7D3141AC">
            <w:pPr>
              <w:pStyle w:val="115"/>
              <w:jc w:val="center"/>
            </w:pPr>
            <w:r>
              <w:rPr>
                <w:rFonts w:hint="eastAsia"/>
              </w:rPr>
              <w:t>用地功能</w:t>
            </w:r>
          </w:p>
        </w:tc>
        <w:tc>
          <w:tcPr>
            <w:tcW w:w="705" w:type="pct"/>
            <w:tcBorders>
              <w:top w:val="single" w:color="auto" w:sz="4" w:space="0"/>
              <w:left w:val="nil"/>
              <w:bottom w:val="single" w:color="auto" w:sz="4" w:space="0"/>
              <w:right w:val="single" w:color="auto" w:sz="4" w:space="0"/>
            </w:tcBorders>
            <w:shd w:val="clear" w:color="auto" w:fill="auto"/>
            <w:vAlign w:val="center"/>
          </w:tcPr>
          <w:p w14:paraId="14FBA61E">
            <w:pPr>
              <w:pStyle w:val="115"/>
              <w:jc w:val="center"/>
            </w:pPr>
            <w:r>
              <w:rPr>
                <w:rFonts w:hint="eastAsia"/>
              </w:rPr>
              <w:t>开发强度</w:t>
            </w:r>
          </w:p>
        </w:tc>
        <w:tc>
          <w:tcPr>
            <w:tcW w:w="3226" w:type="pct"/>
            <w:tcBorders>
              <w:top w:val="single" w:color="auto" w:sz="4" w:space="0"/>
              <w:left w:val="nil"/>
              <w:bottom w:val="single" w:color="auto" w:sz="4" w:space="0"/>
              <w:right w:val="single" w:color="auto" w:sz="4" w:space="0"/>
            </w:tcBorders>
            <w:shd w:val="clear" w:color="auto" w:fill="auto"/>
            <w:vAlign w:val="center"/>
          </w:tcPr>
          <w:p w14:paraId="38A0E61F">
            <w:pPr>
              <w:pStyle w:val="115"/>
              <w:jc w:val="center"/>
            </w:pPr>
            <w:r>
              <w:rPr>
                <w:rFonts w:hint="eastAsia"/>
              </w:rPr>
              <w:t>说明</w:t>
            </w:r>
          </w:p>
        </w:tc>
      </w:tr>
      <w:tr w14:paraId="4F8F5F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1069" w:type="pct"/>
            <w:tcBorders>
              <w:top w:val="single" w:color="auto" w:sz="4" w:space="0"/>
              <w:left w:val="single" w:color="auto" w:sz="4" w:space="0"/>
              <w:bottom w:val="single" w:color="auto" w:sz="4" w:space="0"/>
              <w:right w:val="single" w:color="auto" w:sz="4" w:space="0"/>
            </w:tcBorders>
            <w:shd w:val="clear" w:color="auto" w:fill="auto"/>
            <w:vAlign w:val="center"/>
          </w:tcPr>
          <w:p w14:paraId="07353C71">
            <w:pPr>
              <w:pStyle w:val="115"/>
              <w:jc w:val="center"/>
            </w:pPr>
            <w:r>
              <w:rPr>
                <w:rFonts w:hint="eastAsia"/>
              </w:rPr>
              <w:t>居住</w:t>
            </w:r>
          </w:p>
        </w:tc>
        <w:tc>
          <w:tcPr>
            <w:tcW w:w="705" w:type="pct"/>
            <w:tcBorders>
              <w:top w:val="single" w:color="auto" w:sz="4" w:space="0"/>
              <w:left w:val="nil"/>
              <w:bottom w:val="single" w:color="auto" w:sz="4" w:space="0"/>
              <w:right w:val="single" w:color="auto" w:sz="4" w:space="0"/>
            </w:tcBorders>
            <w:shd w:val="clear" w:color="auto" w:fill="auto"/>
            <w:vAlign w:val="center"/>
          </w:tcPr>
          <w:p w14:paraId="407E91CF">
            <w:pPr>
              <w:pStyle w:val="115"/>
              <w:jc w:val="center"/>
            </w:pPr>
            <w:r>
              <w:rPr>
                <w:rFonts w:hint="eastAsia"/>
              </w:rPr>
              <w:t>1.0-1.2</w:t>
            </w:r>
          </w:p>
        </w:tc>
        <w:tc>
          <w:tcPr>
            <w:tcW w:w="3226" w:type="pct"/>
            <w:tcBorders>
              <w:top w:val="single" w:color="auto" w:sz="4" w:space="0"/>
              <w:left w:val="nil"/>
              <w:bottom w:val="single" w:color="auto" w:sz="4" w:space="0"/>
              <w:right w:val="single" w:color="auto" w:sz="4" w:space="0"/>
            </w:tcBorders>
            <w:shd w:val="clear" w:color="auto" w:fill="auto"/>
            <w:vAlign w:val="center"/>
          </w:tcPr>
          <w:p w14:paraId="7288FC54">
            <w:pPr>
              <w:pStyle w:val="115"/>
              <w:jc w:val="center"/>
            </w:pPr>
            <w:r>
              <w:rPr>
                <w:rFonts w:hint="eastAsia"/>
              </w:rPr>
              <w:t>高品质改善住宅为1.0，其余住宅为1.2</w:t>
            </w:r>
          </w:p>
        </w:tc>
      </w:tr>
      <w:tr w14:paraId="21728A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1069" w:type="pct"/>
            <w:tcBorders>
              <w:top w:val="single" w:color="auto" w:sz="4" w:space="0"/>
              <w:left w:val="single" w:color="auto" w:sz="4" w:space="0"/>
              <w:bottom w:val="single" w:color="auto" w:sz="4" w:space="0"/>
              <w:right w:val="single" w:color="auto" w:sz="4" w:space="0"/>
            </w:tcBorders>
            <w:shd w:val="clear" w:color="auto" w:fill="auto"/>
            <w:vAlign w:val="center"/>
          </w:tcPr>
          <w:p w14:paraId="0EE02AA4">
            <w:pPr>
              <w:pStyle w:val="115"/>
              <w:jc w:val="center"/>
            </w:pPr>
            <w:r>
              <w:rPr>
                <w:rFonts w:hint="eastAsia"/>
              </w:rPr>
              <w:t>商业</w:t>
            </w:r>
          </w:p>
        </w:tc>
        <w:tc>
          <w:tcPr>
            <w:tcW w:w="705" w:type="pct"/>
            <w:tcBorders>
              <w:top w:val="single" w:color="auto" w:sz="4" w:space="0"/>
              <w:left w:val="nil"/>
              <w:bottom w:val="single" w:color="auto" w:sz="4" w:space="0"/>
              <w:right w:val="single" w:color="auto" w:sz="4" w:space="0"/>
            </w:tcBorders>
            <w:shd w:val="clear" w:color="auto" w:fill="auto"/>
            <w:vAlign w:val="center"/>
          </w:tcPr>
          <w:p w14:paraId="7979C301">
            <w:pPr>
              <w:pStyle w:val="115"/>
              <w:jc w:val="center"/>
            </w:pPr>
            <w:r>
              <w:rPr>
                <w:rFonts w:hint="eastAsia"/>
              </w:rPr>
              <w:t>1.0-2.0</w:t>
            </w:r>
          </w:p>
        </w:tc>
        <w:tc>
          <w:tcPr>
            <w:tcW w:w="3226" w:type="pct"/>
            <w:tcBorders>
              <w:top w:val="single" w:color="auto" w:sz="4" w:space="0"/>
              <w:left w:val="nil"/>
              <w:bottom w:val="single" w:color="auto" w:sz="4" w:space="0"/>
              <w:right w:val="single" w:color="auto" w:sz="4" w:space="0"/>
            </w:tcBorders>
            <w:shd w:val="clear" w:color="auto" w:fill="auto"/>
            <w:vAlign w:val="center"/>
          </w:tcPr>
          <w:p w14:paraId="02CDEE48">
            <w:pPr>
              <w:pStyle w:val="115"/>
              <w:jc w:val="center"/>
            </w:pPr>
            <w:r>
              <w:rPr>
                <w:rFonts w:hint="eastAsia"/>
              </w:rPr>
              <w:t>商业街为1.0，商业综合体为1.5-2.0</w:t>
            </w:r>
          </w:p>
        </w:tc>
      </w:tr>
      <w:tr w14:paraId="1DD9CB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1069" w:type="pct"/>
            <w:tcBorders>
              <w:top w:val="single" w:color="auto" w:sz="4" w:space="0"/>
              <w:left w:val="single" w:color="auto" w:sz="4" w:space="0"/>
              <w:bottom w:val="single" w:color="auto" w:sz="4" w:space="0"/>
              <w:right w:val="single" w:color="auto" w:sz="4" w:space="0"/>
            </w:tcBorders>
            <w:shd w:val="clear" w:color="auto" w:fill="auto"/>
            <w:vAlign w:val="center"/>
          </w:tcPr>
          <w:p w14:paraId="79607746">
            <w:pPr>
              <w:pStyle w:val="115"/>
              <w:jc w:val="center"/>
            </w:pPr>
            <w:r>
              <w:rPr>
                <w:rFonts w:hint="eastAsia"/>
              </w:rPr>
              <w:t>商办</w:t>
            </w:r>
          </w:p>
        </w:tc>
        <w:tc>
          <w:tcPr>
            <w:tcW w:w="705" w:type="pct"/>
            <w:tcBorders>
              <w:top w:val="single" w:color="auto" w:sz="4" w:space="0"/>
              <w:left w:val="nil"/>
              <w:bottom w:val="single" w:color="auto" w:sz="4" w:space="0"/>
              <w:right w:val="single" w:color="auto" w:sz="4" w:space="0"/>
            </w:tcBorders>
            <w:shd w:val="clear" w:color="auto" w:fill="auto"/>
            <w:vAlign w:val="center"/>
          </w:tcPr>
          <w:p w14:paraId="367DCBE5">
            <w:pPr>
              <w:pStyle w:val="115"/>
              <w:jc w:val="center"/>
            </w:pPr>
            <w:r>
              <w:rPr>
                <w:rFonts w:hint="eastAsia"/>
              </w:rPr>
              <w:t>2.0</w:t>
            </w:r>
          </w:p>
        </w:tc>
        <w:tc>
          <w:tcPr>
            <w:tcW w:w="3226" w:type="pct"/>
            <w:tcBorders>
              <w:top w:val="single" w:color="auto" w:sz="4" w:space="0"/>
              <w:left w:val="nil"/>
              <w:bottom w:val="single" w:color="auto" w:sz="4" w:space="0"/>
              <w:right w:val="single" w:color="auto" w:sz="4" w:space="0"/>
            </w:tcBorders>
            <w:shd w:val="clear" w:color="auto" w:fill="auto"/>
            <w:vAlign w:val="center"/>
          </w:tcPr>
          <w:p w14:paraId="41CFD188">
            <w:pPr>
              <w:pStyle w:val="115"/>
              <w:jc w:val="center"/>
            </w:pPr>
            <w:r>
              <w:rPr>
                <w:rFonts w:hint="eastAsia"/>
              </w:rPr>
              <w:t>——</w:t>
            </w:r>
          </w:p>
        </w:tc>
      </w:tr>
      <w:tr w14:paraId="4621FE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1069" w:type="pct"/>
            <w:tcBorders>
              <w:top w:val="single" w:color="auto" w:sz="4" w:space="0"/>
              <w:left w:val="single" w:color="auto" w:sz="4" w:space="0"/>
              <w:bottom w:val="single" w:color="auto" w:sz="4" w:space="0"/>
              <w:right w:val="single" w:color="auto" w:sz="4" w:space="0"/>
            </w:tcBorders>
            <w:shd w:val="clear" w:color="auto" w:fill="auto"/>
            <w:vAlign w:val="center"/>
          </w:tcPr>
          <w:p w14:paraId="1CD3025C">
            <w:pPr>
              <w:pStyle w:val="115"/>
              <w:jc w:val="center"/>
            </w:pPr>
            <w:r>
              <w:rPr>
                <w:rFonts w:hint="eastAsia"/>
              </w:rPr>
              <w:t>教育</w:t>
            </w:r>
          </w:p>
        </w:tc>
        <w:tc>
          <w:tcPr>
            <w:tcW w:w="705" w:type="pct"/>
            <w:tcBorders>
              <w:top w:val="single" w:color="auto" w:sz="4" w:space="0"/>
              <w:left w:val="nil"/>
              <w:bottom w:val="single" w:color="auto" w:sz="4" w:space="0"/>
              <w:right w:val="single" w:color="auto" w:sz="4" w:space="0"/>
            </w:tcBorders>
            <w:shd w:val="clear" w:color="auto" w:fill="auto"/>
            <w:vAlign w:val="center"/>
          </w:tcPr>
          <w:p w14:paraId="416A9A05">
            <w:pPr>
              <w:pStyle w:val="115"/>
              <w:jc w:val="center"/>
            </w:pPr>
            <w:r>
              <w:rPr>
                <w:rFonts w:hint="eastAsia"/>
              </w:rPr>
              <w:t>0.6-1.0</w:t>
            </w:r>
          </w:p>
        </w:tc>
        <w:tc>
          <w:tcPr>
            <w:tcW w:w="3226" w:type="pct"/>
            <w:tcBorders>
              <w:top w:val="single" w:color="auto" w:sz="4" w:space="0"/>
              <w:left w:val="nil"/>
              <w:bottom w:val="single" w:color="auto" w:sz="4" w:space="0"/>
              <w:right w:val="single" w:color="auto" w:sz="4" w:space="0"/>
            </w:tcBorders>
            <w:shd w:val="clear" w:color="auto" w:fill="auto"/>
            <w:vAlign w:val="center"/>
          </w:tcPr>
          <w:p w14:paraId="33045E6B">
            <w:pPr>
              <w:pStyle w:val="115"/>
              <w:jc w:val="center"/>
            </w:pPr>
            <w:r>
              <w:rPr>
                <w:rFonts w:hint="eastAsia"/>
              </w:rPr>
              <w:t>幼儿园为0.6，中小学为1.0</w:t>
            </w:r>
          </w:p>
        </w:tc>
      </w:tr>
      <w:tr w14:paraId="49744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1069" w:type="pct"/>
            <w:tcBorders>
              <w:top w:val="single" w:color="auto" w:sz="4" w:space="0"/>
              <w:left w:val="single" w:color="auto" w:sz="4" w:space="0"/>
              <w:bottom w:val="single" w:color="auto" w:sz="4" w:space="0"/>
              <w:right w:val="single" w:color="auto" w:sz="4" w:space="0"/>
            </w:tcBorders>
            <w:shd w:val="clear" w:color="auto" w:fill="auto"/>
            <w:vAlign w:val="center"/>
          </w:tcPr>
          <w:p w14:paraId="4A0EAE63">
            <w:pPr>
              <w:pStyle w:val="115"/>
              <w:jc w:val="center"/>
            </w:pPr>
            <w:r>
              <w:rPr>
                <w:rFonts w:hint="eastAsia"/>
              </w:rPr>
              <w:t>其他公共服务</w:t>
            </w:r>
          </w:p>
        </w:tc>
        <w:tc>
          <w:tcPr>
            <w:tcW w:w="705" w:type="pct"/>
            <w:tcBorders>
              <w:top w:val="single" w:color="auto" w:sz="4" w:space="0"/>
              <w:left w:val="nil"/>
              <w:bottom w:val="single" w:color="auto" w:sz="4" w:space="0"/>
              <w:right w:val="single" w:color="auto" w:sz="4" w:space="0"/>
            </w:tcBorders>
            <w:shd w:val="clear" w:color="auto" w:fill="auto"/>
            <w:vAlign w:val="center"/>
          </w:tcPr>
          <w:p w14:paraId="2098CFD7">
            <w:pPr>
              <w:pStyle w:val="115"/>
              <w:jc w:val="center"/>
            </w:pPr>
            <w:r>
              <w:rPr>
                <w:rFonts w:hint="eastAsia"/>
              </w:rPr>
              <w:t>1.0-1.5</w:t>
            </w:r>
          </w:p>
        </w:tc>
        <w:tc>
          <w:tcPr>
            <w:tcW w:w="3226" w:type="pct"/>
            <w:tcBorders>
              <w:top w:val="single" w:color="auto" w:sz="4" w:space="0"/>
              <w:left w:val="nil"/>
              <w:bottom w:val="single" w:color="auto" w:sz="4" w:space="0"/>
              <w:right w:val="single" w:color="auto" w:sz="4" w:space="0"/>
            </w:tcBorders>
            <w:shd w:val="clear" w:color="auto" w:fill="auto"/>
            <w:vAlign w:val="center"/>
          </w:tcPr>
          <w:p w14:paraId="3C379A5F">
            <w:pPr>
              <w:pStyle w:val="115"/>
              <w:jc w:val="center"/>
            </w:pPr>
            <w:r>
              <w:rPr>
                <w:rFonts w:hint="eastAsia"/>
              </w:rPr>
              <w:t>体育设施为1.0，文化、医疗、社区中心等为1.5</w:t>
            </w:r>
          </w:p>
        </w:tc>
      </w:tr>
    </w:tbl>
    <w:p w14:paraId="1A2017F7">
      <w:pPr>
        <w:spacing w:beforeAutospacing="1" w:after="166"/>
        <w:ind w:firstLine="0" w:firstLineChars="0"/>
        <w:jc w:val="both"/>
        <w:rPr>
          <w:rFonts w:ascii="宋体" w:hAnsi="宋体" w:cs="宋体"/>
          <w:color w:val="262626"/>
          <w:kern w:val="24"/>
          <w:sz w:val="24"/>
          <w:szCs w:val="24"/>
        </w:rPr>
      </w:pPr>
      <w:r>
        <w:drawing>
          <wp:inline distT="0" distB="0" distL="114300" distR="114300">
            <wp:extent cx="5271770" cy="4366260"/>
            <wp:effectExtent l="0" t="0" r="5080" b="15240"/>
            <wp:docPr id="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
                    <pic:cNvPicPr>
                      <a:picLocks noChangeAspect="1"/>
                    </pic:cNvPicPr>
                  </pic:nvPicPr>
                  <pic:blipFill>
                    <a:blip r:embed="rId117"/>
                    <a:stretch>
                      <a:fillRect/>
                    </a:stretch>
                  </pic:blipFill>
                  <pic:spPr>
                    <a:xfrm>
                      <a:off x="0" y="0"/>
                      <a:ext cx="5271770" cy="4366260"/>
                    </a:xfrm>
                    <a:prstGeom prst="rect">
                      <a:avLst/>
                    </a:prstGeom>
                    <a:noFill/>
                    <a:ln>
                      <a:noFill/>
                    </a:ln>
                  </pic:spPr>
                </pic:pic>
              </a:graphicData>
            </a:graphic>
          </wp:inline>
        </w:drawing>
      </w:r>
    </w:p>
    <w:p w14:paraId="438CCFB8">
      <w:pPr>
        <w:pStyle w:val="268"/>
        <w:rPr>
          <w:rFonts w:hint="eastAsia"/>
        </w:rPr>
      </w:pPr>
      <w:r>
        <w:rPr>
          <w:rFonts w:hint="eastAsia"/>
        </w:rPr>
        <w:t>图15-3 开发强度控制规划图</w:t>
      </w:r>
    </w:p>
    <w:p w14:paraId="6DB2E745">
      <w:pPr>
        <w:pStyle w:val="3"/>
        <w:numPr>
          <w:ilvl w:val="1"/>
          <w:numId w:val="5"/>
        </w:numPr>
        <w:spacing w:before="332" w:after="166"/>
        <w:rPr>
          <w:rFonts w:hint="eastAsia"/>
        </w:rPr>
      </w:pPr>
      <w:r>
        <w:t>绿地率</w:t>
      </w:r>
    </w:p>
    <w:p w14:paraId="6D3669A2">
      <w:pPr>
        <w:widowControl/>
        <w:spacing w:beforeAutospacing="1" w:after="166"/>
        <w:ind w:firstLine="500"/>
        <w:jc w:val="left"/>
        <w:rPr>
          <w:rFonts w:hint="eastAsia" w:ascii="宋体" w:hAnsi="宋体" w:cs="宋体"/>
          <w:color w:val="000000"/>
          <w:kern w:val="0"/>
          <w:lang w:val="en-US" w:bidi="ar"/>
        </w:rPr>
      </w:pPr>
      <w:r>
        <w:rPr>
          <w:rFonts w:hint="eastAsia" w:ascii="宋体" w:hAnsi="宋体" w:cs="宋体"/>
          <w:color w:val="000000"/>
          <w:kern w:val="0"/>
          <w:lang w:val="en-US" w:bidi="ar"/>
        </w:rPr>
        <w:t>依据《包头市城乡规划技术规定》中对建设项目绿地率的要求，参照下表进行管控。绿地率指标工业与仓储用地控制上限，其他用地控制下限。</w:t>
      </w:r>
    </w:p>
    <w:p w14:paraId="6F815F95">
      <w:pPr>
        <w:pStyle w:val="117"/>
      </w:pPr>
      <w:r>
        <w:rPr>
          <w:rFonts w:hint="eastAsia"/>
        </w:rPr>
        <w:t xml:space="preserve">表13-4 </w:t>
      </w:r>
      <w:r>
        <w:rPr>
          <w:rFonts w:hint="eastAsia"/>
          <w:lang w:eastAsia="zh"/>
        </w:rPr>
        <w:t>规划绿地率控制指标</w:t>
      </w:r>
      <w:r>
        <w:rPr>
          <w:rFonts w:hint="eastAsia"/>
        </w:rPr>
        <w:t>表</w:t>
      </w:r>
    </w:p>
    <w:tbl>
      <w:tblPr>
        <w:tblStyle w:val="36"/>
        <w:tblW w:w="4998" w:type="pct"/>
        <w:tblInd w:w="0" w:type="dxa"/>
        <w:tblLayout w:type="autofit"/>
        <w:tblCellMar>
          <w:top w:w="0" w:type="dxa"/>
          <w:left w:w="108" w:type="dxa"/>
          <w:bottom w:w="0" w:type="dxa"/>
          <w:right w:w="108" w:type="dxa"/>
        </w:tblCellMar>
      </w:tblPr>
      <w:tblGrid>
        <w:gridCol w:w="4923"/>
        <w:gridCol w:w="3596"/>
      </w:tblGrid>
      <w:tr w14:paraId="48387705">
        <w:tblPrEx>
          <w:tblCellMar>
            <w:top w:w="0" w:type="dxa"/>
            <w:left w:w="108" w:type="dxa"/>
            <w:bottom w:w="0" w:type="dxa"/>
            <w:right w:w="108" w:type="dxa"/>
          </w:tblCellMar>
        </w:tblPrEx>
        <w:trPr>
          <w:trHeight w:val="57" w:hRule="atLeast"/>
        </w:trPr>
        <w:tc>
          <w:tcPr>
            <w:tcW w:w="28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44B6FB">
            <w:pPr>
              <w:pStyle w:val="115"/>
              <w:keepNext w:val="0"/>
              <w:keepLines w:val="0"/>
              <w:suppressLineNumbers w:val="0"/>
              <w:spacing w:before="0" w:beforeAutospacing="0" w:afterAutospacing="0"/>
              <w:ind w:left="0" w:right="0"/>
              <w:jc w:val="center"/>
              <w:rPr>
                <w:rFonts w:hint="default"/>
              </w:rPr>
            </w:pPr>
            <w:r>
              <w:rPr>
                <w:rFonts w:hint="eastAsia"/>
              </w:rPr>
              <w:t>用地类别</w:t>
            </w:r>
          </w:p>
        </w:tc>
        <w:tc>
          <w:tcPr>
            <w:tcW w:w="21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4C44C1">
            <w:pPr>
              <w:pStyle w:val="115"/>
              <w:keepNext w:val="0"/>
              <w:keepLines w:val="0"/>
              <w:suppressLineNumbers w:val="0"/>
              <w:spacing w:before="0" w:beforeAutospacing="0" w:afterAutospacing="0"/>
              <w:ind w:left="0" w:right="0"/>
              <w:jc w:val="center"/>
              <w:rPr>
                <w:rFonts w:hint="default"/>
              </w:rPr>
            </w:pPr>
            <w:r>
              <w:rPr>
                <w:rFonts w:hint="eastAsia"/>
              </w:rPr>
              <w:t>绿地率</w:t>
            </w:r>
          </w:p>
        </w:tc>
      </w:tr>
      <w:tr w14:paraId="7C53F734">
        <w:tblPrEx>
          <w:tblCellMar>
            <w:top w:w="0" w:type="dxa"/>
            <w:left w:w="108" w:type="dxa"/>
            <w:bottom w:w="0" w:type="dxa"/>
            <w:right w:w="108" w:type="dxa"/>
          </w:tblCellMar>
        </w:tblPrEx>
        <w:trPr>
          <w:trHeight w:val="57" w:hRule="atLeast"/>
        </w:trPr>
        <w:tc>
          <w:tcPr>
            <w:tcW w:w="28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653CBA">
            <w:pPr>
              <w:pStyle w:val="115"/>
              <w:keepNext w:val="0"/>
              <w:keepLines w:val="0"/>
              <w:suppressLineNumbers w:val="0"/>
              <w:spacing w:before="0" w:beforeAutospacing="0" w:afterAutospacing="0"/>
              <w:ind w:left="0" w:right="0"/>
              <w:jc w:val="center"/>
              <w:rPr>
                <w:rFonts w:hint="default"/>
              </w:rPr>
            </w:pPr>
            <w:r>
              <w:rPr>
                <w:rFonts w:hint="eastAsia"/>
              </w:rPr>
              <w:t>商务设施用地</w:t>
            </w:r>
          </w:p>
        </w:tc>
        <w:tc>
          <w:tcPr>
            <w:tcW w:w="2110" w:type="pct"/>
            <w:vMerge w:val="restart"/>
            <w:tcBorders>
              <w:top w:val="single" w:color="000000" w:sz="4" w:space="0"/>
              <w:left w:val="single" w:color="000000" w:sz="4" w:space="0"/>
              <w:right w:val="single" w:color="000000" w:sz="4" w:space="0"/>
            </w:tcBorders>
            <w:shd w:val="clear" w:color="auto" w:fill="auto"/>
            <w:vAlign w:val="center"/>
          </w:tcPr>
          <w:p w14:paraId="4F59E5E4">
            <w:pPr>
              <w:pStyle w:val="115"/>
              <w:keepNext w:val="0"/>
              <w:keepLines w:val="0"/>
              <w:suppressLineNumbers w:val="0"/>
              <w:spacing w:before="0" w:beforeAutospacing="0" w:afterAutospacing="0"/>
              <w:ind w:left="0" w:right="0"/>
              <w:jc w:val="center"/>
              <w:rPr>
                <w:rFonts w:hint="default"/>
              </w:rPr>
            </w:pPr>
            <w:r>
              <w:rPr>
                <w:rFonts w:hint="eastAsia"/>
              </w:rPr>
              <w:t>≥25%</w:t>
            </w:r>
          </w:p>
        </w:tc>
      </w:tr>
      <w:tr w14:paraId="6558AD5C">
        <w:tblPrEx>
          <w:tblCellMar>
            <w:top w:w="0" w:type="dxa"/>
            <w:left w:w="108" w:type="dxa"/>
            <w:bottom w:w="0" w:type="dxa"/>
            <w:right w:w="108" w:type="dxa"/>
          </w:tblCellMar>
        </w:tblPrEx>
        <w:trPr>
          <w:trHeight w:val="57" w:hRule="atLeast"/>
        </w:trPr>
        <w:tc>
          <w:tcPr>
            <w:tcW w:w="28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E88504">
            <w:pPr>
              <w:pStyle w:val="115"/>
              <w:keepNext w:val="0"/>
              <w:keepLines w:val="0"/>
              <w:suppressLineNumbers w:val="0"/>
              <w:spacing w:before="0" w:beforeAutospacing="0" w:afterAutospacing="0"/>
              <w:ind w:left="0" w:right="0"/>
              <w:jc w:val="center"/>
              <w:rPr>
                <w:rFonts w:hint="default"/>
              </w:rPr>
            </w:pPr>
            <w:r>
              <w:rPr>
                <w:rFonts w:hint="eastAsia"/>
              </w:rPr>
              <w:t>商业设施用地</w:t>
            </w:r>
          </w:p>
        </w:tc>
        <w:tc>
          <w:tcPr>
            <w:tcW w:w="2110" w:type="pct"/>
            <w:vMerge w:val="continue"/>
            <w:tcBorders>
              <w:left w:val="single" w:color="000000" w:sz="4" w:space="0"/>
              <w:bottom w:val="single" w:color="000000" w:sz="4" w:space="0"/>
              <w:right w:val="single" w:color="000000" w:sz="4" w:space="0"/>
            </w:tcBorders>
            <w:shd w:val="clear" w:color="auto" w:fill="auto"/>
            <w:vAlign w:val="center"/>
          </w:tcPr>
          <w:p w14:paraId="2678501A">
            <w:pPr>
              <w:pStyle w:val="115"/>
              <w:keepNext w:val="0"/>
              <w:keepLines w:val="0"/>
              <w:suppressLineNumbers w:val="0"/>
              <w:spacing w:before="0" w:beforeAutospacing="0" w:afterAutospacing="0"/>
              <w:ind w:left="0" w:right="0"/>
              <w:jc w:val="center"/>
              <w:rPr>
                <w:rFonts w:hint="default"/>
              </w:rPr>
            </w:pPr>
          </w:p>
        </w:tc>
      </w:tr>
      <w:tr w14:paraId="7DB32B22">
        <w:tblPrEx>
          <w:tblCellMar>
            <w:top w:w="0" w:type="dxa"/>
            <w:left w:w="108" w:type="dxa"/>
            <w:bottom w:w="0" w:type="dxa"/>
            <w:right w:w="108" w:type="dxa"/>
          </w:tblCellMar>
        </w:tblPrEx>
        <w:trPr>
          <w:trHeight w:val="57" w:hRule="atLeast"/>
        </w:trPr>
        <w:tc>
          <w:tcPr>
            <w:tcW w:w="28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23DE7C">
            <w:pPr>
              <w:pStyle w:val="115"/>
              <w:keepNext w:val="0"/>
              <w:keepLines w:val="0"/>
              <w:suppressLineNumbers w:val="0"/>
              <w:spacing w:before="0" w:beforeAutospacing="0" w:afterAutospacing="0"/>
              <w:ind w:left="0" w:right="0"/>
              <w:jc w:val="center"/>
              <w:rPr>
                <w:rFonts w:hint="default"/>
              </w:rPr>
            </w:pPr>
            <w:r>
              <w:rPr>
                <w:rFonts w:hint="eastAsia"/>
              </w:rPr>
              <w:t>交通设施用地</w:t>
            </w:r>
          </w:p>
        </w:tc>
        <w:tc>
          <w:tcPr>
            <w:tcW w:w="2110" w:type="pct"/>
            <w:vMerge w:val="restart"/>
            <w:tcBorders>
              <w:top w:val="single" w:color="000000" w:sz="4" w:space="0"/>
              <w:left w:val="single" w:color="000000" w:sz="4" w:space="0"/>
              <w:right w:val="single" w:color="000000" w:sz="4" w:space="0"/>
            </w:tcBorders>
            <w:shd w:val="clear" w:color="auto" w:fill="auto"/>
            <w:vAlign w:val="center"/>
          </w:tcPr>
          <w:p w14:paraId="52CA20C3">
            <w:pPr>
              <w:pStyle w:val="115"/>
              <w:keepNext w:val="0"/>
              <w:keepLines w:val="0"/>
              <w:suppressLineNumbers w:val="0"/>
              <w:spacing w:before="0" w:beforeAutospacing="0" w:afterAutospacing="0"/>
              <w:ind w:left="0" w:right="0"/>
              <w:jc w:val="center"/>
              <w:rPr>
                <w:rFonts w:hint="default"/>
              </w:rPr>
            </w:pPr>
            <w:r>
              <w:rPr>
                <w:rFonts w:hint="eastAsia"/>
              </w:rPr>
              <w:t>≥30%</w:t>
            </w:r>
          </w:p>
        </w:tc>
      </w:tr>
      <w:tr w14:paraId="03FDB0C1">
        <w:tblPrEx>
          <w:tblCellMar>
            <w:top w:w="0" w:type="dxa"/>
            <w:left w:w="108" w:type="dxa"/>
            <w:bottom w:w="0" w:type="dxa"/>
            <w:right w:w="108" w:type="dxa"/>
          </w:tblCellMar>
        </w:tblPrEx>
        <w:trPr>
          <w:trHeight w:val="57" w:hRule="atLeast"/>
        </w:trPr>
        <w:tc>
          <w:tcPr>
            <w:tcW w:w="28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AA8BB6">
            <w:pPr>
              <w:pStyle w:val="115"/>
              <w:keepNext w:val="0"/>
              <w:keepLines w:val="0"/>
              <w:suppressLineNumbers w:val="0"/>
              <w:spacing w:before="0" w:beforeAutospacing="0" w:afterAutospacing="0"/>
              <w:ind w:left="0" w:right="0"/>
              <w:jc w:val="center"/>
              <w:rPr>
                <w:rFonts w:hint="default"/>
              </w:rPr>
            </w:pPr>
            <w:r>
              <w:rPr>
                <w:rFonts w:hint="eastAsia"/>
              </w:rPr>
              <w:t>公用设施用地</w:t>
            </w:r>
          </w:p>
        </w:tc>
        <w:tc>
          <w:tcPr>
            <w:tcW w:w="2110" w:type="pct"/>
            <w:vMerge w:val="continue"/>
            <w:tcBorders>
              <w:left w:val="single" w:color="000000" w:sz="4" w:space="0"/>
              <w:bottom w:val="single" w:color="000000" w:sz="4" w:space="0"/>
              <w:right w:val="single" w:color="000000" w:sz="4" w:space="0"/>
            </w:tcBorders>
            <w:shd w:val="clear" w:color="auto" w:fill="auto"/>
            <w:vAlign w:val="center"/>
          </w:tcPr>
          <w:p w14:paraId="19ADE090">
            <w:pPr>
              <w:pStyle w:val="115"/>
              <w:keepNext w:val="0"/>
              <w:keepLines w:val="0"/>
              <w:suppressLineNumbers w:val="0"/>
              <w:spacing w:before="0" w:beforeAutospacing="0" w:afterAutospacing="0"/>
              <w:ind w:left="0" w:right="0"/>
              <w:jc w:val="center"/>
              <w:rPr>
                <w:rFonts w:hint="default"/>
              </w:rPr>
            </w:pPr>
          </w:p>
        </w:tc>
      </w:tr>
      <w:tr w14:paraId="3D9E0B3F">
        <w:tblPrEx>
          <w:tblCellMar>
            <w:top w:w="0" w:type="dxa"/>
            <w:left w:w="108" w:type="dxa"/>
            <w:bottom w:w="0" w:type="dxa"/>
            <w:right w:w="108" w:type="dxa"/>
          </w:tblCellMar>
        </w:tblPrEx>
        <w:trPr>
          <w:trHeight w:val="57" w:hRule="atLeast"/>
        </w:trPr>
        <w:tc>
          <w:tcPr>
            <w:tcW w:w="28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2AB4DA">
            <w:pPr>
              <w:pStyle w:val="115"/>
              <w:keepNext w:val="0"/>
              <w:keepLines w:val="0"/>
              <w:suppressLineNumbers w:val="0"/>
              <w:spacing w:before="0" w:beforeAutospacing="0" w:afterAutospacing="0"/>
              <w:ind w:left="0" w:right="0"/>
              <w:jc w:val="center"/>
              <w:rPr>
                <w:rFonts w:hint="default"/>
              </w:rPr>
            </w:pPr>
            <w:r>
              <w:rPr>
                <w:rFonts w:hint="eastAsia"/>
              </w:rPr>
              <w:t>行政办公用地</w:t>
            </w:r>
          </w:p>
        </w:tc>
        <w:tc>
          <w:tcPr>
            <w:tcW w:w="2110" w:type="pct"/>
            <w:vMerge w:val="restart"/>
            <w:tcBorders>
              <w:top w:val="single" w:color="000000" w:sz="4" w:space="0"/>
              <w:left w:val="single" w:color="000000" w:sz="4" w:space="0"/>
              <w:right w:val="single" w:color="000000" w:sz="4" w:space="0"/>
            </w:tcBorders>
            <w:shd w:val="clear" w:color="auto" w:fill="auto"/>
            <w:vAlign w:val="center"/>
          </w:tcPr>
          <w:p w14:paraId="55B7AAEC">
            <w:pPr>
              <w:pStyle w:val="115"/>
              <w:keepNext w:val="0"/>
              <w:keepLines w:val="0"/>
              <w:suppressLineNumbers w:val="0"/>
              <w:spacing w:before="0" w:beforeAutospacing="0" w:afterAutospacing="0"/>
              <w:ind w:left="0" w:right="0"/>
              <w:jc w:val="center"/>
              <w:rPr>
                <w:rFonts w:hint="default"/>
              </w:rPr>
            </w:pPr>
            <w:r>
              <w:rPr>
                <w:rFonts w:hint="eastAsia"/>
              </w:rPr>
              <w:t>≥35%</w:t>
            </w:r>
          </w:p>
        </w:tc>
      </w:tr>
      <w:tr w14:paraId="48344BB0">
        <w:tblPrEx>
          <w:tblCellMar>
            <w:top w:w="0" w:type="dxa"/>
            <w:left w:w="108" w:type="dxa"/>
            <w:bottom w:w="0" w:type="dxa"/>
            <w:right w:w="108" w:type="dxa"/>
          </w:tblCellMar>
        </w:tblPrEx>
        <w:trPr>
          <w:trHeight w:val="57" w:hRule="atLeast"/>
        </w:trPr>
        <w:tc>
          <w:tcPr>
            <w:tcW w:w="28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7E9543">
            <w:pPr>
              <w:pStyle w:val="115"/>
              <w:keepNext w:val="0"/>
              <w:keepLines w:val="0"/>
              <w:suppressLineNumbers w:val="0"/>
              <w:spacing w:before="0" w:beforeAutospacing="0" w:afterAutospacing="0"/>
              <w:ind w:left="0" w:right="0"/>
              <w:jc w:val="center"/>
              <w:rPr>
                <w:rFonts w:hint="default"/>
              </w:rPr>
            </w:pPr>
            <w:r>
              <w:rPr>
                <w:rFonts w:hint="eastAsia"/>
              </w:rPr>
              <w:t>文化设施用地</w:t>
            </w:r>
          </w:p>
        </w:tc>
        <w:tc>
          <w:tcPr>
            <w:tcW w:w="2110" w:type="pct"/>
            <w:vMerge w:val="continue"/>
            <w:tcBorders>
              <w:left w:val="single" w:color="000000" w:sz="4" w:space="0"/>
              <w:right w:val="single" w:color="000000" w:sz="4" w:space="0"/>
            </w:tcBorders>
            <w:shd w:val="clear" w:color="auto" w:fill="auto"/>
            <w:vAlign w:val="center"/>
          </w:tcPr>
          <w:p w14:paraId="66F3E28B">
            <w:pPr>
              <w:pStyle w:val="115"/>
              <w:keepNext w:val="0"/>
              <w:keepLines w:val="0"/>
              <w:suppressLineNumbers w:val="0"/>
              <w:spacing w:before="0" w:beforeAutospacing="0" w:afterAutospacing="0"/>
              <w:ind w:left="0" w:right="0"/>
              <w:jc w:val="center"/>
              <w:rPr>
                <w:rFonts w:hint="default"/>
              </w:rPr>
            </w:pPr>
          </w:p>
        </w:tc>
      </w:tr>
      <w:tr w14:paraId="3BE5AA56">
        <w:tblPrEx>
          <w:tblCellMar>
            <w:top w:w="0" w:type="dxa"/>
            <w:left w:w="108" w:type="dxa"/>
            <w:bottom w:w="0" w:type="dxa"/>
            <w:right w:w="108" w:type="dxa"/>
          </w:tblCellMar>
        </w:tblPrEx>
        <w:trPr>
          <w:trHeight w:val="57" w:hRule="atLeast"/>
        </w:trPr>
        <w:tc>
          <w:tcPr>
            <w:tcW w:w="28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173FA0">
            <w:pPr>
              <w:pStyle w:val="115"/>
              <w:keepNext w:val="0"/>
              <w:keepLines w:val="0"/>
              <w:suppressLineNumbers w:val="0"/>
              <w:spacing w:before="0" w:beforeAutospacing="0" w:afterAutospacing="0"/>
              <w:ind w:left="0" w:right="0"/>
              <w:jc w:val="center"/>
              <w:rPr>
                <w:rFonts w:hint="default"/>
              </w:rPr>
            </w:pPr>
            <w:r>
              <w:rPr>
                <w:rFonts w:hint="eastAsia"/>
              </w:rPr>
              <w:t>教育科研设计用地</w:t>
            </w:r>
          </w:p>
        </w:tc>
        <w:tc>
          <w:tcPr>
            <w:tcW w:w="2110" w:type="pct"/>
            <w:vMerge w:val="continue"/>
            <w:tcBorders>
              <w:left w:val="single" w:color="000000" w:sz="4" w:space="0"/>
              <w:right w:val="single" w:color="000000" w:sz="4" w:space="0"/>
            </w:tcBorders>
            <w:shd w:val="clear" w:color="auto" w:fill="auto"/>
            <w:vAlign w:val="center"/>
          </w:tcPr>
          <w:p w14:paraId="056FE277">
            <w:pPr>
              <w:pStyle w:val="115"/>
              <w:keepNext w:val="0"/>
              <w:keepLines w:val="0"/>
              <w:suppressLineNumbers w:val="0"/>
              <w:spacing w:before="0" w:beforeAutospacing="0" w:afterAutospacing="0"/>
              <w:ind w:left="0" w:right="0"/>
              <w:jc w:val="center"/>
              <w:rPr>
                <w:rFonts w:hint="default"/>
              </w:rPr>
            </w:pPr>
          </w:p>
        </w:tc>
      </w:tr>
      <w:tr w14:paraId="43F40452">
        <w:tblPrEx>
          <w:tblCellMar>
            <w:top w:w="0" w:type="dxa"/>
            <w:left w:w="108" w:type="dxa"/>
            <w:bottom w:w="0" w:type="dxa"/>
            <w:right w:w="108" w:type="dxa"/>
          </w:tblCellMar>
        </w:tblPrEx>
        <w:trPr>
          <w:trHeight w:val="57" w:hRule="atLeast"/>
        </w:trPr>
        <w:tc>
          <w:tcPr>
            <w:tcW w:w="28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310D40">
            <w:pPr>
              <w:pStyle w:val="115"/>
              <w:keepNext w:val="0"/>
              <w:keepLines w:val="0"/>
              <w:suppressLineNumbers w:val="0"/>
              <w:spacing w:before="0" w:beforeAutospacing="0" w:afterAutospacing="0"/>
              <w:ind w:left="0" w:right="0"/>
              <w:jc w:val="center"/>
              <w:rPr>
                <w:rFonts w:hint="default"/>
              </w:rPr>
            </w:pPr>
            <w:r>
              <w:rPr>
                <w:rFonts w:hint="eastAsia"/>
              </w:rPr>
              <w:t>二类、三类居住用地</w:t>
            </w:r>
          </w:p>
        </w:tc>
        <w:tc>
          <w:tcPr>
            <w:tcW w:w="2110" w:type="pct"/>
            <w:vMerge w:val="continue"/>
            <w:tcBorders>
              <w:left w:val="single" w:color="000000" w:sz="4" w:space="0"/>
              <w:bottom w:val="single" w:color="000000" w:sz="4" w:space="0"/>
              <w:right w:val="single" w:color="000000" w:sz="4" w:space="0"/>
            </w:tcBorders>
            <w:shd w:val="clear" w:color="auto" w:fill="auto"/>
            <w:vAlign w:val="center"/>
          </w:tcPr>
          <w:p w14:paraId="6CBDF4D9">
            <w:pPr>
              <w:pStyle w:val="115"/>
              <w:keepNext w:val="0"/>
              <w:keepLines w:val="0"/>
              <w:suppressLineNumbers w:val="0"/>
              <w:spacing w:before="0" w:beforeAutospacing="0" w:afterAutospacing="0"/>
              <w:ind w:left="0" w:right="0"/>
              <w:jc w:val="center"/>
              <w:rPr>
                <w:rFonts w:hint="default"/>
              </w:rPr>
            </w:pPr>
          </w:p>
        </w:tc>
      </w:tr>
      <w:tr w14:paraId="0CCA2377">
        <w:tblPrEx>
          <w:tblCellMar>
            <w:top w:w="0" w:type="dxa"/>
            <w:left w:w="108" w:type="dxa"/>
            <w:bottom w:w="0" w:type="dxa"/>
            <w:right w:w="108" w:type="dxa"/>
          </w:tblCellMar>
        </w:tblPrEx>
        <w:trPr>
          <w:trHeight w:val="57" w:hRule="atLeast"/>
        </w:trPr>
        <w:tc>
          <w:tcPr>
            <w:tcW w:w="28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693F9C">
            <w:pPr>
              <w:pStyle w:val="115"/>
              <w:keepNext w:val="0"/>
              <w:keepLines w:val="0"/>
              <w:suppressLineNumbers w:val="0"/>
              <w:spacing w:before="0" w:beforeAutospacing="0" w:afterAutospacing="0"/>
              <w:ind w:left="0" w:right="0"/>
              <w:jc w:val="center"/>
              <w:rPr>
                <w:rFonts w:hint="default"/>
              </w:rPr>
            </w:pPr>
            <w:r>
              <w:rPr>
                <w:rFonts w:hint="eastAsia"/>
              </w:rPr>
              <w:t>体育用地</w:t>
            </w:r>
          </w:p>
        </w:tc>
        <w:tc>
          <w:tcPr>
            <w:tcW w:w="2110" w:type="pct"/>
            <w:vMerge w:val="restart"/>
            <w:tcBorders>
              <w:top w:val="single" w:color="000000" w:sz="4" w:space="0"/>
              <w:left w:val="single" w:color="000000" w:sz="4" w:space="0"/>
              <w:right w:val="single" w:color="000000" w:sz="4" w:space="0"/>
            </w:tcBorders>
            <w:shd w:val="clear" w:color="auto" w:fill="auto"/>
            <w:vAlign w:val="center"/>
          </w:tcPr>
          <w:p w14:paraId="2A525551">
            <w:pPr>
              <w:pStyle w:val="115"/>
              <w:keepNext w:val="0"/>
              <w:keepLines w:val="0"/>
              <w:suppressLineNumbers w:val="0"/>
              <w:spacing w:before="0" w:beforeAutospacing="0" w:afterAutospacing="0"/>
              <w:ind w:left="0" w:right="0"/>
              <w:jc w:val="center"/>
              <w:rPr>
                <w:rFonts w:hint="default"/>
              </w:rPr>
            </w:pPr>
            <w:r>
              <w:rPr>
                <w:rFonts w:hint="eastAsia"/>
              </w:rPr>
              <w:t>≥40%</w:t>
            </w:r>
          </w:p>
        </w:tc>
      </w:tr>
      <w:tr w14:paraId="29AA33BB">
        <w:tblPrEx>
          <w:tblCellMar>
            <w:top w:w="0" w:type="dxa"/>
            <w:left w:w="108" w:type="dxa"/>
            <w:bottom w:w="0" w:type="dxa"/>
            <w:right w:w="108" w:type="dxa"/>
          </w:tblCellMar>
        </w:tblPrEx>
        <w:trPr>
          <w:trHeight w:val="57" w:hRule="atLeast"/>
        </w:trPr>
        <w:tc>
          <w:tcPr>
            <w:tcW w:w="28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85E135">
            <w:pPr>
              <w:pStyle w:val="115"/>
              <w:keepNext w:val="0"/>
              <w:keepLines w:val="0"/>
              <w:suppressLineNumbers w:val="0"/>
              <w:spacing w:before="0" w:beforeAutospacing="0" w:afterAutospacing="0"/>
              <w:ind w:left="0" w:right="0"/>
              <w:jc w:val="center"/>
              <w:rPr>
                <w:rFonts w:hint="default"/>
              </w:rPr>
            </w:pPr>
            <w:r>
              <w:rPr>
                <w:rFonts w:hint="eastAsia"/>
              </w:rPr>
              <w:t>医疗卫生用地</w:t>
            </w:r>
          </w:p>
        </w:tc>
        <w:tc>
          <w:tcPr>
            <w:tcW w:w="2110" w:type="pct"/>
            <w:vMerge w:val="continue"/>
            <w:tcBorders>
              <w:left w:val="single" w:color="000000" w:sz="4" w:space="0"/>
              <w:right w:val="single" w:color="000000" w:sz="4" w:space="0"/>
            </w:tcBorders>
            <w:shd w:val="clear" w:color="auto" w:fill="auto"/>
            <w:vAlign w:val="center"/>
          </w:tcPr>
          <w:p w14:paraId="0621826E">
            <w:pPr>
              <w:pStyle w:val="115"/>
              <w:keepNext w:val="0"/>
              <w:keepLines w:val="0"/>
              <w:suppressLineNumbers w:val="0"/>
              <w:spacing w:before="0" w:beforeAutospacing="0" w:afterAutospacing="0"/>
              <w:ind w:left="0" w:right="0"/>
              <w:jc w:val="center"/>
              <w:rPr>
                <w:rFonts w:hint="default"/>
              </w:rPr>
            </w:pPr>
          </w:p>
        </w:tc>
      </w:tr>
      <w:tr w14:paraId="6943F4CD">
        <w:tblPrEx>
          <w:tblCellMar>
            <w:top w:w="0" w:type="dxa"/>
            <w:left w:w="108" w:type="dxa"/>
            <w:bottom w:w="0" w:type="dxa"/>
            <w:right w:w="108" w:type="dxa"/>
          </w:tblCellMar>
        </w:tblPrEx>
        <w:trPr>
          <w:trHeight w:val="57" w:hRule="atLeast"/>
        </w:trPr>
        <w:tc>
          <w:tcPr>
            <w:tcW w:w="28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BD1547">
            <w:pPr>
              <w:pStyle w:val="115"/>
              <w:keepNext w:val="0"/>
              <w:keepLines w:val="0"/>
              <w:suppressLineNumbers w:val="0"/>
              <w:spacing w:before="0" w:beforeAutospacing="0" w:afterAutospacing="0"/>
              <w:ind w:left="0" w:right="0"/>
              <w:jc w:val="center"/>
              <w:rPr>
                <w:rFonts w:hint="default"/>
              </w:rPr>
            </w:pPr>
            <w:r>
              <w:rPr>
                <w:rFonts w:hint="eastAsia"/>
              </w:rPr>
              <w:t>工业用地</w:t>
            </w:r>
          </w:p>
        </w:tc>
        <w:tc>
          <w:tcPr>
            <w:tcW w:w="2110" w:type="pct"/>
            <w:vMerge w:val="restart"/>
            <w:tcBorders>
              <w:top w:val="single" w:color="000000" w:sz="4" w:space="0"/>
              <w:left w:val="single" w:color="000000" w:sz="4" w:space="0"/>
              <w:right w:val="single" w:color="000000" w:sz="4" w:space="0"/>
            </w:tcBorders>
            <w:shd w:val="clear" w:color="auto" w:fill="auto"/>
            <w:vAlign w:val="center"/>
          </w:tcPr>
          <w:p w14:paraId="69CA36F2">
            <w:pPr>
              <w:pStyle w:val="115"/>
              <w:keepNext w:val="0"/>
              <w:keepLines w:val="0"/>
              <w:suppressLineNumbers w:val="0"/>
              <w:spacing w:before="0" w:beforeAutospacing="0" w:afterAutospacing="0"/>
              <w:ind w:left="0" w:right="0"/>
              <w:jc w:val="center"/>
              <w:rPr>
                <w:rFonts w:hint="default"/>
              </w:rPr>
            </w:pPr>
            <w:r>
              <w:rPr>
                <w:rFonts w:hint="eastAsia"/>
              </w:rPr>
              <w:t>≤20%</w:t>
            </w:r>
          </w:p>
        </w:tc>
      </w:tr>
      <w:tr w14:paraId="129C7952">
        <w:tblPrEx>
          <w:tblCellMar>
            <w:top w:w="0" w:type="dxa"/>
            <w:left w:w="108" w:type="dxa"/>
            <w:bottom w:w="0" w:type="dxa"/>
            <w:right w:w="108" w:type="dxa"/>
          </w:tblCellMar>
        </w:tblPrEx>
        <w:trPr>
          <w:trHeight w:val="57" w:hRule="atLeast"/>
        </w:trPr>
        <w:tc>
          <w:tcPr>
            <w:tcW w:w="28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BDABAD">
            <w:pPr>
              <w:pStyle w:val="115"/>
              <w:keepNext w:val="0"/>
              <w:keepLines w:val="0"/>
              <w:suppressLineNumbers w:val="0"/>
              <w:spacing w:before="0" w:beforeAutospacing="0" w:afterAutospacing="0"/>
              <w:ind w:left="0" w:right="0"/>
              <w:jc w:val="center"/>
              <w:rPr>
                <w:rFonts w:hint="default"/>
              </w:rPr>
            </w:pPr>
            <w:r>
              <w:rPr>
                <w:rFonts w:hint="eastAsia"/>
              </w:rPr>
              <w:t>仓储用地</w:t>
            </w:r>
          </w:p>
        </w:tc>
        <w:tc>
          <w:tcPr>
            <w:tcW w:w="2110" w:type="pct"/>
            <w:vMerge w:val="continue"/>
            <w:tcBorders>
              <w:left w:val="single" w:color="000000" w:sz="4" w:space="0"/>
              <w:bottom w:val="single" w:color="000000" w:sz="4" w:space="0"/>
              <w:right w:val="single" w:color="000000" w:sz="4" w:space="0"/>
            </w:tcBorders>
            <w:shd w:val="clear" w:color="auto" w:fill="auto"/>
            <w:vAlign w:val="center"/>
          </w:tcPr>
          <w:p w14:paraId="3D992A6A">
            <w:pPr>
              <w:pStyle w:val="115"/>
              <w:keepNext w:val="0"/>
              <w:keepLines w:val="0"/>
              <w:suppressLineNumbers w:val="0"/>
              <w:spacing w:before="0" w:beforeAutospacing="0" w:afterAutospacing="0"/>
              <w:ind w:left="0" w:right="0"/>
              <w:jc w:val="center"/>
              <w:rPr>
                <w:rFonts w:hint="default"/>
              </w:rPr>
            </w:pPr>
          </w:p>
        </w:tc>
      </w:tr>
    </w:tbl>
    <w:p w14:paraId="46B0B86B">
      <w:pPr>
        <w:pStyle w:val="3"/>
        <w:numPr>
          <w:ilvl w:val="1"/>
          <w:numId w:val="5"/>
        </w:numPr>
        <w:spacing w:before="332" w:after="166"/>
        <w:rPr>
          <w:rFonts w:hint="eastAsia"/>
        </w:rPr>
      </w:pPr>
      <w:r>
        <w:t>建筑密度</w:t>
      </w:r>
    </w:p>
    <w:p w14:paraId="71FA38E3">
      <w:pPr>
        <w:widowControl/>
        <w:spacing w:beforeAutospacing="1" w:after="166"/>
        <w:ind w:firstLine="500"/>
        <w:jc w:val="left"/>
        <w:rPr>
          <w:rFonts w:hint="eastAsia" w:ascii="宋体" w:hAnsi="宋体" w:cs="宋体"/>
          <w:color w:val="000000"/>
          <w:kern w:val="0"/>
        </w:rPr>
      </w:pPr>
      <w:r>
        <w:rPr>
          <w:rFonts w:hint="eastAsia" w:ascii="宋体" w:hAnsi="宋体" w:cs="宋体"/>
          <w:color w:val="000000"/>
          <w:kern w:val="0"/>
          <w:lang w:val="en-US" w:bidi="ar"/>
        </w:rPr>
        <w:t>依据《包头市城乡规划技术规定》中对建筑密度的要求，参照下表进行管控。建筑密度指标控制下限。</w:t>
      </w:r>
    </w:p>
    <w:p w14:paraId="487CBAF8">
      <w:pPr>
        <w:pStyle w:val="117"/>
        <w:rPr>
          <w:sz w:val="25"/>
        </w:rPr>
      </w:pPr>
      <w:r>
        <w:rPr>
          <w:rFonts w:hint="eastAsia"/>
        </w:rPr>
        <w:t xml:space="preserve">表13-4 </w:t>
      </w:r>
      <w:r>
        <w:rPr>
          <w:rFonts w:hint="eastAsia"/>
          <w:lang w:eastAsia="zh"/>
        </w:rPr>
        <w:t>规划建筑密度控制指标</w:t>
      </w:r>
      <w:r>
        <w:rPr>
          <w:rFonts w:hint="eastAsia"/>
        </w:rPr>
        <w:t>表</w:t>
      </w:r>
    </w:p>
    <w:tbl>
      <w:tblPr>
        <w:tblStyle w:val="3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14:paraId="2ED2DC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500" w:type="pct"/>
            <w:tcBorders>
              <w:top w:val="single" w:color="auto" w:sz="4" w:space="0"/>
              <w:left w:val="single" w:color="auto" w:sz="4" w:space="0"/>
              <w:bottom w:val="single" w:color="auto" w:sz="4" w:space="0"/>
              <w:right w:val="single" w:color="auto" w:sz="4" w:space="0"/>
            </w:tcBorders>
            <w:shd w:val="clear" w:color="auto" w:fill="auto"/>
            <w:vAlign w:val="center"/>
          </w:tcPr>
          <w:p w14:paraId="361EEBD1">
            <w:pPr>
              <w:pStyle w:val="115"/>
              <w:jc w:val="center"/>
            </w:pPr>
            <w:r>
              <w:rPr>
                <w:rFonts w:hint="eastAsia"/>
              </w:rPr>
              <w:t>建筑用地类型</w:t>
            </w:r>
          </w:p>
        </w:tc>
        <w:tc>
          <w:tcPr>
            <w:tcW w:w="2500" w:type="pct"/>
            <w:tcBorders>
              <w:top w:val="single" w:color="auto" w:sz="4" w:space="0"/>
              <w:left w:val="nil"/>
              <w:bottom w:val="single" w:color="auto" w:sz="4" w:space="0"/>
              <w:right w:val="single" w:color="auto" w:sz="4" w:space="0"/>
            </w:tcBorders>
            <w:shd w:val="clear" w:color="auto" w:fill="auto"/>
            <w:vAlign w:val="center"/>
          </w:tcPr>
          <w:p w14:paraId="751F4B9E">
            <w:pPr>
              <w:pStyle w:val="115"/>
              <w:jc w:val="center"/>
            </w:pPr>
            <w:r>
              <w:rPr>
                <w:rFonts w:hint="eastAsia"/>
              </w:rPr>
              <w:t>建筑密度（%）</w:t>
            </w:r>
          </w:p>
        </w:tc>
      </w:tr>
      <w:tr w14:paraId="1C926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500" w:type="pct"/>
            <w:tcBorders>
              <w:top w:val="single" w:color="auto" w:sz="4" w:space="0"/>
              <w:left w:val="single" w:color="auto" w:sz="4" w:space="0"/>
              <w:bottom w:val="single" w:color="auto" w:sz="4" w:space="0"/>
              <w:right w:val="single" w:color="auto" w:sz="4" w:space="0"/>
            </w:tcBorders>
            <w:shd w:val="clear" w:color="auto" w:fill="auto"/>
            <w:vAlign w:val="center"/>
          </w:tcPr>
          <w:p w14:paraId="73BB2C5F">
            <w:pPr>
              <w:pStyle w:val="115"/>
              <w:jc w:val="center"/>
            </w:pPr>
            <w:r>
              <w:rPr>
                <w:rFonts w:hint="eastAsia"/>
              </w:rPr>
              <w:t>住宅用地</w:t>
            </w:r>
          </w:p>
        </w:tc>
        <w:tc>
          <w:tcPr>
            <w:tcW w:w="2500" w:type="pct"/>
            <w:tcBorders>
              <w:top w:val="single" w:color="auto" w:sz="4" w:space="0"/>
              <w:left w:val="nil"/>
              <w:bottom w:val="single" w:color="auto" w:sz="4" w:space="0"/>
              <w:right w:val="single" w:color="auto" w:sz="4" w:space="0"/>
            </w:tcBorders>
            <w:shd w:val="clear" w:color="auto" w:fill="auto"/>
            <w:vAlign w:val="center"/>
          </w:tcPr>
          <w:p w14:paraId="64EFFA12">
            <w:pPr>
              <w:pStyle w:val="115"/>
              <w:jc w:val="center"/>
            </w:pPr>
            <w:r>
              <w:rPr>
                <w:rFonts w:hint="eastAsia"/>
              </w:rPr>
              <w:t>≤30</w:t>
            </w:r>
          </w:p>
        </w:tc>
      </w:tr>
      <w:tr w14:paraId="31D71E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500" w:type="pct"/>
            <w:tcBorders>
              <w:top w:val="single" w:color="auto" w:sz="4" w:space="0"/>
              <w:left w:val="single" w:color="auto" w:sz="4" w:space="0"/>
              <w:bottom w:val="single" w:color="auto" w:sz="4" w:space="0"/>
              <w:right w:val="single" w:color="auto" w:sz="4" w:space="0"/>
            </w:tcBorders>
            <w:shd w:val="clear" w:color="auto" w:fill="auto"/>
            <w:vAlign w:val="center"/>
          </w:tcPr>
          <w:p w14:paraId="48591ED4">
            <w:pPr>
              <w:pStyle w:val="115"/>
              <w:jc w:val="center"/>
            </w:pPr>
            <w:r>
              <w:rPr>
                <w:rFonts w:hint="eastAsia"/>
              </w:rPr>
              <w:t>办公用地</w:t>
            </w:r>
          </w:p>
        </w:tc>
        <w:tc>
          <w:tcPr>
            <w:tcW w:w="2500" w:type="pct"/>
            <w:tcBorders>
              <w:top w:val="single" w:color="auto" w:sz="4" w:space="0"/>
              <w:left w:val="nil"/>
              <w:bottom w:val="single" w:color="auto" w:sz="4" w:space="0"/>
              <w:right w:val="single" w:color="auto" w:sz="4" w:space="0"/>
            </w:tcBorders>
            <w:shd w:val="clear" w:color="auto" w:fill="auto"/>
            <w:vAlign w:val="center"/>
          </w:tcPr>
          <w:p w14:paraId="1E164B14">
            <w:pPr>
              <w:pStyle w:val="115"/>
              <w:jc w:val="center"/>
            </w:pPr>
            <w:r>
              <w:rPr>
                <w:rFonts w:hint="eastAsia"/>
              </w:rPr>
              <w:t>≤45</w:t>
            </w:r>
          </w:p>
        </w:tc>
      </w:tr>
      <w:tr w14:paraId="45069D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500" w:type="pct"/>
            <w:tcBorders>
              <w:top w:val="single" w:color="auto" w:sz="4" w:space="0"/>
              <w:left w:val="single" w:color="auto" w:sz="4" w:space="0"/>
              <w:bottom w:val="single" w:color="auto" w:sz="4" w:space="0"/>
              <w:right w:val="single" w:color="auto" w:sz="4" w:space="0"/>
            </w:tcBorders>
            <w:shd w:val="clear" w:color="auto" w:fill="auto"/>
            <w:vAlign w:val="center"/>
          </w:tcPr>
          <w:p w14:paraId="02D8CCC7">
            <w:pPr>
              <w:pStyle w:val="115"/>
              <w:jc w:val="center"/>
            </w:pPr>
            <w:r>
              <w:rPr>
                <w:rFonts w:hint="eastAsia"/>
              </w:rPr>
              <w:t>商业用地</w:t>
            </w:r>
          </w:p>
        </w:tc>
        <w:tc>
          <w:tcPr>
            <w:tcW w:w="2500" w:type="pct"/>
            <w:tcBorders>
              <w:top w:val="single" w:color="auto" w:sz="4" w:space="0"/>
              <w:left w:val="nil"/>
              <w:bottom w:val="single" w:color="auto" w:sz="4" w:space="0"/>
              <w:right w:val="single" w:color="auto" w:sz="4" w:space="0"/>
            </w:tcBorders>
            <w:shd w:val="clear" w:color="auto" w:fill="auto"/>
            <w:vAlign w:val="center"/>
          </w:tcPr>
          <w:p w14:paraId="61BEB16F">
            <w:pPr>
              <w:pStyle w:val="115"/>
              <w:jc w:val="center"/>
            </w:pPr>
            <w:r>
              <w:rPr>
                <w:rFonts w:hint="eastAsia"/>
              </w:rPr>
              <w:t>≤55</w:t>
            </w:r>
          </w:p>
        </w:tc>
      </w:tr>
      <w:tr w14:paraId="3B6AEC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500" w:type="pct"/>
            <w:tcBorders>
              <w:top w:val="single" w:color="auto" w:sz="4" w:space="0"/>
              <w:left w:val="single" w:color="auto" w:sz="4" w:space="0"/>
              <w:bottom w:val="single" w:color="auto" w:sz="4" w:space="0"/>
              <w:right w:val="single" w:color="auto" w:sz="4" w:space="0"/>
            </w:tcBorders>
            <w:shd w:val="clear" w:color="auto" w:fill="auto"/>
            <w:vAlign w:val="center"/>
          </w:tcPr>
          <w:p w14:paraId="78908671">
            <w:pPr>
              <w:pStyle w:val="115"/>
              <w:jc w:val="center"/>
            </w:pPr>
            <w:r>
              <w:rPr>
                <w:rFonts w:hint="eastAsia"/>
              </w:rPr>
              <w:t>工业用地</w:t>
            </w:r>
          </w:p>
        </w:tc>
        <w:tc>
          <w:tcPr>
            <w:tcW w:w="2500" w:type="pct"/>
            <w:tcBorders>
              <w:top w:val="single" w:color="auto" w:sz="4" w:space="0"/>
              <w:left w:val="nil"/>
              <w:bottom w:val="single" w:color="auto" w:sz="4" w:space="0"/>
              <w:right w:val="single" w:color="auto" w:sz="4" w:space="0"/>
            </w:tcBorders>
            <w:shd w:val="clear" w:color="auto" w:fill="auto"/>
            <w:vAlign w:val="center"/>
          </w:tcPr>
          <w:p w14:paraId="798A1490">
            <w:pPr>
              <w:pStyle w:val="115"/>
              <w:jc w:val="center"/>
            </w:pPr>
            <w:r>
              <w:rPr>
                <w:rFonts w:hint="eastAsia"/>
              </w:rPr>
              <w:t>≤50</w:t>
            </w:r>
          </w:p>
        </w:tc>
      </w:tr>
      <w:tr w14:paraId="15715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500" w:type="pct"/>
            <w:tcBorders>
              <w:top w:val="single" w:color="auto" w:sz="4" w:space="0"/>
              <w:left w:val="single" w:color="auto" w:sz="4" w:space="0"/>
              <w:bottom w:val="single" w:color="auto" w:sz="4" w:space="0"/>
              <w:right w:val="single" w:color="auto" w:sz="4" w:space="0"/>
            </w:tcBorders>
            <w:shd w:val="clear" w:color="auto" w:fill="auto"/>
            <w:vAlign w:val="center"/>
          </w:tcPr>
          <w:p w14:paraId="55972B6C">
            <w:pPr>
              <w:pStyle w:val="115"/>
              <w:jc w:val="center"/>
            </w:pPr>
            <w:r>
              <w:rPr>
                <w:rFonts w:hint="eastAsia"/>
              </w:rPr>
              <w:t>教育、文化、医疗、体育用地</w:t>
            </w:r>
          </w:p>
        </w:tc>
        <w:tc>
          <w:tcPr>
            <w:tcW w:w="2500" w:type="pct"/>
            <w:tcBorders>
              <w:top w:val="single" w:color="auto" w:sz="4" w:space="0"/>
              <w:left w:val="nil"/>
              <w:bottom w:val="single" w:color="auto" w:sz="4" w:space="0"/>
              <w:right w:val="single" w:color="auto" w:sz="4" w:space="0"/>
            </w:tcBorders>
            <w:shd w:val="clear" w:color="auto" w:fill="auto"/>
            <w:vAlign w:val="center"/>
          </w:tcPr>
          <w:p w14:paraId="1A73CE57">
            <w:pPr>
              <w:pStyle w:val="115"/>
              <w:jc w:val="center"/>
            </w:pPr>
            <w:r>
              <w:rPr>
                <w:rFonts w:hint="eastAsia"/>
              </w:rPr>
              <w:t>≤25</w:t>
            </w:r>
          </w:p>
        </w:tc>
      </w:tr>
    </w:tbl>
    <w:p w14:paraId="78FFE4B7">
      <w:pPr>
        <w:spacing w:beforeAutospacing="1" w:after="166"/>
        <w:ind w:firstLine="0" w:firstLineChars="0"/>
        <w:jc w:val="center"/>
        <w:rPr>
          <w:lang w:val="en-US" w:bidi="ar"/>
        </w:rPr>
      </w:pPr>
      <w:r>
        <w:drawing>
          <wp:inline distT="0" distB="0" distL="114300" distR="114300">
            <wp:extent cx="5271770" cy="4366260"/>
            <wp:effectExtent l="0" t="0" r="5080" b="15240"/>
            <wp:docPr id="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
                    <pic:cNvPicPr>
                      <a:picLocks noChangeAspect="1"/>
                    </pic:cNvPicPr>
                  </pic:nvPicPr>
                  <pic:blipFill>
                    <a:blip r:embed="rId118"/>
                    <a:stretch>
                      <a:fillRect/>
                    </a:stretch>
                  </pic:blipFill>
                  <pic:spPr>
                    <a:xfrm>
                      <a:off x="0" y="0"/>
                      <a:ext cx="5271770" cy="4366260"/>
                    </a:xfrm>
                    <a:prstGeom prst="rect">
                      <a:avLst/>
                    </a:prstGeom>
                    <a:noFill/>
                    <a:ln>
                      <a:noFill/>
                    </a:ln>
                  </pic:spPr>
                </pic:pic>
              </a:graphicData>
            </a:graphic>
          </wp:inline>
        </w:drawing>
      </w:r>
    </w:p>
    <w:p w14:paraId="513BFBEE">
      <w:pPr>
        <w:pStyle w:val="268"/>
      </w:pPr>
      <w:r>
        <w:rPr>
          <w:rFonts w:hint="eastAsia"/>
        </w:rPr>
        <w:t>图15-4 建筑密度控制规划图</w:t>
      </w:r>
    </w:p>
    <w:p w14:paraId="4586F8AA">
      <w:pPr>
        <w:pStyle w:val="3"/>
        <w:numPr>
          <w:ilvl w:val="1"/>
          <w:numId w:val="5"/>
        </w:numPr>
        <w:spacing w:before="332" w:after="166"/>
        <w:rPr>
          <w:rFonts w:hint="eastAsia"/>
        </w:rPr>
      </w:pPr>
      <w:r>
        <w:t>建筑限高</w:t>
      </w:r>
    </w:p>
    <w:p w14:paraId="58606937">
      <w:pPr>
        <w:spacing w:after="166"/>
        <w:ind w:firstLine="500"/>
      </w:pPr>
      <w:r>
        <w:rPr>
          <w:rFonts w:hint="eastAsia"/>
          <w:lang w:val="en-US"/>
        </w:rPr>
        <w:t>规划建筑高度的制定应综合考虑城市空间形态、视线通廊、容积率适配度等因素，统筹制定。建筑限高指标控制上限。</w:t>
      </w:r>
    </w:p>
    <w:p w14:paraId="67E670FE">
      <w:pPr>
        <w:spacing w:after="166"/>
        <w:ind w:firstLine="500"/>
      </w:pPr>
      <w:r>
        <w:rPr>
          <w:rFonts w:hint="eastAsia"/>
          <w:lang w:val="en-US"/>
        </w:rPr>
        <w:t>彰显城市空间形态原则。临近地区中心、主要道路两侧的建筑高度应适当提升，彰显城市形象。主要城市界面应考虑天际线的节奏与韵律。</w:t>
      </w:r>
    </w:p>
    <w:p w14:paraId="513B8F92">
      <w:pPr>
        <w:spacing w:after="166"/>
        <w:ind w:firstLine="500"/>
      </w:pPr>
      <w:r>
        <w:rPr>
          <w:rFonts w:hint="eastAsia"/>
          <w:lang w:val="en-US"/>
        </w:rPr>
        <w:t>预留视线通廊原则。在主要景观中心、节点、廊道周边，应控制建筑高度适度降低，保证视线的通透性。</w:t>
      </w:r>
    </w:p>
    <w:p w14:paraId="09AE7FCF">
      <w:pPr>
        <w:spacing w:after="166"/>
        <w:ind w:firstLine="500"/>
      </w:pPr>
      <w:r>
        <w:rPr>
          <w:rFonts w:hint="eastAsia"/>
          <w:lang w:val="en-US"/>
        </w:rPr>
        <w:t>与容积率适配原则。经营性用地的出让地价通常按照最高容积率进行评估，为保证开发时不损容，应评估建筑高度与容积率的适应性。</w:t>
      </w:r>
    </w:p>
    <w:p w14:paraId="252DEC88">
      <w:pPr>
        <w:spacing w:after="166"/>
        <w:ind w:firstLine="500"/>
        <w:rPr>
          <w:lang w:val="en-US"/>
        </w:rPr>
      </w:pPr>
      <w:r>
        <w:rPr>
          <w:rFonts w:hint="eastAsia"/>
          <w:lang w:val="en-US"/>
        </w:rPr>
        <w:t>规划形成三级高度分区：</w:t>
      </w:r>
    </w:p>
    <w:p w14:paraId="5299019B">
      <w:pPr>
        <w:pStyle w:val="117"/>
        <w:rPr>
          <w:rFonts w:hint="eastAsia"/>
        </w:rPr>
      </w:pPr>
      <w:r>
        <w:rPr>
          <w:rFonts w:hint="eastAsia"/>
        </w:rPr>
        <w:t>表13-5 高度分区表</w:t>
      </w:r>
    </w:p>
    <w:tbl>
      <w:tblPr>
        <w:tblStyle w:val="37"/>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72"/>
        <w:gridCol w:w="6548"/>
      </w:tblGrid>
      <w:tr w14:paraId="5DBB89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57" w:type="pct"/>
            <w:tcBorders>
              <w:top w:val="single" w:color="auto" w:sz="4" w:space="0"/>
              <w:left w:val="single" w:color="auto" w:sz="4" w:space="0"/>
              <w:bottom w:val="single" w:color="auto" w:sz="4" w:space="0"/>
              <w:right w:val="single" w:color="auto" w:sz="4" w:space="0"/>
            </w:tcBorders>
            <w:shd w:val="clear" w:color="auto" w:fill="auto"/>
            <w:vAlign w:val="center"/>
          </w:tcPr>
          <w:p w14:paraId="66C15052">
            <w:pPr>
              <w:pStyle w:val="115"/>
              <w:jc w:val="center"/>
            </w:pPr>
            <w:r>
              <w:rPr>
                <w:rFonts w:hint="eastAsia"/>
              </w:rPr>
              <w:t>高度分级（m）</w:t>
            </w:r>
          </w:p>
        </w:tc>
        <w:tc>
          <w:tcPr>
            <w:tcW w:w="3842" w:type="pct"/>
            <w:tcBorders>
              <w:top w:val="single" w:color="auto" w:sz="4" w:space="0"/>
              <w:left w:val="nil"/>
              <w:bottom w:val="single" w:color="auto" w:sz="4" w:space="0"/>
              <w:right w:val="single" w:color="auto" w:sz="4" w:space="0"/>
            </w:tcBorders>
            <w:shd w:val="clear" w:color="auto" w:fill="auto"/>
            <w:vAlign w:val="center"/>
          </w:tcPr>
          <w:p w14:paraId="1518EC06">
            <w:pPr>
              <w:pStyle w:val="115"/>
              <w:jc w:val="center"/>
            </w:pPr>
            <w:r>
              <w:rPr>
                <w:rFonts w:hint="eastAsia"/>
              </w:rPr>
              <w:t>主要功能</w:t>
            </w:r>
          </w:p>
        </w:tc>
      </w:tr>
      <w:tr w14:paraId="0996B7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57" w:type="pct"/>
            <w:tcBorders>
              <w:top w:val="single" w:color="auto" w:sz="4" w:space="0"/>
              <w:left w:val="single" w:color="auto" w:sz="4" w:space="0"/>
              <w:bottom w:val="single" w:color="auto" w:sz="4" w:space="0"/>
              <w:right w:val="single" w:color="auto" w:sz="4" w:space="0"/>
            </w:tcBorders>
            <w:shd w:val="clear" w:color="auto" w:fill="auto"/>
            <w:vAlign w:val="center"/>
          </w:tcPr>
          <w:p w14:paraId="27F0924C">
            <w:pPr>
              <w:pStyle w:val="115"/>
              <w:jc w:val="center"/>
            </w:pPr>
            <w:r>
              <w:rPr>
                <w:rFonts w:hint="eastAsia"/>
              </w:rPr>
              <w:t>0＜H≤12</w:t>
            </w:r>
          </w:p>
        </w:tc>
        <w:tc>
          <w:tcPr>
            <w:tcW w:w="3842" w:type="pct"/>
            <w:tcBorders>
              <w:top w:val="single" w:color="auto" w:sz="4" w:space="0"/>
              <w:left w:val="nil"/>
              <w:bottom w:val="single" w:color="auto" w:sz="4" w:space="0"/>
              <w:right w:val="single" w:color="auto" w:sz="4" w:space="0"/>
            </w:tcBorders>
            <w:shd w:val="clear" w:color="auto" w:fill="auto"/>
            <w:vAlign w:val="center"/>
          </w:tcPr>
          <w:p w14:paraId="42F58177">
            <w:pPr>
              <w:pStyle w:val="115"/>
              <w:jc w:val="center"/>
            </w:pPr>
            <w:r>
              <w:rPr>
                <w:rFonts w:hint="eastAsia"/>
              </w:rPr>
              <w:t>以幼儿园、市政基础设施用地为主</w:t>
            </w:r>
          </w:p>
        </w:tc>
      </w:tr>
      <w:tr w14:paraId="23048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57" w:type="pct"/>
            <w:tcBorders>
              <w:top w:val="single" w:color="auto" w:sz="4" w:space="0"/>
              <w:left w:val="single" w:color="auto" w:sz="4" w:space="0"/>
              <w:bottom w:val="single" w:color="auto" w:sz="4" w:space="0"/>
              <w:right w:val="single" w:color="auto" w:sz="4" w:space="0"/>
            </w:tcBorders>
            <w:shd w:val="clear" w:color="auto" w:fill="auto"/>
            <w:vAlign w:val="center"/>
          </w:tcPr>
          <w:p w14:paraId="3156F030">
            <w:pPr>
              <w:pStyle w:val="115"/>
              <w:jc w:val="center"/>
            </w:pPr>
            <w:r>
              <w:rPr>
                <w:rFonts w:hint="eastAsia"/>
              </w:rPr>
              <w:t>12＜H≤24</w:t>
            </w:r>
          </w:p>
        </w:tc>
        <w:tc>
          <w:tcPr>
            <w:tcW w:w="3842" w:type="pct"/>
            <w:tcBorders>
              <w:top w:val="single" w:color="auto" w:sz="4" w:space="0"/>
              <w:left w:val="nil"/>
              <w:bottom w:val="single" w:color="auto" w:sz="4" w:space="0"/>
              <w:right w:val="single" w:color="auto" w:sz="4" w:space="0"/>
            </w:tcBorders>
            <w:shd w:val="clear" w:color="auto" w:fill="auto"/>
            <w:vAlign w:val="center"/>
          </w:tcPr>
          <w:p w14:paraId="5C4D7FEA">
            <w:pPr>
              <w:pStyle w:val="115"/>
              <w:jc w:val="center"/>
            </w:pPr>
            <w:r>
              <w:rPr>
                <w:rFonts w:hint="eastAsia"/>
              </w:rPr>
              <w:t>以多层为主的高品质住宅、商业设施、公共服务为主</w:t>
            </w:r>
          </w:p>
        </w:tc>
      </w:tr>
      <w:tr w14:paraId="3F3F68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57" w:type="pct"/>
            <w:tcBorders>
              <w:top w:val="single" w:color="auto" w:sz="4" w:space="0"/>
              <w:left w:val="single" w:color="auto" w:sz="4" w:space="0"/>
              <w:bottom w:val="single" w:color="auto" w:sz="4" w:space="0"/>
              <w:right w:val="single" w:color="auto" w:sz="4" w:space="0"/>
            </w:tcBorders>
            <w:shd w:val="clear" w:color="auto" w:fill="auto"/>
            <w:vAlign w:val="center"/>
          </w:tcPr>
          <w:p w14:paraId="06297C2B">
            <w:pPr>
              <w:pStyle w:val="115"/>
              <w:jc w:val="center"/>
            </w:pPr>
            <w:r>
              <w:rPr>
                <w:rFonts w:hint="eastAsia"/>
              </w:rPr>
              <w:t>24＜H≤36</w:t>
            </w:r>
          </w:p>
        </w:tc>
        <w:tc>
          <w:tcPr>
            <w:tcW w:w="3842" w:type="pct"/>
            <w:tcBorders>
              <w:top w:val="single" w:color="auto" w:sz="4" w:space="0"/>
              <w:left w:val="nil"/>
              <w:bottom w:val="single" w:color="auto" w:sz="4" w:space="0"/>
              <w:right w:val="single" w:color="auto" w:sz="4" w:space="0"/>
            </w:tcBorders>
            <w:shd w:val="clear" w:color="auto" w:fill="auto"/>
            <w:vAlign w:val="center"/>
          </w:tcPr>
          <w:p w14:paraId="50CC488E">
            <w:pPr>
              <w:pStyle w:val="115"/>
              <w:jc w:val="center"/>
            </w:pPr>
            <w:r>
              <w:rPr>
                <w:rFonts w:hint="eastAsia"/>
              </w:rPr>
              <w:t>以一般住宅、商务办公为主</w:t>
            </w:r>
          </w:p>
        </w:tc>
      </w:tr>
    </w:tbl>
    <w:p w14:paraId="25D4F217">
      <w:pPr>
        <w:spacing w:beforeAutospacing="1" w:after="166"/>
        <w:ind w:firstLine="0" w:firstLineChars="0"/>
      </w:pPr>
      <w:r>
        <w:drawing>
          <wp:inline distT="0" distB="0" distL="114300" distR="114300">
            <wp:extent cx="5271770" cy="4366260"/>
            <wp:effectExtent l="0" t="0" r="5080" b="15240"/>
            <wp:docPr id="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
                    <pic:cNvPicPr>
                      <a:picLocks noChangeAspect="1"/>
                    </pic:cNvPicPr>
                  </pic:nvPicPr>
                  <pic:blipFill>
                    <a:blip r:embed="rId119"/>
                    <a:stretch>
                      <a:fillRect/>
                    </a:stretch>
                  </pic:blipFill>
                  <pic:spPr>
                    <a:xfrm>
                      <a:off x="0" y="0"/>
                      <a:ext cx="5271770" cy="4366260"/>
                    </a:xfrm>
                    <a:prstGeom prst="rect">
                      <a:avLst/>
                    </a:prstGeom>
                    <a:noFill/>
                    <a:ln>
                      <a:noFill/>
                    </a:ln>
                  </pic:spPr>
                </pic:pic>
              </a:graphicData>
            </a:graphic>
          </wp:inline>
        </w:drawing>
      </w:r>
    </w:p>
    <w:p w14:paraId="6C49CFE5">
      <w:pPr>
        <w:pStyle w:val="268"/>
        <w:rPr>
          <w:rFonts w:hint="eastAsia"/>
        </w:rPr>
      </w:pPr>
      <w:r>
        <w:rPr>
          <w:rFonts w:hint="eastAsia"/>
        </w:rPr>
        <w:t>图15-5 建筑高度控制规划图</w:t>
      </w:r>
    </w:p>
    <w:p w14:paraId="259D221D">
      <w:pPr>
        <w:pStyle w:val="3"/>
        <w:numPr>
          <w:ilvl w:val="1"/>
          <w:numId w:val="5"/>
        </w:numPr>
        <w:spacing w:before="332" w:after="166"/>
        <w:rPr>
          <w:rFonts w:hint="eastAsia"/>
        </w:rPr>
      </w:pPr>
      <w:r>
        <w:t>建筑退线</w:t>
      </w:r>
    </w:p>
    <w:p w14:paraId="79E185E3">
      <w:pPr>
        <w:spacing w:after="166"/>
        <w:ind w:firstLine="500"/>
        <w:rPr>
          <w:rFonts w:hint="eastAsia"/>
        </w:rPr>
      </w:pPr>
      <w:r>
        <w:rPr>
          <w:rFonts w:hint="eastAsia"/>
          <w:lang w:val="en-US"/>
        </w:rPr>
        <w:t>建筑物应满足建筑物退让地界、道路红线、绿线、蓝线指标，沿建筑基地边界和沿城市道路、公路、河道、铁路两侧以及电力线路保护区范围内的建筑物，其退让距离除必须符合日照、环保、消防、防汛和交通安全等方面的要求外，应同时满足以下规定。</w:t>
      </w:r>
    </w:p>
    <w:p w14:paraId="1B885228">
      <w:pPr>
        <w:pStyle w:val="3"/>
        <w:numPr>
          <w:ilvl w:val="1"/>
          <w:numId w:val="5"/>
        </w:numPr>
        <w:spacing w:before="332" w:after="166"/>
        <w:rPr>
          <w:rFonts w:hint="eastAsia"/>
        </w:rPr>
      </w:pPr>
      <w:r>
        <w:t>建筑退线</w:t>
      </w:r>
    </w:p>
    <w:p w14:paraId="52075A5D">
      <w:pPr>
        <w:spacing w:after="166"/>
        <w:ind w:firstLine="500"/>
      </w:pPr>
      <w:r>
        <w:rPr>
          <w:rFonts w:hint="eastAsia"/>
          <w:lang w:val="en-US"/>
        </w:rPr>
        <w:t>建筑物应满足建筑物退让地界、道路红线、绿线、蓝线指标，沿建筑基地边界和沿城市道路、公路、河道、铁路两侧以及电力线路保护区范围内的建筑物，其退让距离除必须符合日照、环保、消防、防汛和交通安全等方面的要求外，应同时满足以下规定。</w:t>
      </w:r>
    </w:p>
    <w:p w14:paraId="4C74E702">
      <w:pPr>
        <w:pStyle w:val="4"/>
        <w:numPr>
          <w:ilvl w:val="2"/>
          <w:numId w:val="5"/>
        </w:numPr>
        <w:spacing w:before="332" w:after="166"/>
        <w:rPr>
          <w:rFonts w:ascii="Times New Roman" w:hAnsi="Times New Roman"/>
          <w:lang w:val="en-US"/>
        </w:rPr>
      </w:pPr>
      <w:r>
        <w:rPr>
          <w:rFonts w:hint="eastAsia" w:ascii="Times New Roman" w:hAnsi="Times New Roman"/>
          <w:lang w:val="en-US"/>
        </w:rPr>
        <w:t>建筑退界</w:t>
      </w:r>
    </w:p>
    <w:p w14:paraId="5112C0C9">
      <w:pPr>
        <w:spacing w:after="166"/>
        <w:ind w:firstLine="500"/>
        <w:rPr>
          <w:rFonts w:hint="eastAsia" w:ascii="宋体" w:hAnsi="宋体" w:cs="宋体"/>
        </w:rPr>
      </w:pPr>
      <w:r>
        <w:rPr>
          <w:rFonts w:hint="eastAsia"/>
          <w:lang w:val="en-US"/>
        </w:rPr>
        <w:t>（1）新建或改建的居住建筑物，除必须符合日照要求外，应从用地界线后退相应的距离，满足下表规定。</w:t>
      </w:r>
    </w:p>
    <w:tbl>
      <w:tblPr>
        <w:tblStyle w:val="36"/>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0"/>
        <w:gridCol w:w="2098"/>
        <w:gridCol w:w="1662"/>
        <w:gridCol w:w="2639"/>
      </w:tblGrid>
      <w:tr w14:paraId="37298E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1244" w:type="pct"/>
            <w:shd w:val="clear" w:color="auto" w:fill="auto"/>
            <w:vAlign w:val="center"/>
            <mc:AlternateContent>
              <mc:Choice Requires="wpsCustomData">
                <wpsCustomData:diagonals>
                  <wpsCustomData:diagonal from="5000" to="30000">
                    <wpsCustomData:border w:val="single" w:color="auto" w:sz="4" w:space="0"/>
                  </wpsCustomData:diagonal>
                  <wpsCustomData:diagonal from="15000" to="30000">
                    <wpsCustomData:border w:val="single" w:color="auto" w:sz="4" w:space="0"/>
                  </wpsCustomData:diagonal>
                </wpsCustomData:diagonals>
              </mc:Choice>
            </mc:AlternateContent>
          </w:tcPr>
          <w:p w14:paraId="2F1EC49A">
            <w:pPr>
              <w:pStyle w:val="115"/>
            </w:pPr>
          </w:p>
          <w:p w14:paraId="4ACB68F3">
            <w:pPr>
              <w:pStyle w:val="115"/>
              <w:rPr>
                <w:rFonts w:hint="eastAsia" w:eastAsia="黑体"/>
                <w:lang w:val="en-US" w:eastAsia="zh-CN"/>
              </w:rPr>
            </w:pPr>
            <w:r>
              <w:rPr>
                <w:rFonts w:hint="eastAsia"/>
                <w:lang w:val="en-US" w:eastAsia="zh-CN"/>
              </w:rPr>
              <w:t>建筑物</w:t>
            </w:r>
          </w:p>
          <w:p w14:paraId="195F1F6F">
            <w:pPr>
              <w:pStyle w:val="115"/>
            </w:pPr>
          </w:p>
          <w:p w14:paraId="5B766CE9">
            <w:pPr>
              <w:pStyle w:val="115"/>
            </w:pPr>
          </w:p>
          <w:p w14:paraId="1B212667">
            <w:pPr>
              <w:pStyle w:val="115"/>
            </w:pPr>
            <w:r>
              <w:rPr>
                <w:rFonts w:hint="eastAsia"/>
              </w:rPr>
              <w:t>退地界</w:t>
            </w:r>
          </w:p>
          <w:p w14:paraId="2643C1A5">
            <w:pPr>
              <w:pStyle w:val="115"/>
              <w:snapToGrid w:val="0"/>
              <mc:AlternateContent>
                <mc:Choice Requires="wpsCustomData">
                  <wpsCustomData:diagonalParaType/>
                </mc:Choice>
              </mc:AlternateContent>
            </w:pPr>
            <w:r>
              <w:rPr>
                <w:rFonts w:hint="eastAsia"/>
              </w:rPr>
              <w:t>建筑高</w:t>
            </w:r>
          </w:p>
          <w:p w14:paraId="75B6DD14">
            <w:pPr>
              <w:pStyle w:val="115"/>
              <w:snapToGrid w:val="0"/>
              <mc:AlternateContent>
                <mc:Choice Requires="wpsCustomData">
                  <wpsCustomData:diagonalParaType/>
                </mc:Choice>
              </mc:AlternateContent>
              <w:rPr>
                <w:rFonts w:hint="default" w:eastAsia="黑体"/>
                <w:lang w:val="en-US" w:eastAsia="zh-CN"/>
              </w:rPr>
            </w:pPr>
            <w:r>
              <w:rPr>
                <w:rFonts w:hint="eastAsia"/>
                <w:lang w:val="en-US" w:eastAsia="zh-CN"/>
              </w:rPr>
              <w:t>退地界</w:t>
            </w:r>
          </w:p>
          <w:p w14:paraId="5FBBB610">
            <w:pPr>
              <w:pStyle w:val="115"/>
              <w:rPr>
                <w:rFonts w:hint="default" w:eastAsia="黑体"/>
                <w:lang w:val="en-US" w:eastAsia="zh-CN"/>
              </w:rPr>
            </w:pPr>
            <w:r>
              <w:rPr>
                <w:rFonts w:hint="eastAsia"/>
                <w:lang w:val="en-US" w:eastAsia="zh-CN"/>
              </w:rPr>
              <w:t>建筑高度</w:t>
            </w:r>
          </w:p>
        </w:tc>
        <w:tc>
          <w:tcPr>
            <w:tcW w:w="2206" w:type="pct"/>
            <w:gridSpan w:val="2"/>
            <w:shd w:val="clear" w:color="auto" w:fill="auto"/>
            <w:vAlign w:val="center"/>
          </w:tcPr>
          <w:p w14:paraId="75B9048D">
            <w:pPr>
              <w:pStyle w:val="115"/>
              <w:jc w:val="center"/>
            </w:pPr>
            <w:r>
              <w:rPr>
                <w:rFonts w:hint="eastAsia"/>
              </w:rPr>
              <w:t>24米以下(舍)</w:t>
            </w:r>
          </w:p>
        </w:tc>
        <w:tc>
          <w:tcPr>
            <w:tcW w:w="1548" w:type="pct"/>
            <w:shd w:val="clear" w:color="auto" w:fill="auto"/>
            <w:vAlign w:val="center"/>
          </w:tcPr>
          <w:p w14:paraId="2220C3AF">
            <w:pPr>
              <w:pStyle w:val="115"/>
              <w:jc w:val="center"/>
            </w:pPr>
            <w:r>
              <w:rPr>
                <w:rFonts w:hint="eastAsia"/>
              </w:rPr>
              <w:t>24米以上</w:t>
            </w:r>
          </w:p>
        </w:tc>
      </w:tr>
      <w:tr w14:paraId="06C78E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44" w:type="pct"/>
            <w:vMerge w:val="restart"/>
            <w:shd w:val="clear" w:color="auto" w:fill="auto"/>
            <w:vAlign w:val="center"/>
          </w:tcPr>
          <w:p w14:paraId="7689C792">
            <w:pPr>
              <w:pStyle w:val="115"/>
              <w:jc w:val="center"/>
            </w:pPr>
            <w:r>
              <w:rPr>
                <w:rFonts w:hint="eastAsia"/>
              </w:rPr>
              <w:t>山墙</w:t>
            </w:r>
          </w:p>
        </w:tc>
        <w:tc>
          <w:tcPr>
            <w:tcW w:w="1231" w:type="pct"/>
            <w:shd w:val="clear" w:color="auto" w:fill="auto"/>
            <w:vAlign w:val="center"/>
          </w:tcPr>
          <w:p w14:paraId="4F2B0EC3">
            <w:pPr>
              <w:pStyle w:val="115"/>
              <w:jc w:val="center"/>
            </w:pPr>
            <w:r>
              <w:rPr>
                <w:rFonts w:hint="eastAsia"/>
              </w:rPr>
              <w:t>低层</w:t>
            </w:r>
          </w:p>
        </w:tc>
        <w:tc>
          <w:tcPr>
            <w:tcW w:w="975" w:type="pct"/>
            <w:shd w:val="clear" w:color="auto" w:fill="auto"/>
            <w:vAlign w:val="center"/>
          </w:tcPr>
          <w:p w14:paraId="6B1B16A1">
            <w:pPr>
              <w:pStyle w:val="115"/>
              <w:jc w:val="center"/>
            </w:pPr>
            <w:r>
              <w:rPr>
                <w:rFonts w:hint="eastAsia"/>
              </w:rPr>
              <w:t>多层</w:t>
            </w:r>
          </w:p>
        </w:tc>
        <w:tc>
          <w:tcPr>
            <w:tcW w:w="1548" w:type="pct"/>
            <w:vMerge w:val="restart"/>
            <w:shd w:val="clear" w:color="auto" w:fill="auto"/>
            <w:vAlign w:val="center"/>
          </w:tcPr>
          <w:p w14:paraId="36753662">
            <w:pPr>
              <w:pStyle w:val="115"/>
              <w:jc w:val="center"/>
            </w:pPr>
            <w:r>
              <w:rPr>
                <w:rFonts w:hint="eastAsia"/>
              </w:rPr>
              <w:t>&gt;9米且与低层、多层建筑山墙 间距不小于13米,与高层建筑 山墙间距不小于18米</w:t>
            </w:r>
          </w:p>
        </w:tc>
      </w:tr>
      <w:tr w14:paraId="5B364B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 w:hRule="atLeast"/>
        </w:trPr>
        <w:tc>
          <w:tcPr>
            <w:tcW w:w="1244" w:type="pct"/>
            <w:vMerge w:val="continue"/>
            <w:shd w:val="clear" w:color="auto" w:fill="auto"/>
            <w:vAlign w:val="center"/>
          </w:tcPr>
          <w:p w14:paraId="657097D4">
            <w:pPr>
              <w:pStyle w:val="115"/>
              <w:jc w:val="center"/>
            </w:pPr>
          </w:p>
        </w:tc>
        <w:tc>
          <w:tcPr>
            <w:tcW w:w="1231" w:type="pct"/>
            <w:shd w:val="clear" w:color="auto" w:fill="auto"/>
            <w:vAlign w:val="center"/>
          </w:tcPr>
          <w:p w14:paraId="54152D32">
            <w:pPr>
              <w:pStyle w:val="115"/>
              <w:jc w:val="center"/>
            </w:pPr>
            <w:r>
              <w:rPr>
                <w:rFonts w:hint="eastAsia"/>
              </w:rPr>
              <w:t>&gt;3米且相邻 建筑山墙间 距不小于6米</w:t>
            </w:r>
          </w:p>
        </w:tc>
        <w:tc>
          <w:tcPr>
            <w:tcW w:w="975" w:type="pct"/>
            <w:shd w:val="clear" w:color="auto" w:fill="auto"/>
            <w:vAlign w:val="center"/>
          </w:tcPr>
          <w:p w14:paraId="07AA7B66">
            <w:pPr>
              <w:pStyle w:val="115"/>
              <w:jc w:val="center"/>
            </w:pPr>
            <w:r>
              <w:rPr>
                <w:rFonts w:hint="eastAsia"/>
              </w:rPr>
              <w:t>&gt;4米且相邻 建筑山墙间 距不小于8米</w:t>
            </w:r>
          </w:p>
        </w:tc>
        <w:tc>
          <w:tcPr>
            <w:tcW w:w="1548" w:type="pct"/>
            <w:vMerge w:val="continue"/>
            <w:shd w:val="clear" w:color="auto" w:fill="auto"/>
            <w:vAlign w:val="center"/>
          </w:tcPr>
          <w:p w14:paraId="18079C0B">
            <w:pPr>
              <w:pStyle w:val="115"/>
              <w:jc w:val="center"/>
            </w:pPr>
          </w:p>
        </w:tc>
      </w:tr>
      <w:tr w14:paraId="263551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1244" w:type="pct"/>
            <w:shd w:val="clear" w:color="auto" w:fill="auto"/>
            <w:vAlign w:val="center"/>
          </w:tcPr>
          <w:p w14:paraId="66ADA164">
            <w:pPr>
              <w:pStyle w:val="115"/>
              <w:jc w:val="center"/>
            </w:pPr>
            <w:r>
              <w:rPr>
                <w:rFonts w:hint="eastAsia"/>
              </w:rPr>
              <w:t>长边</w:t>
            </w:r>
          </w:p>
        </w:tc>
        <w:tc>
          <w:tcPr>
            <w:tcW w:w="2206" w:type="pct"/>
            <w:gridSpan w:val="2"/>
            <w:shd w:val="clear" w:color="auto" w:fill="auto"/>
            <w:vAlign w:val="center"/>
          </w:tcPr>
          <w:p w14:paraId="77B4881C">
            <w:pPr>
              <w:pStyle w:val="115"/>
              <w:jc w:val="center"/>
            </w:pPr>
            <w:r>
              <w:rPr>
                <w:rFonts w:hint="eastAsia"/>
              </w:rPr>
              <w:t>&gt;0.5L且不小于建筑间距要求</w:t>
            </w:r>
          </w:p>
        </w:tc>
        <w:tc>
          <w:tcPr>
            <w:tcW w:w="1548" w:type="pct"/>
            <w:shd w:val="clear" w:color="auto" w:fill="auto"/>
            <w:vAlign w:val="center"/>
          </w:tcPr>
          <w:p w14:paraId="4A590A68">
            <w:pPr>
              <w:pStyle w:val="115"/>
              <w:jc w:val="center"/>
            </w:pPr>
            <w:r>
              <w:rPr>
                <w:rFonts w:hint="eastAsia"/>
              </w:rPr>
              <w:t>&gt;0.5L且不小于建筑间距要求</w:t>
            </w:r>
          </w:p>
        </w:tc>
      </w:tr>
    </w:tbl>
    <w:p w14:paraId="5BAA7A38">
      <w:pPr>
        <w:spacing w:before="167" w:beforeLines="50" w:after="166"/>
        <w:ind w:firstLine="500"/>
        <w:rPr>
          <w:lang w:val="en-US"/>
        </w:rPr>
      </w:pPr>
      <w:r>
        <w:rPr>
          <w:rFonts w:hint="eastAsia"/>
          <w:lang w:val="en-US"/>
        </w:rPr>
        <w:t>（2）非居住建筑长边退让地界按照建筑间距要求的 0.5 倍退让，并满足日照、消防、建筑间距等要求。</w:t>
      </w:r>
    </w:p>
    <w:p w14:paraId="1133DF90">
      <w:pPr>
        <w:spacing w:after="166"/>
        <w:ind w:firstLine="500"/>
        <w:rPr>
          <w:lang w:val="en-US"/>
        </w:rPr>
      </w:pPr>
      <w:r>
        <w:rPr>
          <w:rFonts w:hint="eastAsia"/>
          <w:lang w:val="en-US"/>
        </w:rPr>
        <w:t>（3）非居住建筑山墙的退让，按照居住建筑山墙退让标准执行。</w:t>
      </w:r>
    </w:p>
    <w:p w14:paraId="14543FF7">
      <w:pPr>
        <w:pStyle w:val="4"/>
        <w:numPr>
          <w:ilvl w:val="2"/>
          <w:numId w:val="5"/>
        </w:numPr>
        <w:spacing w:before="332" w:after="166"/>
        <w:rPr>
          <w:rFonts w:ascii="Times New Roman" w:hAnsi="Times New Roman"/>
          <w:lang w:val="en-US"/>
        </w:rPr>
      </w:pPr>
      <w:r>
        <w:rPr>
          <w:rFonts w:hint="eastAsia" w:ascii="Times New Roman" w:hAnsi="Times New Roman"/>
          <w:lang w:val="en-US"/>
        </w:rPr>
        <w:t>建筑退线</w:t>
      </w:r>
    </w:p>
    <w:p w14:paraId="72403C16">
      <w:pPr>
        <w:spacing w:beforeAutospacing="0" w:after="0"/>
        <w:ind w:left="0" w:leftChars="0" w:firstLine="0"/>
        <w:rPr>
          <w:rFonts w:hint="eastAsia"/>
        </w:rPr>
      </w:pPr>
      <w:r>
        <w:rPr>
          <w:rFonts w:hint="eastAsia"/>
          <w:lang w:val="en-US"/>
        </w:rPr>
        <w:t>沿城市道路两侧的建筑，按下表退让城市道路红线。</w:t>
      </w:r>
    </w:p>
    <w:tbl>
      <w:tblPr>
        <w:tblStyle w:val="36"/>
        <w:tblW w:w="4998" w:type="pct"/>
        <w:tblInd w:w="0" w:type="dxa"/>
        <w:tblLayout w:type="autofit"/>
        <w:tblCellMar>
          <w:top w:w="0" w:type="dxa"/>
          <w:left w:w="108" w:type="dxa"/>
          <w:bottom w:w="0" w:type="dxa"/>
          <w:right w:w="108" w:type="dxa"/>
        </w:tblCellMar>
      </w:tblPr>
      <w:tblGrid>
        <w:gridCol w:w="2819"/>
        <w:gridCol w:w="1861"/>
        <w:gridCol w:w="2188"/>
        <w:gridCol w:w="1651"/>
      </w:tblGrid>
      <w:tr w14:paraId="68C8A546">
        <w:tblPrEx>
          <w:tblCellMar>
            <w:top w:w="0" w:type="dxa"/>
            <w:left w:w="108" w:type="dxa"/>
            <w:bottom w:w="0" w:type="dxa"/>
            <w:right w:w="108" w:type="dxa"/>
          </w:tblCellMar>
        </w:tblPrEx>
        <w:trPr>
          <w:trHeight w:val="844" w:hRule="atLeast"/>
        </w:trPr>
        <w:tc>
          <w:tcPr>
            <w:tcW w:w="1654" w:type="pct"/>
            <w:tcBorders>
              <w:top w:val="single" w:color="000000" w:sz="4" w:space="0"/>
              <w:left w:val="single" w:color="000000" w:sz="4" w:space="0"/>
              <w:bottom w:val="single" w:color="000000" w:sz="4" w:space="0"/>
              <w:right w:val="single" w:color="000000" w:sz="4" w:space="0"/>
            </w:tcBorders>
            <w:shd w:val="clear" w:color="auto" w:fill="auto"/>
            <w:vAlign w:val="center"/>
            <mc:AlternateContent>
              <mc:Choice Requires="wpsCustomData">
                <wpsCustomData:diagonals>
                  <wpsCustomData:diagonal from="10000" to="30000">
                    <wpsCustomData:border w:val="single" w:color="000000" w:sz="4" w:space="0"/>
                  </wpsCustomData:diagonal>
                </wpsCustomData:diagonals>
              </mc:Choice>
            </mc:AlternateContent>
          </w:tcPr>
          <w:p w14:paraId="0AFFE31A">
            <w:pPr>
              <w:pStyle w:val="115"/>
            </w:pPr>
            <w:r>
              <w:rPr>
                <w:rFonts w:hint="eastAsia"/>
              </w:rPr>
              <w:t xml:space="preserve"> </w:t>
            </w:r>
          </w:p>
          <w:p w14:paraId="1B65DC5C">
            <w:pPr>
              <w:pStyle w:val="115"/>
            </w:pPr>
          </w:p>
          <w:p w14:paraId="216DE3B4">
            <w:pPr>
              <w:pStyle w:val="115"/>
            </w:pPr>
            <w:r>
              <w:rPr>
                <w:rFonts w:hint="eastAsia"/>
              </w:rPr>
              <w:t>建筑高度(m)</w:t>
            </w:r>
          </w:p>
          <w:p w14:paraId="51EFC185">
            <w:pPr>
              <w:pStyle w:val="115"/>
              <w:snapToGrid w:val="0"/>
              <mc:AlternateContent>
                <mc:Choice Requires="wpsCustomData">
                  <wpsCustomData:diagonalParaType/>
                </mc:Choice>
              </mc:AlternateContent>
            </w:pPr>
          </w:p>
          <w:p w14:paraId="3A83A3FE">
            <w:pPr>
              <w:pStyle w:val="115"/>
            </w:pPr>
            <w:r>
              <w:rPr>
                <w:rFonts w:hint="eastAsia"/>
              </w:rPr>
              <w:t>道路宽度L(m)</w:t>
            </w:r>
          </w:p>
        </w:tc>
        <w:tc>
          <w:tcPr>
            <w:tcW w:w="10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BF1A14">
            <w:pPr>
              <w:pStyle w:val="115"/>
              <w:jc w:val="center"/>
            </w:pPr>
            <w:r>
              <w:rPr>
                <w:rFonts w:hint="eastAsia"/>
              </w:rPr>
              <w:t>城市主干道</w:t>
            </w:r>
          </w:p>
        </w:tc>
        <w:tc>
          <w:tcPr>
            <w:tcW w:w="12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6CA16F">
            <w:pPr>
              <w:pStyle w:val="115"/>
              <w:jc w:val="center"/>
            </w:pPr>
            <w:r>
              <w:rPr>
                <w:rFonts w:hint="eastAsia"/>
              </w:rPr>
              <w:t>城市次干道</w:t>
            </w:r>
          </w:p>
        </w:tc>
        <w:tc>
          <w:tcPr>
            <w:tcW w:w="9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35BFB0">
            <w:pPr>
              <w:pStyle w:val="115"/>
              <w:jc w:val="center"/>
            </w:pPr>
            <w:r>
              <w:rPr>
                <w:rFonts w:hint="eastAsia"/>
              </w:rPr>
              <w:t>城市支路</w:t>
            </w:r>
          </w:p>
        </w:tc>
      </w:tr>
      <w:tr w14:paraId="34A01A2A">
        <w:tblPrEx>
          <w:tblCellMar>
            <w:top w:w="0" w:type="dxa"/>
            <w:left w:w="108" w:type="dxa"/>
            <w:bottom w:w="0" w:type="dxa"/>
            <w:right w:w="108" w:type="dxa"/>
          </w:tblCellMar>
        </w:tblPrEx>
        <w:trPr>
          <w:trHeight w:val="90" w:hRule="atLeast"/>
        </w:trPr>
        <w:tc>
          <w:tcPr>
            <w:tcW w:w="16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D48C42">
            <w:pPr>
              <w:pStyle w:val="115"/>
              <w:jc w:val="center"/>
            </w:pPr>
            <w:r>
              <w:rPr>
                <w:rFonts w:hint="eastAsia"/>
              </w:rPr>
              <w:t>H&lt;24</w:t>
            </w:r>
          </w:p>
        </w:tc>
        <w:tc>
          <w:tcPr>
            <w:tcW w:w="10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1AA213">
            <w:pPr>
              <w:pStyle w:val="115"/>
              <w:jc w:val="center"/>
            </w:pPr>
            <w:r>
              <w:rPr>
                <w:rFonts w:hint="eastAsia"/>
              </w:rPr>
              <w:t>10-15</w:t>
            </w:r>
          </w:p>
        </w:tc>
        <w:tc>
          <w:tcPr>
            <w:tcW w:w="12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B2B6A7">
            <w:pPr>
              <w:pStyle w:val="115"/>
              <w:jc w:val="center"/>
            </w:pPr>
            <w:r>
              <w:rPr>
                <w:rFonts w:hint="eastAsia"/>
              </w:rPr>
              <w:t>8-10</w:t>
            </w:r>
          </w:p>
        </w:tc>
        <w:tc>
          <w:tcPr>
            <w:tcW w:w="9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801F2F">
            <w:pPr>
              <w:pStyle w:val="115"/>
              <w:jc w:val="center"/>
            </w:pPr>
            <w:r>
              <w:rPr>
                <w:rFonts w:hint="eastAsia"/>
              </w:rPr>
              <w:t>5-8</w:t>
            </w:r>
          </w:p>
        </w:tc>
      </w:tr>
      <w:tr w14:paraId="4DB0DD6E">
        <w:tblPrEx>
          <w:tblCellMar>
            <w:top w:w="0" w:type="dxa"/>
            <w:left w:w="108" w:type="dxa"/>
            <w:bottom w:w="0" w:type="dxa"/>
            <w:right w:w="108" w:type="dxa"/>
          </w:tblCellMar>
        </w:tblPrEx>
        <w:trPr>
          <w:trHeight w:val="90" w:hRule="atLeast"/>
        </w:trPr>
        <w:tc>
          <w:tcPr>
            <w:tcW w:w="16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F701B9">
            <w:pPr>
              <w:pStyle w:val="115"/>
              <w:jc w:val="center"/>
            </w:pPr>
            <w:r>
              <w:rPr>
                <w:rFonts w:hint="eastAsia"/>
              </w:rPr>
              <w:t>24&lt;H&lt;40</w:t>
            </w:r>
          </w:p>
        </w:tc>
        <w:tc>
          <w:tcPr>
            <w:tcW w:w="10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075700">
            <w:pPr>
              <w:pStyle w:val="115"/>
              <w:jc w:val="center"/>
            </w:pPr>
            <w:r>
              <w:rPr>
                <w:rFonts w:hint="eastAsia"/>
              </w:rPr>
              <w:t>15-20</w:t>
            </w:r>
          </w:p>
        </w:tc>
        <w:tc>
          <w:tcPr>
            <w:tcW w:w="12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AA98C3">
            <w:pPr>
              <w:pStyle w:val="115"/>
              <w:jc w:val="center"/>
            </w:pPr>
            <w:r>
              <w:rPr>
                <w:rFonts w:hint="eastAsia"/>
              </w:rPr>
              <w:t>10-15</w:t>
            </w:r>
          </w:p>
        </w:tc>
        <w:tc>
          <w:tcPr>
            <w:tcW w:w="9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CBC891">
            <w:pPr>
              <w:pStyle w:val="115"/>
              <w:jc w:val="center"/>
            </w:pPr>
            <w:r>
              <w:rPr>
                <w:rFonts w:hint="eastAsia"/>
              </w:rPr>
              <w:t>8-10</w:t>
            </w:r>
          </w:p>
        </w:tc>
      </w:tr>
    </w:tbl>
    <w:p w14:paraId="7170E782">
      <w:pPr>
        <w:spacing w:before="167" w:beforeLines="50" w:after="166"/>
        <w:ind w:firstLine="500"/>
      </w:pPr>
      <w:r>
        <w:rPr>
          <w:rFonts w:hint="eastAsia"/>
          <w:lang w:val="en-US"/>
        </w:rPr>
        <w:t>（1）建设项目临城市南北向规划道路不设置商业和出入口，其高层居住建筑山墙退让道路红线按下表进行折减。</w:t>
      </w:r>
    </w:p>
    <w:p w14:paraId="0C773E62">
      <w:pPr>
        <w:spacing w:after="166"/>
        <w:ind w:firstLine="500"/>
        <w:rPr>
          <w:lang w:val="en-US"/>
        </w:rPr>
      </w:pPr>
      <w:r>
        <w:rPr>
          <w:rFonts w:hint="eastAsia"/>
          <w:lang w:val="en-US"/>
        </w:rPr>
        <w:t>（2）当建筑物临城市规划确定的绿带或河湖时，按下表退让。</w:t>
      </w:r>
    </w:p>
    <w:tbl>
      <w:tblPr>
        <w:tblStyle w:val="36"/>
        <w:tblW w:w="4999" w:type="pct"/>
        <w:tblInd w:w="0" w:type="dxa"/>
        <w:tblLayout w:type="autofit"/>
        <w:tblCellMar>
          <w:top w:w="0" w:type="dxa"/>
          <w:left w:w="108" w:type="dxa"/>
          <w:bottom w:w="0" w:type="dxa"/>
          <w:right w:w="108" w:type="dxa"/>
        </w:tblCellMar>
      </w:tblPr>
      <w:tblGrid>
        <w:gridCol w:w="4243"/>
        <w:gridCol w:w="2102"/>
        <w:gridCol w:w="2175"/>
      </w:tblGrid>
      <w:tr w14:paraId="015D8473">
        <w:tblPrEx>
          <w:tblCellMar>
            <w:top w:w="0" w:type="dxa"/>
            <w:left w:w="108" w:type="dxa"/>
            <w:bottom w:w="0" w:type="dxa"/>
            <w:right w:w="108" w:type="dxa"/>
          </w:tblCellMar>
        </w:tblPrEx>
        <w:trPr>
          <w:trHeight w:val="225" w:hRule="atLeast"/>
        </w:trPr>
        <w:tc>
          <w:tcPr>
            <w:tcW w:w="24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896B48">
            <w:pPr>
              <w:pStyle w:val="115"/>
              <w:jc w:val="center"/>
            </w:pPr>
            <w:r>
              <w:rPr>
                <w:rFonts w:hint="eastAsia"/>
              </w:rPr>
              <w:t>建筑高度(m)</w:t>
            </w:r>
          </w:p>
        </w:tc>
        <w:tc>
          <w:tcPr>
            <w:tcW w:w="12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E0610D">
            <w:pPr>
              <w:pStyle w:val="115"/>
              <w:jc w:val="center"/>
            </w:pPr>
            <w:r>
              <w:rPr>
                <w:rFonts w:hint="eastAsia"/>
              </w:rPr>
              <w:t>24(含)以下</w:t>
            </w:r>
          </w:p>
        </w:tc>
        <w:tc>
          <w:tcPr>
            <w:tcW w:w="12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851596">
            <w:pPr>
              <w:pStyle w:val="115"/>
              <w:jc w:val="center"/>
            </w:pPr>
            <w:r>
              <w:rPr>
                <w:rFonts w:hint="eastAsia"/>
              </w:rPr>
              <w:t>24-40(含)</w:t>
            </w:r>
          </w:p>
        </w:tc>
      </w:tr>
      <w:tr w14:paraId="78752766">
        <w:tblPrEx>
          <w:tblCellMar>
            <w:top w:w="0" w:type="dxa"/>
            <w:left w:w="108" w:type="dxa"/>
            <w:bottom w:w="0" w:type="dxa"/>
            <w:right w:w="108" w:type="dxa"/>
          </w:tblCellMar>
        </w:tblPrEx>
        <w:trPr>
          <w:trHeight w:val="225" w:hRule="atLeast"/>
        </w:trPr>
        <w:tc>
          <w:tcPr>
            <w:tcW w:w="24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8B0802">
            <w:pPr>
              <w:pStyle w:val="115"/>
              <w:jc w:val="center"/>
            </w:pPr>
            <w:r>
              <w:rPr>
                <w:rFonts w:hint="eastAsia"/>
              </w:rPr>
              <w:t>退绿线或蓝线(m)</w:t>
            </w:r>
          </w:p>
        </w:tc>
        <w:tc>
          <w:tcPr>
            <w:tcW w:w="12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C6F2B5">
            <w:pPr>
              <w:pStyle w:val="115"/>
              <w:jc w:val="center"/>
            </w:pPr>
            <w:r>
              <w:rPr>
                <w:rFonts w:hint="eastAsia"/>
              </w:rPr>
              <w:t>8</w:t>
            </w:r>
          </w:p>
        </w:tc>
        <w:tc>
          <w:tcPr>
            <w:tcW w:w="12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E80351">
            <w:pPr>
              <w:pStyle w:val="115"/>
              <w:jc w:val="center"/>
            </w:pPr>
            <w:r>
              <w:rPr>
                <w:rFonts w:hint="eastAsia"/>
              </w:rPr>
              <w:t>10</w:t>
            </w:r>
          </w:p>
        </w:tc>
      </w:tr>
      <w:tr w14:paraId="436A4095">
        <w:tblPrEx>
          <w:tblCellMar>
            <w:top w:w="0" w:type="dxa"/>
            <w:left w:w="108" w:type="dxa"/>
            <w:bottom w:w="0" w:type="dxa"/>
            <w:right w:w="108" w:type="dxa"/>
          </w:tblCellMar>
        </w:tblPrEx>
        <w:trPr>
          <w:trHeight w:val="234" w:hRule="atLeast"/>
        </w:trPr>
        <w:tc>
          <w:tcPr>
            <w:tcW w:w="24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72F156">
            <w:pPr>
              <w:pStyle w:val="115"/>
              <w:jc w:val="center"/>
            </w:pPr>
            <w:r>
              <w:rPr>
                <w:rFonts w:hint="eastAsia"/>
              </w:rPr>
              <w:t>不设出入口时退绿线(m)</w:t>
            </w:r>
          </w:p>
        </w:tc>
        <w:tc>
          <w:tcPr>
            <w:tcW w:w="123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66E119">
            <w:pPr>
              <w:pStyle w:val="115"/>
              <w:jc w:val="center"/>
            </w:pPr>
            <w:r>
              <w:rPr>
                <w:rFonts w:hint="eastAsia"/>
              </w:rPr>
              <w:t>5</w:t>
            </w:r>
          </w:p>
        </w:tc>
        <w:tc>
          <w:tcPr>
            <w:tcW w:w="12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E0BD7C">
            <w:pPr>
              <w:pStyle w:val="115"/>
              <w:jc w:val="center"/>
            </w:pPr>
            <w:r>
              <w:rPr>
                <w:rFonts w:hint="eastAsia"/>
              </w:rPr>
              <w:t>7</w:t>
            </w:r>
          </w:p>
        </w:tc>
      </w:tr>
    </w:tbl>
    <w:p w14:paraId="0D79A1CB">
      <w:pPr>
        <w:spacing w:before="167" w:beforeLines="50" w:after="166"/>
        <w:ind w:firstLine="500"/>
      </w:pPr>
      <w:r>
        <w:rPr>
          <w:rFonts w:hint="eastAsia"/>
          <w:lang w:val="en-US"/>
        </w:rPr>
        <w:t>（3）新建影剧院、游乐场、体育馆、大型商场等有大量人、车流集散的24米以下建筑（含24米以上建筑中作为大型商场的裙房、沿城市道路的餐饮建筑），其面临城市道路的主要出入口方向的建筑控制线后退道路红线的距离，除满足以上规定外，不得小于15米，并应留出临时停车场或回车场地，且与城市道路连接。</w:t>
      </w:r>
    </w:p>
    <w:p w14:paraId="326F8B16">
      <w:pPr>
        <w:spacing w:after="166"/>
        <w:ind w:firstLine="500"/>
      </w:pPr>
      <w:r>
        <w:rPr>
          <w:rFonts w:hint="eastAsia"/>
          <w:lang w:val="en-US"/>
        </w:rPr>
        <w:t>（4）道路交叉口四周的建筑控制线退让道路红线距离，在第二十二条附表规定的基础上，低、多层建筑增加2米，高层建筑增加5米。</w:t>
      </w:r>
    </w:p>
    <w:p w14:paraId="773F0D04">
      <w:pPr>
        <w:spacing w:after="166"/>
        <w:ind w:firstLine="500"/>
        <w:rPr>
          <w:lang w:val="en-US"/>
        </w:rPr>
      </w:pPr>
      <w:r>
        <w:rPr>
          <w:rFonts w:hint="eastAsia"/>
          <w:lang w:val="en-US"/>
        </w:rPr>
        <w:t>（5）在工业园区内建设的工业项目在满足安全生产的情况下，建筑后退道路红、绿、蓝线等各种控制线的距离需符合下表要求；与民用建筑项目相邻时，按民用建筑标准退让，与工业用地相邻时，应满足消防等相关规范要求。</w:t>
      </w:r>
    </w:p>
    <w:tbl>
      <w:tblPr>
        <w:tblStyle w:val="36"/>
        <w:tblW w:w="4999" w:type="pct"/>
        <w:tblInd w:w="0" w:type="dxa"/>
        <w:tblLayout w:type="autofit"/>
        <w:tblCellMar>
          <w:top w:w="0" w:type="dxa"/>
          <w:left w:w="108" w:type="dxa"/>
          <w:bottom w:w="0" w:type="dxa"/>
          <w:right w:w="108" w:type="dxa"/>
        </w:tblCellMar>
      </w:tblPr>
      <w:tblGrid>
        <w:gridCol w:w="3903"/>
        <w:gridCol w:w="4617"/>
      </w:tblGrid>
      <w:tr w14:paraId="6571DB92">
        <w:tblPrEx>
          <w:tblCellMar>
            <w:top w:w="0" w:type="dxa"/>
            <w:left w:w="108" w:type="dxa"/>
            <w:bottom w:w="0" w:type="dxa"/>
            <w:right w:w="108" w:type="dxa"/>
          </w:tblCellMar>
        </w:tblPrEx>
        <w:trPr>
          <w:trHeight w:val="113" w:hRule="atLeast"/>
        </w:trPr>
        <w:tc>
          <w:tcPr>
            <w:tcW w:w="22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98A03E">
            <w:pPr>
              <w:pStyle w:val="115"/>
              <w:jc w:val="center"/>
            </w:pPr>
            <w:r>
              <w:rPr>
                <w:rFonts w:hint="eastAsia"/>
              </w:rPr>
              <w:t>建筑高度(m)</w:t>
            </w:r>
          </w:p>
        </w:tc>
        <w:tc>
          <w:tcPr>
            <w:tcW w:w="2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5BB211">
            <w:pPr>
              <w:pStyle w:val="115"/>
              <w:jc w:val="center"/>
            </w:pPr>
            <w:r>
              <w:rPr>
                <w:rFonts w:hint="eastAsia"/>
              </w:rPr>
              <w:t>退让距离(m)</w:t>
            </w:r>
          </w:p>
        </w:tc>
      </w:tr>
      <w:tr w14:paraId="546A7283">
        <w:tblPrEx>
          <w:tblCellMar>
            <w:top w:w="0" w:type="dxa"/>
            <w:left w:w="108" w:type="dxa"/>
            <w:bottom w:w="0" w:type="dxa"/>
            <w:right w:w="108" w:type="dxa"/>
          </w:tblCellMar>
        </w:tblPrEx>
        <w:trPr>
          <w:trHeight w:val="113" w:hRule="atLeast"/>
        </w:trPr>
        <w:tc>
          <w:tcPr>
            <w:tcW w:w="22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C77636">
            <w:pPr>
              <w:pStyle w:val="115"/>
              <w:jc w:val="center"/>
            </w:pPr>
            <w:r>
              <w:rPr>
                <w:rFonts w:hint="eastAsia"/>
              </w:rPr>
              <w:t>H&lt;24</w:t>
            </w:r>
          </w:p>
        </w:tc>
        <w:tc>
          <w:tcPr>
            <w:tcW w:w="2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E51EDC">
            <w:pPr>
              <w:pStyle w:val="115"/>
              <w:jc w:val="center"/>
            </w:pPr>
            <w:r>
              <w:rPr>
                <w:rFonts w:hint="eastAsia"/>
              </w:rPr>
              <w:t>5-8</w:t>
            </w:r>
          </w:p>
        </w:tc>
      </w:tr>
      <w:tr w14:paraId="6F721CD0">
        <w:tblPrEx>
          <w:tblCellMar>
            <w:top w:w="0" w:type="dxa"/>
            <w:left w:w="108" w:type="dxa"/>
            <w:bottom w:w="0" w:type="dxa"/>
            <w:right w:w="108" w:type="dxa"/>
          </w:tblCellMar>
        </w:tblPrEx>
        <w:trPr>
          <w:trHeight w:val="113" w:hRule="atLeast"/>
        </w:trPr>
        <w:tc>
          <w:tcPr>
            <w:tcW w:w="22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67FABA">
            <w:pPr>
              <w:pStyle w:val="115"/>
              <w:jc w:val="center"/>
            </w:pPr>
            <w:r>
              <w:rPr>
                <w:rFonts w:hint="eastAsia"/>
              </w:rPr>
              <w:t>24&lt;H&lt;40</w:t>
            </w:r>
          </w:p>
        </w:tc>
        <w:tc>
          <w:tcPr>
            <w:tcW w:w="27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C2345C">
            <w:pPr>
              <w:pStyle w:val="115"/>
              <w:jc w:val="center"/>
            </w:pPr>
            <w:r>
              <w:rPr>
                <w:rFonts w:hint="eastAsia"/>
              </w:rPr>
              <w:t>8-10</w:t>
            </w:r>
          </w:p>
        </w:tc>
      </w:tr>
    </w:tbl>
    <w:p w14:paraId="1A5385EE">
      <w:pPr>
        <w:spacing w:beforeAutospacing="1" w:after="166"/>
        <w:ind w:firstLine="500"/>
        <w:rPr>
          <w:rFonts w:hint="eastAsia" w:ascii="宋体" w:hAnsi="宋体" w:cs="宋体"/>
          <w:lang w:bidi="ar"/>
        </w:rPr>
      </w:pPr>
    </w:p>
    <w:p w14:paraId="4B6428B4">
      <w:pPr>
        <w:spacing w:after="166"/>
        <w:ind w:firstLine="500"/>
      </w:pPr>
      <w:r>
        <w:rPr>
          <w:rFonts w:hint="eastAsia"/>
          <w:lang w:val="en-US"/>
        </w:rPr>
        <w:br w:type="page"/>
      </w:r>
    </w:p>
    <w:p w14:paraId="3D766EFC">
      <w:pPr>
        <w:pStyle w:val="2"/>
        <w:numPr>
          <w:ilvl w:val="0"/>
          <w:numId w:val="5"/>
        </w:numPr>
        <w:rPr>
          <w:rFonts w:hint="eastAsia"/>
        </w:rPr>
      </w:pPr>
      <w:bookmarkStart w:id="79" w:name="_Toc23824"/>
      <w:r>
        <w:rPr>
          <w:rFonts w:hint="eastAsia"/>
        </w:rPr>
        <w:t>规划实施</w:t>
      </w:r>
      <w:bookmarkEnd w:id="79"/>
    </w:p>
    <w:p w14:paraId="4D1B1012">
      <w:pPr>
        <w:pStyle w:val="3"/>
        <w:numPr>
          <w:ilvl w:val="1"/>
          <w:numId w:val="5"/>
        </w:numPr>
        <w:spacing w:before="332" w:after="166"/>
        <w:rPr>
          <w:rFonts w:hint="eastAsia"/>
        </w:rPr>
      </w:pPr>
      <w:r>
        <w:rPr>
          <w:rFonts w:hint="eastAsia"/>
        </w:rPr>
        <w:t>规划</w:t>
      </w:r>
      <w:r>
        <w:rPr>
          <w:rFonts w:hint="eastAsia"/>
          <w:lang w:eastAsia="zh"/>
        </w:rPr>
        <w:t>管理规定</w:t>
      </w:r>
    </w:p>
    <w:p w14:paraId="60D51E4B">
      <w:pPr>
        <w:spacing w:after="166"/>
        <w:ind w:firstLine="500"/>
        <w:rPr>
          <w:lang w:eastAsia="zh"/>
        </w:rPr>
      </w:pPr>
      <w:r>
        <w:rPr>
          <w:rFonts w:hint="eastAsia"/>
          <w:lang w:eastAsia="zh"/>
        </w:rPr>
        <w:t>1、本规划经批准之日起生效，任何人不得擅自改动并由白云鄂博矿区民政府依法公布、实施，并广泛宣传规划和政策以增强各阶层市民的城规划意识，以便于服从规划并参与监督实施。</w:t>
      </w:r>
    </w:p>
    <w:p w14:paraId="5E010CB0">
      <w:pPr>
        <w:spacing w:after="166"/>
        <w:ind w:firstLine="500"/>
        <w:rPr>
          <w:lang w:eastAsia="zh"/>
        </w:rPr>
      </w:pPr>
      <w:r>
        <w:rPr>
          <w:rFonts w:hint="eastAsia"/>
          <w:lang w:eastAsia="zh"/>
        </w:rPr>
        <w:t>2、规划实施中，因故必须进行重大调整和变更时由有相应资质单位进行调整，并报原审批部门。</w:t>
      </w:r>
    </w:p>
    <w:p w14:paraId="00FF7250">
      <w:pPr>
        <w:spacing w:after="166"/>
        <w:ind w:firstLine="500"/>
        <w:rPr>
          <w:lang w:eastAsia="zh"/>
        </w:rPr>
      </w:pPr>
      <w:r>
        <w:rPr>
          <w:rFonts w:hint="eastAsia"/>
          <w:lang w:eastAsia="zh"/>
        </w:rPr>
        <w:t>3、本规划解释权属白云鄂博矿区行政主管部门。</w:t>
      </w:r>
    </w:p>
    <w:p w14:paraId="7AC9E35E">
      <w:pPr>
        <w:spacing w:after="166"/>
        <w:ind w:firstLine="500"/>
        <w:rPr>
          <w:lang w:eastAsia="zh"/>
        </w:rPr>
      </w:pPr>
      <w:r>
        <w:rPr>
          <w:rFonts w:hint="eastAsia"/>
          <w:lang w:eastAsia="zh"/>
        </w:rPr>
        <w:t>4、规划区内土地利用和各项建设必须符合本，服从管理。</w:t>
      </w:r>
    </w:p>
    <w:p w14:paraId="724FBB82">
      <w:pPr>
        <w:spacing w:after="166"/>
        <w:ind w:firstLine="500"/>
        <w:rPr>
          <w:lang w:eastAsia="zh"/>
        </w:rPr>
      </w:pPr>
      <w:r>
        <w:rPr>
          <w:rFonts w:hint="eastAsia"/>
          <w:lang w:eastAsia="zh"/>
        </w:rPr>
        <w:t>5、规划区的建设工程选址和布局必须符合本。</w:t>
      </w:r>
    </w:p>
    <w:p w14:paraId="40CC7F1F">
      <w:pPr>
        <w:spacing w:after="166"/>
        <w:ind w:firstLine="500"/>
        <w:rPr>
          <w:lang w:eastAsia="zh"/>
        </w:rPr>
      </w:pPr>
      <w:r>
        <w:rPr>
          <w:rFonts w:hint="eastAsia"/>
          <w:lang w:eastAsia="zh"/>
        </w:rPr>
        <w:t>6、任何单位和个人必须服从区人民政府根据本规划做出的调整用地决定。</w:t>
      </w:r>
    </w:p>
    <w:p w14:paraId="24E5540E">
      <w:pPr>
        <w:spacing w:after="166"/>
        <w:ind w:firstLine="500"/>
        <w:rPr>
          <w:lang w:eastAsia="zh"/>
        </w:rPr>
      </w:pPr>
      <w:r>
        <w:rPr>
          <w:rFonts w:hint="eastAsia"/>
          <w:lang w:eastAsia="zh"/>
        </w:rPr>
        <w:t>7、任何单位和个人不得占用道路、广场绿地、高压供电气走廊和压力地下管线进行建设。</w:t>
      </w:r>
    </w:p>
    <w:p w14:paraId="0017B708">
      <w:pPr>
        <w:spacing w:after="166"/>
        <w:ind w:firstLine="500"/>
        <w:rPr>
          <w:lang w:eastAsia="zh"/>
        </w:rPr>
      </w:pPr>
      <w:r>
        <w:rPr>
          <w:rFonts w:hint="eastAsia"/>
          <w:lang w:eastAsia="zh"/>
        </w:rPr>
        <w:t>8、编制和完善提地使用房产开发的各项政策规定，运经济手段调控和引导土地使用产业开发。</w:t>
      </w:r>
    </w:p>
    <w:p w14:paraId="34CB545B">
      <w:pPr>
        <w:spacing w:after="166"/>
        <w:ind w:firstLine="500"/>
        <w:rPr>
          <w:lang w:eastAsia="zh"/>
        </w:rPr>
      </w:pPr>
      <w:r>
        <w:rPr>
          <w:rFonts w:hint="eastAsia"/>
          <w:lang w:eastAsia="zh"/>
        </w:rPr>
        <w:t>9、加强规划法制建设，完善律体系。</w:t>
      </w:r>
    </w:p>
    <w:p w14:paraId="3E73DA8D">
      <w:pPr>
        <w:spacing w:after="166"/>
        <w:ind w:firstLine="500"/>
        <w:rPr>
          <w:lang w:eastAsia="zh"/>
        </w:rPr>
      </w:pPr>
      <w:r>
        <w:rPr>
          <w:rFonts w:hint="eastAsia"/>
          <w:lang w:eastAsia="zh"/>
        </w:rPr>
        <w:t>10 、规划区任何建设项目必须严格进行地质详勘和环境影响评估后，才能依程序报批建设。</w:t>
      </w:r>
    </w:p>
    <w:p w14:paraId="74C377CB">
      <w:pPr>
        <w:pStyle w:val="3"/>
        <w:numPr>
          <w:ilvl w:val="1"/>
          <w:numId w:val="5"/>
        </w:numPr>
        <w:spacing w:before="332" w:after="166"/>
        <w:rPr>
          <w:rFonts w:hint="eastAsia"/>
        </w:rPr>
      </w:pPr>
      <w:r>
        <w:rPr>
          <w:rFonts w:hint="eastAsia"/>
          <w:lang w:eastAsia="zh"/>
        </w:rPr>
        <w:t>实施策略建议</w:t>
      </w:r>
    </w:p>
    <w:p w14:paraId="38A3D0C8">
      <w:pPr>
        <w:spacing w:after="166"/>
        <w:ind w:firstLine="500"/>
        <w:rPr>
          <w:lang w:val="en-US" w:eastAsia="zh"/>
        </w:rPr>
      </w:pPr>
      <w:r>
        <w:rPr>
          <w:rFonts w:hint="eastAsia"/>
          <w:lang w:val="en-US" w:eastAsia="zh"/>
        </w:rPr>
        <w:t>1、加强政府引导，完善公用设施建。公用设施的建设应进行统一管理和引导；以高效集约为指导原则，丰富配套设施的综合服务功能。</w:t>
      </w:r>
    </w:p>
    <w:p w14:paraId="4240C3D5">
      <w:pPr>
        <w:spacing w:after="166"/>
        <w:ind w:firstLine="500"/>
        <w:rPr>
          <w:lang w:val="en-US" w:eastAsia="zh"/>
        </w:rPr>
      </w:pPr>
      <w:r>
        <w:rPr>
          <w:rFonts w:hint="eastAsia"/>
          <w:lang w:val="en-US" w:eastAsia="zh"/>
        </w:rPr>
        <w:t>2、加大环境建设和景观的投入。整合现有景观资源，注重道路开放空间的界面设计，特别是景观绿廊的建设与周边的界面设计，加强优质环境品质的建设投入。</w:t>
      </w:r>
    </w:p>
    <w:p w14:paraId="3EA156F5">
      <w:pPr>
        <w:spacing w:after="166"/>
        <w:ind w:firstLine="500"/>
        <w:rPr>
          <w:lang w:val="en-US" w:eastAsia="zh"/>
        </w:rPr>
      </w:pPr>
      <w:r>
        <w:rPr>
          <w:rFonts w:hint="eastAsia"/>
          <w:lang w:val="en-US" w:eastAsia="zh"/>
        </w:rPr>
        <w:t>3、落实上位规划功能需求，加强与周边地区建设的衔接统筹考虑用地布局与配套设施标准，促进城市协调发展。</w:t>
      </w:r>
    </w:p>
    <w:p w14:paraId="243D622B">
      <w:pPr>
        <w:spacing w:after="166"/>
        <w:ind w:firstLine="500"/>
        <w:rPr>
          <w:lang w:val="en-US" w:eastAsia="zh"/>
        </w:rPr>
      </w:pPr>
      <w:r>
        <w:rPr>
          <w:rFonts w:hint="eastAsia"/>
          <w:lang w:val="en-US" w:eastAsia="zh"/>
        </w:rPr>
        <w:t>4、严格控制四线范围，对特定意图区进行重点建设。</w:t>
      </w:r>
    </w:p>
    <w:p w14:paraId="716E2B1E">
      <w:pPr>
        <w:spacing w:after="166"/>
        <w:ind w:firstLine="500"/>
        <w:rPr>
          <w:lang w:val="en-US" w:eastAsia="zh"/>
        </w:rPr>
      </w:pPr>
      <w:r>
        <w:rPr>
          <w:rFonts w:hint="eastAsia"/>
          <w:lang w:val="en-US" w:eastAsia="zh"/>
        </w:rPr>
        <w:t>5、转变土地投入方式，实行分期建设。各片区用依照整体规划、有序发展。</w:t>
      </w:r>
    </w:p>
    <w:p w14:paraId="4E254D6C">
      <w:pPr>
        <w:spacing w:after="166"/>
        <w:ind w:firstLine="0" w:firstLineChars="0"/>
        <w:rPr>
          <w:rFonts w:hint="eastAsia" w:eastAsia="宋体"/>
          <w:lang w:val="en-US" w:eastAsia="zh-CN"/>
        </w:rPr>
      </w:pPr>
    </w:p>
    <w:sectPr>
      <w:footerReference r:id="rId8" w:type="default"/>
      <w:footnotePr>
        <w:numFmt w:val="decimalEnclosedCircleChinese"/>
        <w:numRestart w:val="eachPage"/>
      </w:footnotePr>
      <w:endnotePr>
        <w:numFmt w:val="decimal"/>
      </w:endnotePr>
      <w:pgSz w:w="11906" w:h="16838"/>
      <w:pgMar w:top="1440" w:right="1800" w:bottom="1440" w:left="1800" w:header="851" w:footer="992" w:gutter="0"/>
      <w:pgNumType w:start="1"/>
      <w:cols w:space="425" w:num="1"/>
      <w:docGrid w:type="lines" w:linePitch="332" w:charSpace="879"/>
    </w:sectPr>
  </w:body>
</w:document>
</file>

<file path=word/customizations.xml><?xml version="1.0" encoding="utf-8"?>
<wne:tcg xmlns:r="http://schemas.openxmlformats.org/officeDocument/2006/relationships" xmlns:wne="http://schemas.microsoft.com/office/word/2006/wordml">
  <wne:keymaps>
    <wne:keymap wne:kcmPrimary="0170">
      <wne:fci wne:fciName="Help" wne:swArg="0000"/>
    </wne:keymap>
    <wne:keymap wne:kcmPrimary="0230">
      <wne:fci wne:fciName="OpenOrCloseUpPara" wne:swArg="0000"/>
    </wne:keymap>
    <wne:keymap wne:kcmPrimary="0232">
      <wne:fci wne:fciName="SpacePara2" wne:swArg="0000"/>
    </wne:keymap>
    <wne:keymap wne:kcmPrimary="0235">
      <wne:fci wne:fciName="SpacePara15" wne:swArg="0000"/>
    </wne:keymap>
    <wne:keymap wne:kcmPrimary="02DB">
      <wne:fci wne:fciName="ShrinkFontOnePoint" wne:swArg="0000"/>
    </wne:keymap>
    <wne:keymap wne:kcmPrimary="02DD">
      <wne:fci wne:fciName="GrowFontOnePoint" wne:swArg="0000"/>
    </wne:keymap>
    <wne:keymap wne:kcmPrimary="0346">
      <wne:fci wne:fciName="Font" wne:swArg="0000"/>
    </wne:keymap>
    <wne:keymap wne:kcmPrimary="0631">
      <wne:fci wne:fciName="ApplyHeading1" wne:swArg="0000"/>
    </wne:keymap>
    <wne:keymap wne:kcmPrimary="0632">
      <wne:fci wne:fciName="ApplyHeading2" wne:swArg="0000"/>
    </wne:keymap>
    <wne:keymap wne:kcmPrimary="0633">
      <wne:fci wne:fciName="ApplyHeading3" wne:swArg="0000"/>
    </wne:keymap>
  </wne:keymap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ind w:firstLine="500"/>
      </w:pPr>
      <w:r>
        <w:separator/>
      </w:r>
    </w:p>
  </w:endnote>
  <w:endnote w:type="continuationSeparator" w:id="1">
    <w:p>
      <w:pPr>
        <w:ind w:firstLine="50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8"/>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11B120C2-8DDF-48F6-AD71-B563534FA1AB}"/>
  </w:font>
  <w:font w:name="Arial">
    <w:panose1 w:val="020B0604020202020204"/>
    <w:charset w:val="01"/>
    <w:family w:val="swiss"/>
    <w:pitch w:val="default"/>
    <w:sig w:usb0="E0002EFF" w:usb1="C000785B" w:usb2="00000009" w:usb3="00000000" w:csb0="400001FF" w:csb1="FFFF0000"/>
    <w:embedRegular r:id="rId2" w:fontKey="{DFDBD568-C7EE-4718-AA54-934BF1F828C3}"/>
  </w:font>
  <w:font w:name="黑体">
    <w:panose1 w:val="02010609060101010101"/>
    <w:charset w:val="86"/>
    <w:family w:val="auto"/>
    <w:pitch w:val="default"/>
    <w:sig w:usb0="800002BF" w:usb1="38CF7CFA" w:usb2="00000016" w:usb3="00000000" w:csb0="00040001" w:csb1="00000000"/>
    <w:embedRegular r:id="rId3" w:fontKey="{AB13B2D6-CC8A-4CF5-8981-C1FB1C46E2F1}"/>
  </w:font>
  <w:font w:name="Courier New">
    <w:panose1 w:val="02070309020205020404"/>
    <w:charset w:val="01"/>
    <w:family w:val="modern"/>
    <w:pitch w:val="default"/>
    <w:sig w:usb0="E0002EFF" w:usb1="C0007843" w:usb2="00000009" w:usb3="00000000" w:csb0="400001FF" w:csb1="FFFF0000"/>
    <w:embedRegular r:id="rId4" w:fontKey="{E4F67BAB-104E-4071-8D2C-17FF3520C426}"/>
  </w:font>
  <w:font w:name="Symbol">
    <w:panose1 w:val="05050102010706020507"/>
    <w:charset w:val="02"/>
    <w:family w:val="roman"/>
    <w:pitch w:val="default"/>
    <w:sig w:usb0="00000000" w:usb1="00000000" w:usb2="00000000" w:usb3="00000000" w:csb0="80000000" w:csb1="00000000"/>
    <w:embedRegular r:id="rId5" w:fontKey="{D28C3586-6F5C-4D9D-B4A3-CBC255D46BA8}"/>
  </w:font>
  <w:font w:name="Calibri">
    <w:panose1 w:val="020F0502020204030204"/>
    <w:charset w:val="00"/>
    <w:family w:val="swiss"/>
    <w:pitch w:val="default"/>
    <w:sig w:usb0="E4002EFF" w:usb1="C200247B" w:usb2="00000009" w:usb3="00000000" w:csb0="200001FF" w:csb1="00000000"/>
    <w:embedRegular r:id="rId6" w:fontKey="{A65ED062-C229-47EE-BE12-B8EED598C8D2}"/>
  </w:font>
  <w:font w:name="楷体_GB2312">
    <w:panose1 w:val="02010609030101010101"/>
    <w:charset w:val="86"/>
    <w:family w:val="modern"/>
    <w:pitch w:val="default"/>
    <w:sig w:usb0="00000001" w:usb1="080E0000" w:usb2="00000000" w:usb3="00000000" w:csb0="00040000" w:csb1="00000000"/>
    <w:embedRegular r:id="rId7" w:fontKey="{48ECC7FE-A54A-4DFC-BC5A-1D7ABF954096}"/>
  </w:font>
  <w:font w:name="Cambria">
    <w:panose1 w:val="02040503050406030204"/>
    <w:charset w:val="00"/>
    <w:family w:val="roman"/>
    <w:pitch w:val="default"/>
    <w:sig w:usb0="E00006FF" w:usb1="420024FF" w:usb2="02000000" w:usb3="00000000" w:csb0="2000019F" w:csb1="00000000"/>
    <w:embedRegular r:id="rId8" w:fontKey="{F8EA537F-7933-42F9-B9A9-32ABA988CA4C}"/>
  </w:font>
  <w:font w:name="华文楷体">
    <w:panose1 w:val="02010600040101010101"/>
    <w:charset w:val="86"/>
    <w:family w:val="auto"/>
    <w:pitch w:val="default"/>
    <w:sig w:usb0="00000287" w:usb1="080F0000" w:usb2="00000000" w:usb3="00000000" w:csb0="0004009F" w:csb1="DFD70000"/>
  </w:font>
  <w:font w:name="仿宋">
    <w:panose1 w:val="02010609060101010101"/>
    <w:charset w:val="86"/>
    <w:family w:val="modern"/>
    <w:pitch w:val="default"/>
    <w:sig w:usb0="800002BF" w:usb1="38CF7CFA" w:usb2="00000016" w:usb3="00000000" w:csb0="00040001" w:csb1="00000000"/>
  </w:font>
  <w:font w:name="Trebuchet MS">
    <w:panose1 w:val="020B0603020202020204"/>
    <w:charset w:val="00"/>
    <w:family w:val="swiss"/>
    <w:pitch w:val="default"/>
    <w:sig w:usb0="00000687" w:usb1="00000000" w:usb2="00000000" w:usb3="00000000" w:csb0="2000009F" w:csb1="00000000"/>
    <w:embedRegular r:id="rId9" w:fontKey="{3204870A-D1C3-49FA-A7F2-5760ED82E55B}"/>
  </w:font>
  <w:font w:name="Malgun Gothic">
    <w:panose1 w:val="020B0503020000020004"/>
    <w:charset w:val="81"/>
    <w:family w:val="swiss"/>
    <w:pitch w:val="default"/>
    <w:sig w:usb0="9000002F" w:usb1="29D77CFB" w:usb2="00000012" w:usb3="00000000" w:csb0="00080001" w:csb1="00000000"/>
  </w:font>
  <w:font w:name="仿宋_GB2312">
    <w:panose1 w:val="02010609030101010101"/>
    <w:charset w:val="86"/>
    <w:family w:val="modern"/>
    <w:pitch w:val="default"/>
    <w:sig w:usb0="00000001" w:usb1="080E0000" w:usb2="00000000" w:usb3="00000000" w:csb0="00040000" w:csb1="00000000"/>
    <w:embedRegular r:id="rId10" w:fontKey="{55E44D99-DFBB-483A-B331-7F9B11B4574B}"/>
  </w:font>
  <w:font w:name="方正小标宋_GBK">
    <w:panose1 w:val="02000000000000000000"/>
    <w:charset w:val="86"/>
    <w:family w:val="script"/>
    <w:pitch w:val="default"/>
    <w:sig w:usb0="A00002BF" w:usb1="38CF7CFA" w:usb2="00082016" w:usb3="00000000" w:csb0="00040001" w:csb1="00000000"/>
    <w:embedRegular r:id="rId11" w:fontKey="{C2A80074-BC9B-4BBF-8FF7-D43684574430}"/>
  </w:font>
  <w:font w:name="微软雅黑">
    <w:panose1 w:val="020B0503020204020204"/>
    <w:charset w:val="86"/>
    <w:family w:val="swiss"/>
    <w:pitch w:val="default"/>
    <w:sig w:usb0="80000287" w:usb1="2ACF3C50" w:usb2="00000016" w:usb3="00000000" w:csb0="0004001F" w:csb1="00000000"/>
    <w:embedRegular r:id="rId12" w:fontKey="{4B25D71B-208B-44B7-A804-F779F07AB357}"/>
  </w:font>
  <w:font w:name="Cambria Math">
    <w:panose1 w:val="02040503050406030204"/>
    <w:charset w:val="00"/>
    <w:family w:val="roman"/>
    <w:pitch w:val="default"/>
    <w:sig w:usb0="E00006FF" w:usb1="420024FF" w:usb2="02000000" w:usb3="00000000" w:csb0="2000019F" w:csb1="00000000"/>
    <w:embedRegular r:id="rId13" w:fontKey="{D1F474F2-0A09-4EC4-87D0-34963206399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52938F">
    <w:pPr>
      <w:pStyle w:val="25"/>
      <w:spacing w:after="120"/>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3335589"/>
    </w:sdtPr>
    <w:sdtContent>
      <w:p w14:paraId="5AD92168">
        <w:pPr>
          <w:pStyle w:val="25"/>
          <w:spacing w:after="120"/>
          <w:ind w:firstLine="360"/>
          <w:jc w:val="center"/>
        </w:pPr>
        <w:r>
          <w:fldChar w:fldCharType="begin"/>
        </w:r>
        <w:r>
          <w:instrText xml:space="preserve">PAGE   \* MERGEFORMAT</w:instrText>
        </w:r>
        <w:r>
          <w:fldChar w:fldCharType="separate"/>
        </w:r>
        <w:r>
          <w:t>29</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7456925"/>
    </w:sdtPr>
    <w:sdtContent>
      <w:p w14:paraId="2A1AEE51">
        <w:pPr>
          <w:pStyle w:val="25"/>
          <w:spacing w:after="120"/>
          <w:ind w:firstLine="360"/>
          <w:jc w:val="center"/>
        </w:pPr>
        <w:r>
          <w:fldChar w:fldCharType="begin"/>
        </w:r>
        <w:r>
          <w:instrText xml:space="preserve">PAGE   \* MERGEFORMAT</w:instrText>
        </w:r>
        <w:r>
          <w:fldChar w:fldCharType="separate"/>
        </w:r>
        <w:r>
          <w:t>29</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ind w:firstLine="500"/>
      </w:pPr>
      <w:r>
        <w:separator/>
      </w:r>
    </w:p>
  </w:footnote>
  <w:footnote w:type="continuationSeparator" w:id="1">
    <w:p>
      <w:pPr>
        <w:spacing w:before="0" w:after="0"/>
        <w:ind w:firstLine="50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B68CE9">
    <w:pPr>
      <w:spacing w:after="120"/>
      <w:ind w:firstLine="50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5CF3C3F"/>
    <w:multiLevelType w:val="singleLevel"/>
    <w:tmpl w:val="85CF3C3F"/>
    <w:lvl w:ilvl="0" w:tentative="0">
      <w:start w:val="1"/>
      <w:numFmt w:val="decimal"/>
      <w:lvlText w:val="%1."/>
      <w:lvlJc w:val="left"/>
      <w:pPr>
        <w:ind w:left="425" w:hanging="425"/>
      </w:pPr>
      <w:rPr>
        <w:rFonts w:hint="default"/>
      </w:rPr>
    </w:lvl>
  </w:abstractNum>
  <w:abstractNum w:abstractNumId="1">
    <w:nsid w:val="877E81FB"/>
    <w:multiLevelType w:val="singleLevel"/>
    <w:tmpl w:val="877E81FB"/>
    <w:lvl w:ilvl="0" w:tentative="0">
      <w:start w:val="1"/>
      <w:numFmt w:val="decimal"/>
      <w:lvlText w:val="%1."/>
      <w:lvlJc w:val="left"/>
      <w:pPr>
        <w:ind w:left="425" w:hanging="425"/>
      </w:pPr>
      <w:rPr>
        <w:rFonts w:hint="default"/>
      </w:rPr>
    </w:lvl>
  </w:abstractNum>
  <w:abstractNum w:abstractNumId="2">
    <w:nsid w:val="8CEA09A2"/>
    <w:multiLevelType w:val="singleLevel"/>
    <w:tmpl w:val="8CEA09A2"/>
    <w:lvl w:ilvl="0" w:tentative="0">
      <w:start w:val="1"/>
      <w:numFmt w:val="decimal"/>
      <w:lvlText w:val="%1."/>
      <w:lvlJc w:val="left"/>
      <w:pPr>
        <w:ind w:left="425" w:hanging="425"/>
      </w:pPr>
      <w:rPr>
        <w:rFonts w:hint="default"/>
      </w:rPr>
    </w:lvl>
  </w:abstractNum>
  <w:abstractNum w:abstractNumId="3">
    <w:nsid w:val="8F2E8482"/>
    <w:multiLevelType w:val="multilevel"/>
    <w:tmpl w:val="8F2E8482"/>
    <w:lvl w:ilvl="0" w:tentative="0">
      <w:start w:val="1"/>
      <w:numFmt w:val="chineseCounting"/>
      <w:pStyle w:val="2"/>
      <w:suff w:val="nothing"/>
      <w:lvlText w:val="第%1章 "/>
      <w:lvlJc w:val="left"/>
      <w:pPr>
        <w:ind w:left="432" w:hanging="432"/>
      </w:pPr>
      <w:rPr>
        <w:rFonts w:hint="eastAsia"/>
      </w:rPr>
    </w:lvl>
    <w:lvl w:ilvl="1" w:tentative="0">
      <w:start w:val="1"/>
      <w:numFmt w:val="decimal"/>
      <w:pStyle w:val="3"/>
      <w:isLgl/>
      <w:lvlText w:val="%1.%2"/>
      <w:lvlJc w:val="left"/>
      <w:pPr>
        <w:ind w:left="575" w:hanging="575"/>
      </w:pPr>
      <w:rPr>
        <w:rFonts w:hint="eastAsia"/>
      </w:rPr>
    </w:lvl>
    <w:lvl w:ilvl="2" w:tentative="0">
      <w:start w:val="1"/>
      <w:numFmt w:val="decimal"/>
      <w:pStyle w:val="4"/>
      <w:isLgl/>
      <w:suff w:val="space"/>
      <w:lvlText w:val="%1.%2.%3"/>
      <w:lvlJc w:val="left"/>
      <w:pPr>
        <w:tabs>
          <w:tab w:val="left" w:pos="420"/>
        </w:tabs>
        <w:ind w:left="720" w:hanging="720"/>
      </w:pPr>
      <w:rPr>
        <w:rFonts w:hint="eastAsia"/>
      </w:rPr>
    </w:lvl>
    <w:lvl w:ilvl="3" w:tentative="0">
      <w:start w:val="1"/>
      <w:numFmt w:val="decimal"/>
      <w:isLgl/>
      <w:lvlText w:val="%1.%2.%3.%4."/>
      <w:lvlJc w:val="left"/>
      <w:pPr>
        <w:ind w:left="864" w:hanging="864"/>
      </w:pPr>
      <w:rPr>
        <w:rFonts w:hint="eastAsia"/>
      </w:rPr>
    </w:lvl>
    <w:lvl w:ilvl="4" w:tentative="0">
      <w:start w:val="1"/>
      <w:numFmt w:val="decimal"/>
      <w:isLgl/>
      <w:lvlText w:val="%1.%2.%3.%4.%5."/>
      <w:lvlJc w:val="left"/>
      <w:pPr>
        <w:ind w:left="1008" w:hanging="1008"/>
      </w:pPr>
      <w:rPr>
        <w:rFonts w:hint="eastAsia"/>
      </w:rPr>
    </w:lvl>
    <w:lvl w:ilvl="5" w:tentative="0">
      <w:start w:val="1"/>
      <w:numFmt w:val="decimal"/>
      <w:pStyle w:val="7"/>
      <w:isLgl/>
      <w:lvlText w:val="%1.%2.%3.%4.%5.%6."/>
      <w:lvlJc w:val="left"/>
      <w:pPr>
        <w:ind w:left="1151" w:hanging="1151"/>
      </w:pPr>
      <w:rPr>
        <w:rFonts w:hint="eastAsia"/>
      </w:rPr>
    </w:lvl>
    <w:lvl w:ilvl="6" w:tentative="0">
      <w:start w:val="1"/>
      <w:numFmt w:val="decimal"/>
      <w:pStyle w:val="8"/>
      <w:isLgl/>
      <w:lvlText w:val="%1.%2.%3.%4.%5.%6.%7."/>
      <w:lvlJc w:val="left"/>
      <w:pPr>
        <w:ind w:left="1296" w:hanging="1296"/>
      </w:pPr>
      <w:rPr>
        <w:rFonts w:hint="eastAsia"/>
      </w:rPr>
    </w:lvl>
    <w:lvl w:ilvl="7" w:tentative="0">
      <w:start w:val="1"/>
      <w:numFmt w:val="decimal"/>
      <w:pStyle w:val="9"/>
      <w:isLgl/>
      <w:lvlText w:val="%1.%2.%3.%4.%5.%6.%7.%8."/>
      <w:lvlJc w:val="left"/>
      <w:pPr>
        <w:ind w:left="1440" w:hanging="1440"/>
      </w:pPr>
      <w:rPr>
        <w:rFonts w:hint="eastAsia"/>
      </w:rPr>
    </w:lvl>
    <w:lvl w:ilvl="8" w:tentative="0">
      <w:start w:val="1"/>
      <w:numFmt w:val="decimal"/>
      <w:pStyle w:val="10"/>
      <w:isLgl/>
      <w:lvlText w:val="%1.%2.%3.%4.%5.%6.%7.%8.%9."/>
      <w:lvlJc w:val="left"/>
      <w:pPr>
        <w:ind w:left="1583" w:hanging="1583"/>
      </w:pPr>
      <w:rPr>
        <w:rFonts w:hint="eastAsia"/>
      </w:rPr>
    </w:lvl>
  </w:abstractNum>
  <w:abstractNum w:abstractNumId="4">
    <w:nsid w:val="9BF0B6F3"/>
    <w:multiLevelType w:val="singleLevel"/>
    <w:tmpl w:val="9BF0B6F3"/>
    <w:lvl w:ilvl="0" w:tentative="0">
      <w:start w:val="1"/>
      <w:numFmt w:val="decimal"/>
      <w:lvlText w:val="%1."/>
      <w:lvlJc w:val="left"/>
      <w:pPr>
        <w:ind w:left="425" w:hanging="425"/>
      </w:pPr>
      <w:rPr>
        <w:rFonts w:hint="default"/>
      </w:rPr>
    </w:lvl>
  </w:abstractNum>
  <w:abstractNum w:abstractNumId="5">
    <w:nsid w:val="A26EE80B"/>
    <w:multiLevelType w:val="multilevel"/>
    <w:tmpl w:val="A26EE80B"/>
    <w:lvl w:ilvl="0" w:tentative="0">
      <w:start w:val="1"/>
      <w:numFmt w:val="chineseCounting"/>
      <w:suff w:val="nothing"/>
      <w:lvlText w:val="第%1章 "/>
      <w:lvlJc w:val="left"/>
      <w:pPr>
        <w:ind w:left="432" w:hanging="432"/>
      </w:pPr>
      <w:rPr>
        <w:rFonts w:hint="eastAsia"/>
      </w:rPr>
    </w:lvl>
    <w:lvl w:ilvl="1" w:tentative="0">
      <w:start w:val="1"/>
      <w:numFmt w:val="decimal"/>
      <w:isLgl/>
      <w:lvlText w:val="%1.%2"/>
      <w:lvlJc w:val="left"/>
      <w:pPr>
        <w:ind w:left="575" w:hanging="575"/>
      </w:pPr>
      <w:rPr>
        <w:rFonts w:hint="eastAsia"/>
      </w:rPr>
    </w:lvl>
    <w:lvl w:ilvl="2" w:tentative="0">
      <w:start w:val="1"/>
      <w:numFmt w:val="decimal"/>
      <w:isLgl/>
      <w:suff w:val="space"/>
      <w:lvlText w:val="%1.%2.%3"/>
      <w:lvlJc w:val="left"/>
      <w:pPr>
        <w:ind w:left="720" w:hanging="720"/>
      </w:pPr>
      <w:rPr>
        <w:rFonts w:hint="eastAsia"/>
      </w:rPr>
    </w:lvl>
    <w:lvl w:ilvl="3" w:tentative="0">
      <w:start w:val="1"/>
      <w:numFmt w:val="decimal"/>
      <w:isLgl/>
      <w:lvlText w:val="%1.%2.%3.%4."/>
      <w:lvlJc w:val="left"/>
      <w:pPr>
        <w:ind w:left="864" w:hanging="864"/>
      </w:pPr>
      <w:rPr>
        <w:rFonts w:hint="eastAsia"/>
      </w:rPr>
    </w:lvl>
    <w:lvl w:ilvl="4" w:tentative="0">
      <w:start w:val="1"/>
      <w:numFmt w:val="decimal"/>
      <w:pStyle w:val="6"/>
      <w:isLgl/>
      <w:suff w:val="nothing"/>
      <w:lvlText w:val="%5、"/>
      <w:lvlJc w:val="left"/>
      <w:pPr>
        <w:ind w:left="1008" w:hanging="1008"/>
      </w:pPr>
      <w:rPr>
        <w:rFonts w:hint="eastAsia"/>
      </w:rPr>
    </w:lvl>
    <w:lvl w:ilvl="5" w:tentative="0">
      <w:start w:val="1"/>
      <w:numFmt w:val="decimal"/>
      <w:isLgl/>
      <w:lvlText w:val="%1.%2.%3.%4.%5.%6."/>
      <w:lvlJc w:val="left"/>
      <w:pPr>
        <w:ind w:left="1151" w:hanging="1151"/>
      </w:pPr>
      <w:rPr>
        <w:rFonts w:hint="eastAsia"/>
      </w:rPr>
    </w:lvl>
    <w:lvl w:ilvl="6" w:tentative="0">
      <w:start w:val="1"/>
      <w:numFmt w:val="decimal"/>
      <w:isLgl/>
      <w:lvlText w:val="%1.%2.%3.%4.%5.%6.%7."/>
      <w:lvlJc w:val="left"/>
      <w:pPr>
        <w:ind w:left="1296" w:hanging="1296"/>
      </w:pPr>
      <w:rPr>
        <w:rFonts w:hint="eastAsia"/>
      </w:rPr>
    </w:lvl>
    <w:lvl w:ilvl="7" w:tentative="0">
      <w:start w:val="1"/>
      <w:numFmt w:val="decimal"/>
      <w:isLgl/>
      <w:lvlText w:val="%1.%2.%3.%4.%5.%6.%7.%8."/>
      <w:lvlJc w:val="left"/>
      <w:pPr>
        <w:ind w:left="1440" w:hanging="1440"/>
      </w:pPr>
      <w:rPr>
        <w:rFonts w:hint="eastAsia"/>
      </w:rPr>
    </w:lvl>
    <w:lvl w:ilvl="8" w:tentative="0">
      <w:start w:val="1"/>
      <w:numFmt w:val="decimal"/>
      <w:isLgl/>
      <w:lvlText w:val="%1.%2.%3.%4.%5.%6.%7.%8.%9."/>
      <w:lvlJc w:val="left"/>
      <w:pPr>
        <w:ind w:left="1583" w:hanging="1583"/>
      </w:pPr>
      <w:rPr>
        <w:rFonts w:hint="eastAsia"/>
      </w:rPr>
    </w:lvl>
  </w:abstractNum>
  <w:abstractNum w:abstractNumId="6">
    <w:nsid w:val="A8D14CD8"/>
    <w:multiLevelType w:val="singleLevel"/>
    <w:tmpl w:val="A8D14CD8"/>
    <w:lvl w:ilvl="0" w:tentative="0">
      <w:start w:val="1"/>
      <w:numFmt w:val="decimal"/>
      <w:lvlText w:val="%1."/>
      <w:lvlJc w:val="left"/>
      <w:pPr>
        <w:ind w:left="425" w:hanging="425"/>
      </w:pPr>
      <w:rPr>
        <w:rFonts w:hint="default"/>
      </w:rPr>
    </w:lvl>
  </w:abstractNum>
  <w:abstractNum w:abstractNumId="7">
    <w:nsid w:val="B34B4218"/>
    <w:multiLevelType w:val="singleLevel"/>
    <w:tmpl w:val="B34B4218"/>
    <w:lvl w:ilvl="0" w:tentative="0">
      <w:start w:val="1"/>
      <w:numFmt w:val="decimal"/>
      <w:lvlText w:val="%1."/>
      <w:lvlJc w:val="left"/>
      <w:pPr>
        <w:ind w:left="425" w:hanging="425"/>
      </w:pPr>
      <w:rPr>
        <w:rFonts w:hint="default"/>
      </w:rPr>
    </w:lvl>
  </w:abstractNum>
  <w:abstractNum w:abstractNumId="8">
    <w:nsid w:val="C23982BB"/>
    <w:multiLevelType w:val="singleLevel"/>
    <w:tmpl w:val="C23982BB"/>
    <w:lvl w:ilvl="0" w:tentative="0">
      <w:start w:val="1"/>
      <w:numFmt w:val="decimal"/>
      <w:lvlText w:val="%1."/>
      <w:lvlJc w:val="left"/>
      <w:pPr>
        <w:ind w:left="425" w:hanging="425"/>
      </w:pPr>
      <w:rPr>
        <w:rFonts w:hint="default"/>
      </w:rPr>
    </w:lvl>
  </w:abstractNum>
  <w:abstractNum w:abstractNumId="9">
    <w:nsid w:val="C30526C8"/>
    <w:multiLevelType w:val="singleLevel"/>
    <w:tmpl w:val="C30526C8"/>
    <w:lvl w:ilvl="0" w:tentative="0">
      <w:start w:val="1"/>
      <w:numFmt w:val="decimal"/>
      <w:lvlText w:val="%1."/>
      <w:lvlJc w:val="left"/>
      <w:pPr>
        <w:ind w:left="425" w:hanging="425"/>
      </w:pPr>
      <w:rPr>
        <w:rFonts w:hint="default"/>
      </w:rPr>
    </w:lvl>
  </w:abstractNum>
  <w:abstractNum w:abstractNumId="10">
    <w:nsid w:val="CE7B29B6"/>
    <w:multiLevelType w:val="singleLevel"/>
    <w:tmpl w:val="CE7B29B6"/>
    <w:lvl w:ilvl="0" w:tentative="0">
      <w:start w:val="1"/>
      <w:numFmt w:val="decimal"/>
      <w:lvlText w:val="%1."/>
      <w:lvlJc w:val="left"/>
      <w:pPr>
        <w:ind w:left="425" w:hanging="425"/>
      </w:pPr>
      <w:rPr>
        <w:rFonts w:hint="default"/>
      </w:rPr>
    </w:lvl>
  </w:abstractNum>
  <w:abstractNum w:abstractNumId="11">
    <w:nsid w:val="D20C774F"/>
    <w:multiLevelType w:val="singleLevel"/>
    <w:tmpl w:val="D20C774F"/>
    <w:lvl w:ilvl="0" w:tentative="0">
      <w:start w:val="1"/>
      <w:numFmt w:val="decimal"/>
      <w:lvlText w:val="%1."/>
      <w:lvlJc w:val="left"/>
      <w:pPr>
        <w:ind w:left="425" w:hanging="425"/>
      </w:pPr>
      <w:rPr>
        <w:rFonts w:hint="default"/>
      </w:rPr>
    </w:lvl>
  </w:abstractNum>
  <w:abstractNum w:abstractNumId="12">
    <w:nsid w:val="DAC08048"/>
    <w:multiLevelType w:val="singleLevel"/>
    <w:tmpl w:val="DAC08048"/>
    <w:lvl w:ilvl="0" w:tentative="0">
      <w:start w:val="1"/>
      <w:numFmt w:val="decimal"/>
      <w:lvlText w:val="%1."/>
      <w:lvlJc w:val="left"/>
      <w:pPr>
        <w:ind w:left="425" w:hanging="425"/>
      </w:pPr>
      <w:rPr>
        <w:rFonts w:hint="default"/>
      </w:rPr>
    </w:lvl>
  </w:abstractNum>
  <w:abstractNum w:abstractNumId="13">
    <w:nsid w:val="EC436E78"/>
    <w:multiLevelType w:val="singleLevel"/>
    <w:tmpl w:val="EC436E78"/>
    <w:lvl w:ilvl="0" w:tentative="0">
      <w:start w:val="1"/>
      <w:numFmt w:val="decimal"/>
      <w:lvlText w:val="%1."/>
      <w:lvlJc w:val="left"/>
      <w:pPr>
        <w:ind w:left="425" w:hanging="425"/>
      </w:pPr>
      <w:rPr>
        <w:rFonts w:hint="default"/>
      </w:rPr>
    </w:lvl>
  </w:abstractNum>
  <w:abstractNum w:abstractNumId="14">
    <w:nsid w:val="F668F0DB"/>
    <w:multiLevelType w:val="singleLevel"/>
    <w:tmpl w:val="F668F0DB"/>
    <w:lvl w:ilvl="0" w:tentative="0">
      <w:start w:val="1"/>
      <w:numFmt w:val="decimal"/>
      <w:lvlText w:val="%1."/>
      <w:lvlJc w:val="left"/>
      <w:pPr>
        <w:ind w:left="425" w:hanging="425"/>
      </w:pPr>
      <w:rPr>
        <w:rFonts w:hint="default"/>
      </w:rPr>
    </w:lvl>
  </w:abstractNum>
  <w:abstractNum w:abstractNumId="15">
    <w:nsid w:val="F6D16128"/>
    <w:multiLevelType w:val="singleLevel"/>
    <w:tmpl w:val="F6D16128"/>
    <w:lvl w:ilvl="0" w:tentative="0">
      <w:start w:val="1"/>
      <w:numFmt w:val="decimal"/>
      <w:lvlText w:val="%1."/>
      <w:lvlJc w:val="left"/>
      <w:pPr>
        <w:ind w:left="425" w:hanging="425"/>
      </w:pPr>
      <w:rPr>
        <w:rFonts w:hint="default"/>
      </w:rPr>
    </w:lvl>
  </w:abstractNum>
  <w:abstractNum w:abstractNumId="16">
    <w:nsid w:val="00000003"/>
    <w:multiLevelType w:val="multilevel"/>
    <w:tmpl w:val="00000003"/>
    <w:lvl w:ilvl="0" w:tentative="0">
      <w:start w:val="1"/>
      <w:numFmt w:val="none"/>
      <w:pStyle w:val="262"/>
      <w:lvlText w:val="表"/>
      <w:lvlJc w:val="left"/>
      <w:pPr>
        <w:tabs>
          <w:tab w:val="left" w:pos="360"/>
        </w:tabs>
        <w:ind w:left="0" w:firstLine="0"/>
      </w:pPr>
      <w:rPr>
        <w:rFonts w:hint="eastAsia" w:ascii="黑体" w:eastAsia="黑体"/>
        <w:b w:val="0"/>
        <w:i w:val="0"/>
        <w:sz w:val="21"/>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7">
    <w:nsid w:val="00BC6A3B"/>
    <w:multiLevelType w:val="singleLevel"/>
    <w:tmpl w:val="00BC6A3B"/>
    <w:lvl w:ilvl="0" w:tentative="0">
      <w:start w:val="1"/>
      <w:numFmt w:val="decimal"/>
      <w:pStyle w:val="5"/>
      <w:lvlText w:val="%1."/>
      <w:lvlJc w:val="left"/>
      <w:pPr>
        <w:ind w:left="425" w:hanging="425"/>
      </w:pPr>
      <w:rPr>
        <w:rFonts w:hint="default"/>
      </w:rPr>
    </w:lvl>
  </w:abstractNum>
  <w:abstractNum w:abstractNumId="18">
    <w:nsid w:val="04E117DE"/>
    <w:multiLevelType w:val="singleLevel"/>
    <w:tmpl w:val="04E117DE"/>
    <w:lvl w:ilvl="0" w:tentative="0">
      <w:start w:val="1"/>
      <w:numFmt w:val="decimal"/>
      <w:lvlText w:val="%1."/>
      <w:lvlJc w:val="left"/>
      <w:pPr>
        <w:ind w:left="425" w:hanging="425"/>
      </w:pPr>
      <w:rPr>
        <w:rFonts w:hint="default"/>
      </w:rPr>
    </w:lvl>
  </w:abstractNum>
  <w:abstractNum w:abstractNumId="19">
    <w:nsid w:val="103A51D5"/>
    <w:multiLevelType w:val="singleLevel"/>
    <w:tmpl w:val="103A51D5"/>
    <w:lvl w:ilvl="0" w:tentative="0">
      <w:start w:val="1"/>
      <w:numFmt w:val="decimal"/>
      <w:lvlText w:val="%1."/>
      <w:lvlJc w:val="left"/>
      <w:pPr>
        <w:ind w:left="425" w:hanging="425"/>
      </w:pPr>
      <w:rPr>
        <w:rFonts w:hint="default"/>
      </w:rPr>
    </w:lvl>
  </w:abstractNum>
  <w:abstractNum w:abstractNumId="20">
    <w:nsid w:val="20EF285B"/>
    <w:multiLevelType w:val="singleLevel"/>
    <w:tmpl w:val="20EF285B"/>
    <w:lvl w:ilvl="0" w:tentative="0">
      <w:start w:val="1"/>
      <w:numFmt w:val="decimal"/>
      <w:lvlText w:val="%1."/>
      <w:lvlJc w:val="left"/>
      <w:pPr>
        <w:ind w:left="425" w:hanging="425"/>
      </w:pPr>
      <w:rPr>
        <w:rFonts w:hint="default"/>
      </w:rPr>
    </w:lvl>
  </w:abstractNum>
  <w:abstractNum w:abstractNumId="21">
    <w:nsid w:val="291EDAEA"/>
    <w:multiLevelType w:val="singleLevel"/>
    <w:tmpl w:val="291EDAEA"/>
    <w:lvl w:ilvl="0" w:tentative="0">
      <w:start w:val="1"/>
      <w:numFmt w:val="decimal"/>
      <w:lvlText w:val="%1."/>
      <w:lvlJc w:val="left"/>
      <w:pPr>
        <w:ind w:left="425" w:hanging="425"/>
      </w:pPr>
      <w:rPr>
        <w:rFonts w:hint="default"/>
      </w:rPr>
    </w:lvl>
  </w:abstractNum>
  <w:abstractNum w:abstractNumId="22">
    <w:nsid w:val="2BF91B1E"/>
    <w:multiLevelType w:val="singleLevel"/>
    <w:tmpl w:val="2BF91B1E"/>
    <w:lvl w:ilvl="0" w:tentative="0">
      <w:start w:val="1"/>
      <w:numFmt w:val="decimal"/>
      <w:lvlText w:val="%1."/>
      <w:lvlJc w:val="left"/>
      <w:pPr>
        <w:ind w:left="425" w:hanging="425"/>
      </w:pPr>
      <w:rPr>
        <w:rFonts w:hint="default"/>
      </w:rPr>
    </w:lvl>
  </w:abstractNum>
  <w:abstractNum w:abstractNumId="23">
    <w:nsid w:val="301AA648"/>
    <w:multiLevelType w:val="singleLevel"/>
    <w:tmpl w:val="301AA648"/>
    <w:lvl w:ilvl="0" w:tentative="0">
      <w:start w:val="1"/>
      <w:numFmt w:val="decimal"/>
      <w:lvlText w:val="%1."/>
      <w:lvlJc w:val="left"/>
      <w:pPr>
        <w:ind w:left="425" w:hanging="425"/>
      </w:pPr>
      <w:rPr>
        <w:rFonts w:hint="default"/>
      </w:rPr>
    </w:lvl>
  </w:abstractNum>
  <w:abstractNum w:abstractNumId="24">
    <w:nsid w:val="31FD024A"/>
    <w:multiLevelType w:val="singleLevel"/>
    <w:tmpl w:val="31FD024A"/>
    <w:lvl w:ilvl="0" w:tentative="0">
      <w:start w:val="1"/>
      <w:numFmt w:val="decimal"/>
      <w:lvlText w:val="%1."/>
      <w:lvlJc w:val="left"/>
      <w:pPr>
        <w:ind w:left="425" w:hanging="425"/>
      </w:pPr>
      <w:rPr>
        <w:rFonts w:hint="default"/>
      </w:rPr>
    </w:lvl>
  </w:abstractNum>
  <w:abstractNum w:abstractNumId="25">
    <w:nsid w:val="3566E634"/>
    <w:multiLevelType w:val="singleLevel"/>
    <w:tmpl w:val="3566E634"/>
    <w:lvl w:ilvl="0" w:tentative="0">
      <w:start w:val="1"/>
      <w:numFmt w:val="decimal"/>
      <w:lvlText w:val="%1."/>
      <w:lvlJc w:val="left"/>
      <w:pPr>
        <w:ind w:left="425" w:hanging="425"/>
      </w:pPr>
      <w:rPr>
        <w:rFonts w:hint="default"/>
      </w:rPr>
    </w:lvl>
  </w:abstractNum>
  <w:abstractNum w:abstractNumId="26">
    <w:nsid w:val="385DFD45"/>
    <w:multiLevelType w:val="singleLevel"/>
    <w:tmpl w:val="385DFD45"/>
    <w:lvl w:ilvl="0" w:tentative="0">
      <w:start w:val="1"/>
      <w:numFmt w:val="decimal"/>
      <w:lvlText w:val="%1."/>
      <w:lvlJc w:val="left"/>
      <w:pPr>
        <w:ind w:left="425" w:hanging="425"/>
      </w:pPr>
      <w:rPr>
        <w:rFonts w:hint="default"/>
      </w:rPr>
    </w:lvl>
  </w:abstractNum>
  <w:abstractNum w:abstractNumId="27">
    <w:nsid w:val="3EE95C54"/>
    <w:multiLevelType w:val="singleLevel"/>
    <w:tmpl w:val="3EE95C54"/>
    <w:lvl w:ilvl="0" w:tentative="0">
      <w:start w:val="1"/>
      <w:numFmt w:val="decimal"/>
      <w:lvlText w:val="%1."/>
      <w:lvlJc w:val="left"/>
      <w:pPr>
        <w:ind w:left="425" w:hanging="425"/>
      </w:pPr>
      <w:rPr>
        <w:rFonts w:hint="default"/>
      </w:rPr>
    </w:lvl>
  </w:abstractNum>
  <w:abstractNum w:abstractNumId="28">
    <w:nsid w:val="4012CD5D"/>
    <w:multiLevelType w:val="singleLevel"/>
    <w:tmpl w:val="4012CD5D"/>
    <w:lvl w:ilvl="0" w:tentative="0">
      <w:start w:val="1"/>
      <w:numFmt w:val="decimal"/>
      <w:lvlText w:val="%1."/>
      <w:lvlJc w:val="left"/>
      <w:pPr>
        <w:ind w:left="425" w:hanging="425"/>
      </w:pPr>
      <w:rPr>
        <w:rFonts w:hint="default"/>
      </w:rPr>
    </w:lvl>
  </w:abstractNum>
  <w:abstractNum w:abstractNumId="29">
    <w:nsid w:val="41CDC664"/>
    <w:multiLevelType w:val="multilevel"/>
    <w:tmpl w:val="41CDC664"/>
    <w:lvl w:ilvl="0" w:tentative="0">
      <w:start w:val="1"/>
      <w:numFmt w:val="chineseCounting"/>
      <w:suff w:val="nothing"/>
      <w:lvlText w:val="第%1章 "/>
      <w:lvlJc w:val="left"/>
      <w:pPr>
        <w:ind w:left="432" w:hanging="432"/>
      </w:pPr>
      <w:rPr>
        <w:rFonts w:hint="eastAsia"/>
      </w:rPr>
    </w:lvl>
    <w:lvl w:ilvl="1" w:tentative="0">
      <w:start w:val="1"/>
      <w:numFmt w:val="decimal"/>
      <w:isLgl/>
      <w:lvlText w:val="%1.%2"/>
      <w:lvlJc w:val="left"/>
      <w:pPr>
        <w:ind w:left="575" w:hanging="575"/>
      </w:pPr>
      <w:rPr>
        <w:rFonts w:hint="eastAsia"/>
      </w:rPr>
    </w:lvl>
    <w:lvl w:ilvl="2" w:tentative="0">
      <w:start w:val="1"/>
      <w:numFmt w:val="decimal"/>
      <w:isLgl/>
      <w:suff w:val="space"/>
      <w:lvlText w:val="%1.%2.%3"/>
      <w:lvlJc w:val="left"/>
      <w:pPr>
        <w:ind w:left="720" w:hanging="720"/>
      </w:pPr>
      <w:rPr>
        <w:rFonts w:hint="eastAsia"/>
      </w:rPr>
    </w:lvl>
    <w:lvl w:ilvl="3" w:tentative="0">
      <w:start w:val="1"/>
      <w:numFmt w:val="decimal"/>
      <w:isLgl/>
      <w:lvlText w:val="%1.%2.%3.%4."/>
      <w:lvlJc w:val="left"/>
      <w:pPr>
        <w:ind w:left="864" w:hanging="864"/>
      </w:pPr>
      <w:rPr>
        <w:rFonts w:hint="eastAsia"/>
      </w:rPr>
    </w:lvl>
    <w:lvl w:ilvl="4" w:tentative="0">
      <w:start w:val="1"/>
      <w:numFmt w:val="decimal"/>
      <w:isLgl/>
      <w:lvlText w:val="%5、"/>
      <w:lvlJc w:val="left"/>
      <w:pPr>
        <w:ind w:left="1008" w:hanging="1008"/>
      </w:pPr>
      <w:rPr>
        <w:rFonts w:hint="eastAsia"/>
      </w:rPr>
    </w:lvl>
    <w:lvl w:ilvl="5" w:tentative="0">
      <w:start w:val="1"/>
      <w:numFmt w:val="decimal"/>
      <w:isLgl/>
      <w:lvlText w:val="%1.%2.%3.%4.%5.%6."/>
      <w:lvlJc w:val="left"/>
      <w:pPr>
        <w:ind w:left="1151" w:hanging="1151"/>
      </w:pPr>
      <w:rPr>
        <w:rFonts w:hint="eastAsia"/>
      </w:rPr>
    </w:lvl>
    <w:lvl w:ilvl="6" w:tentative="0">
      <w:start w:val="1"/>
      <w:numFmt w:val="decimal"/>
      <w:isLgl/>
      <w:lvlText w:val="%1.%2.%3.%4.%5.%6.%7."/>
      <w:lvlJc w:val="left"/>
      <w:pPr>
        <w:ind w:left="1296" w:hanging="1296"/>
      </w:pPr>
      <w:rPr>
        <w:rFonts w:hint="eastAsia"/>
      </w:rPr>
    </w:lvl>
    <w:lvl w:ilvl="7" w:tentative="0">
      <w:start w:val="1"/>
      <w:numFmt w:val="decimal"/>
      <w:isLgl/>
      <w:lvlText w:val="%1.%2.%3.%4.%5.%6.%7.%8."/>
      <w:lvlJc w:val="left"/>
      <w:pPr>
        <w:ind w:left="1440" w:hanging="1440"/>
      </w:pPr>
      <w:rPr>
        <w:rFonts w:hint="eastAsia"/>
      </w:rPr>
    </w:lvl>
    <w:lvl w:ilvl="8" w:tentative="0">
      <w:start w:val="1"/>
      <w:numFmt w:val="decimal"/>
      <w:isLgl/>
      <w:lvlText w:val="%1.%2.%3.%4.%5.%6.%7.%8.%9."/>
      <w:lvlJc w:val="left"/>
      <w:pPr>
        <w:ind w:left="1583" w:hanging="1583"/>
      </w:pPr>
      <w:rPr>
        <w:rFonts w:hint="eastAsia"/>
      </w:rPr>
    </w:lvl>
  </w:abstractNum>
  <w:abstractNum w:abstractNumId="30">
    <w:nsid w:val="53224D47"/>
    <w:multiLevelType w:val="singleLevel"/>
    <w:tmpl w:val="53224D47"/>
    <w:lvl w:ilvl="0" w:tentative="0">
      <w:start w:val="1"/>
      <w:numFmt w:val="decimal"/>
      <w:lvlText w:val="%1."/>
      <w:lvlJc w:val="left"/>
      <w:pPr>
        <w:ind w:left="425" w:hanging="425"/>
      </w:pPr>
      <w:rPr>
        <w:rFonts w:hint="default"/>
      </w:rPr>
    </w:lvl>
  </w:abstractNum>
  <w:abstractNum w:abstractNumId="31">
    <w:nsid w:val="65B5454E"/>
    <w:multiLevelType w:val="singleLevel"/>
    <w:tmpl w:val="65B5454E"/>
    <w:lvl w:ilvl="0" w:tentative="0">
      <w:start w:val="1"/>
      <w:numFmt w:val="decimal"/>
      <w:lvlText w:val="%1."/>
      <w:lvlJc w:val="left"/>
      <w:pPr>
        <w:ind w:left="425" w:hanging="425"/>
      </w:pPr>
      <w:rPr>
        <w:rFonts w:hint="default"/>
      </w:rPr>
    </w:lvl>
  </w:abstractNum>
  <w:abstractNum w:abstractNumId="32">
    <w:nsid w:val="6D651906"/>
    <w:multiLevelType w:val="singleLevel"/>
    <w:tmpl w:val="6D651906"/>
    <w:lvl w:ilvl="0" w:tentative="0">
      <w:start w:val="1"/>
      <w:numFmt w:val="decimal"/>
      <w:lvlText w:val="%1."/>
      <w:lvlJc w:val="left"/>
      <w:pPr>
        <w:ind w:left="425" w:hanging="425"/>
      </w:pPr>
      <w:rPr>
        <w:rFonts w:hint="default"/>
      </w:rPr>
    </w:lvl>
  </w:abstractNum>
  <w:abstractNum w:abstractNumId="33">
    <w:nsid w:val="6E269E7E"/>
    <w:multiLevelType w:val="singleLevel"/>
    <w:tmpl w:val="6E269E7E"/>
    <w:lvl w:ilvl="0" w:tentative="0">
      <w:start w:val="1"/>
      <w:numFmt w:val="decimal"/>
      <w:lvlText w:val="%1."/>
      <w:lvlJc w:val="left"/>
      <w:pPr>
        <w:tabs>
          <w:tab w:val="left" w:pos="312"/>
        </w:tabs>
      </w:pPr>
    </w:lvl>
  </w:abstractNum>
  <w:abstractNum w:abstractNumId="34">
    <w:nsid w:val="6E5C2221"/>
    <w:multiLevelType w:val="singleLevel"/>
    <w:tmpl w:val="6E5C2221"/>
    <w:lvl w:ilvl="0" w:tentative="0">
      <w:start w:val="1"/>
      <w:numFmt w:val="decimal"/>
      <w:lvlText w:val="%1."/>
      <w:lvlJc w:val="left"/>
      <w:pPr>
        <w:ind w:left="425" w:hanging="425"/>
      </w:pPr>
      <w:rPr>
        <w:rFonts w:hint="default"/>
      </w:rPr>
    </w:lvl>
  </w:abstractNum>
  <w:abstractNum w:abstractNumId="35">
    <w:nsid w:val="6F2EB9AB"/>
    <w:multiLevelType w:val="singleLevel"/>
    <w:tmpl w:val="6F2EB9AB"/>
    <w:lvl w:ilvl="0" w:tentative="0">
      <w:start w:val="1"/>
      <w:numFmt w:val="decimal"/>
      <w:lvlText w:val="%1."/>
      <w:lvlJc w:val="left"/>
      <w:pPr>
        <w:ind w:left="425" w:hanging="425"/>
      </w:pPr>
      <w:rPr>
        <w:rFonts w:hint="default"/>
      </w:rPr>
    </w:lvl>
  </w:abstractNum>
  <w:abstractNum w:abstractNumId="36">
    <w:nsid w:val="6FD78EC6"/>
    <w:multiLevelType w:val="singleLevel"/>
    <w:tmpl w:val="6FD78EC6"/>
    <w:lvl w:ilvl="0" w:tentative="0">
      <w:start w:val="1"/>
      <w:numFmt w:val="decimal"/>
      <w:lvlText w:val="%1."/>
      <w:lvlJc w:val="left"/>
      <w:pPr>
        <w:ind w:left="425" w:hanging="425"/>
      </w:pPr>
      <w:rPr>
        <w:rFonts w:hint="default"/>
      </w:rPr>
    </w:lvl>
  </w:abstractNum>
  <w:abstractNum w:abstractNumId="37">
    <w:nsid w:val="72AE532A"/>
    <w:multiLevelType w:val="singleLevel"/>
    <w:tmpl w:val="72AE532A"/>
    <w:lvl w:ilvl="0" w:tentative="0">
      <w:start w:val="1"/>
      <w:numFmt w:val="decimal"/>
      <w:lvlText w:val="%1."/>
      <w:lvlJc w:val="left"/>
      <w:pPr>
        <w:ind w:left="425" w:hanging="425"/>
      </w:pPr>
      <w:rPr>
        <w:rFonts w:hint="default"/>
      </w:rPr>
    </w:lvl>
  </w:abstractNum>
  <w:abstractNum w:abstractNumId="38">
    <w:nsid w:val="7E138EDA"/>
    <w:multiLevelType w:val="singleLevel"/>
    <w:tmpl w:val="7E138EDA"/>
    <w:lvl w:ilvl="0" w:tentative="0">
      <w:start w:val="1"/>
      <w:numFmt w:val="decimal"/>
      <w:lvlText w:val="%1."/>
      <w:lvlJc w:val="left"/>
      <w:pPr>
        <w:ind w:left="425" w:hanging="425"/>
      </w:pPr>
      <w:rPr>
        <w:rFonts w:hint="default"/>
      </w:rPr>
    </w:lvl>
  </w:abstractNum>
  <w:num w:numId="1">
    <w:abstractNumId w:val="3"/>
  </w:num>
  <w:num w:numId="2">
    <w:abstractNumId w:val="17"/>
  </w:num>
  <w:num w:numId="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6"/>
  </w:num>
  <w:num w:numId="5">
    <w:abstractNumId w:val="29"/>
  </w:num>
  <w:num w:numId="6">
    <w:abstractNumId w:val="17"/>
    <w:lvlOverride w:ilvl="0">
      <w:startOverride w:val="1"/>
    </w:lvlOverride>
  </w:num>
  <w:num w:numId="7">
    <w:abstractNumId w:val="17"/>
    <w:lvlOverride w:ilvl="0">
      <w:startOverride w:val="1"/>
    </w:lvlOverride>
  </w:num>
  <w:num w:numId="8">
    <w:abstractNumId w:val="17"/>
    <w:lvlOverride w:ilvl="0">
      <w:startOverride w:val="1"/>
    </w:lvlOverride>
  </w:num>
  <w:num w:numId="9">
    <w:abstractNumId w:val="17"/>
    <w:lvlOverride w:ilvl="0">
      <w:startOverride w:val="1"/>
    </w:lvlOverride>
  </w:num>
  <w:num w:numId="10">
    <w:abstractNumId w:val="17"/>
    <w:lvlOverride w:ilvl="0">
      <w:startOverride w:val="1"/>
    </w:lvlOverride>
  </w:num>
  <w:num w:numId="11">
    <w:abstractNumId w:val="31"/>
  </w:num>
  <w:num w:numId="12">
    <w:abstractNumId w:val="18"/>
  </w:num>
  <w:num w:numId="13">
    <w:abstractNumId w:val="14"/>
  </w:num>
  <w:num w:numId="14">
    <w:abstractNumId w:val="10"/>
  </w:num>
  <w:num w:numId="15">
    <w:abstractNumId w:val="19"/>
  </w:num>
  <w:num w:numId="16">
    <w:abstractNumId w:val="21"/>
  </w:num>
  <w:num w:numId="17">
    <w:abstractNumId w:val="24"/>
  </w:num>
  <w:num w:numId="18">
    <w:abstractNumId w:val="34"/>
  </w:num>
  <w:num w:numId="19">
    <w:abstractNumId w:val="17"/>
    <w:lvlOverride w:ilvl="0">
      <w:startOverride w:val="1"/>
    </w:lvlOverride>
  </w:num>
  <w:num w:numId="20">
    <w:abstractNumId w:val="17"/>
    <w:lvlOverride w:ilvl="0">
      <w:startOverride w:val="1"/>
    </w:lvlOverride>
  </w:num>
  <w:num w:numId="21">
    <w:abstractNumId w:val="35"/>
  </w:num>
  <w:num w:numId="22">
    <w:abstractNumId w:val="32"/>
  </w:num>
  <w:num w:numId="23">
    <w:abstractNumId w:val="4"/>
  </w:num>
  <w:num w:numId="24">
    <w:abstractNumId w:val="28"/>
  </w:num>
  <w:num w:numId="25">
    <w:abstractNumId w:val="1"/>
  </w:num>
  <w:num w:numId="26">
    <w:abstractNumId w:val="8"/>
  </w:num>
  <w:num w:numId="27">
    <w:abstractNumId w:val="7"/>
  </w:num>
  <w:num w:numId="28">
    <w:abstractNumId w:val="12"/>
  </w:num>
  <w:num w:numId="29">
    <w:abstractNumId w:val="11"/>
  </w:num>
  <w:num w:numId="30">
    <w:abstractNumId w:val="30"/>
  </w:num>
  <w:num w:numId="31">
    <w:abstractNumId w:val="15"/>
  </w:num>
  <w:num w:numId="32">
    <w:abstractNumId w:val="13"/>
  </w:num>
  <w:num w:numId="33">
    <w:abstractNumId w:val="27"/>
  </w:num>
  <w:num w:numId="34">
    <w:abstractNumId w:val="38"/>
  </w:num>
  <w:num w:numId="35">
    <w:abstractNumId w:val="2"/>
  </w:num>
  <w:num w:numId="36">
    <w:abstractNumId w:val="36"/>
  </w:num>
  <w:num w:numId="37">
    <w:abstractNumId w:val="33"/>
  </w:num>
  <w:num w:numId="38">
    <w:abstractNumId w:val="25"/>
  </w:num>
  <w:num w:numId="39">
    <w:abstractNumId w:val="22"/>
  </w:num>
  <w:num w:numId="40">
    <w:abstractNumId w:val="26"/>
  </w:num>
  <w:num w:numId="41">
    <w:abstractNumId w:val="20"/>
  </w:num>
  <w:num w:numId="42">
    <w:abstractNumId w:val="9"/>
  </w:num>
  <w:num w:numId="43">
    <w:abstractNumId w:val="37"/>
  </w:num>
  <w:num w:numId="44">
    <w:abstractNumId w:val="6"/>
  </w:num>
  <w:num w:numId="45">
    <w:abstractNumId w:val="0"/>
  </w:num>
  <w:num w:numId="46">
    <w:abstractNumId w:val="23"/>
  </w:num>
  <w:num w:numId="47">
    <w:abstractNumId w:val="17"/>
    <w:lvlOverride w:ilvl="0">
      <w:startOverride w:val="1"/>
    </w:lvlOverride>
  </w:num>
  <w:num w:numId="48">
    <w:abstractNumId w:val="17"/>
    <w:lvlOverride w:ilvl="0">
      <w:startOverride w:val="1"/>
    </w:lvlOverride>
  </w:num>
  <w:num w:numId="49">
    <w:abstractNumId w:val="17"/>
    <w:lvlOverride w:ilvl="0">
      <w:startOverride w:val="1"/>
    </w:lvlOverride>
  </w:num>
  <w:num w:numId="50">
    <w:abstractNumId w:val="17"/>
    <w:lvlOverride w:ilvl="0">
      <w:startOverride w:val="1"/>
    </w:lvlOverride>
  </w:num>
  <w:num w:numId="51">
    <w:abstractNumId w:val="17"/>
    <w:lvlOverride w:ilvl="0">
      <w:startOverride w:val="1"/>
    </w:lvlOverride>
  </w:num>
  <w:num w:numId="52">
    <w:abstractNumId w:val="1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bordersDoNotSurroundHeader w:val="0"/>
  <w:bordersDoNotSurroundFooter w:val="0"/>
  <w:hideSpellingErrors/>
  <w:hideGrammaticalErrors/>
  <w:documentProtection w:enforcement="0"/>
  <w:defaultTabStop w:val="420"/>
  <w:displayHorizontalDrawingGridEvery w:val="1"/>
  <w:displayVerticalDrawingGridEvery w:val="1"/>
  <w:noPunctuationKerning w:val="1"/>
  <w:characterSpacingControl w:val="doNotCompress"/>
  <w:noLineBreaksAfter w:lang="zh-CN" w:val="([{·‘“〈《「『【〔〖（．［｛￡￥"/>
  <w:noLineBreaksBefore w:lang="zh-CN" w:val="!),.:;?]}¨°·ˇˉ―‖’”…‰∶、。〃々〉》」』】〕〗！＂＇），．：；？］｀｜｝～￠"/>
  <w:footnotePr>
    <w:numFmt w:val="decimalEnclosedCircleChinese"/>
    <w:numRestart w:val="eachPage"/>
    <w:footnote w:id="0"/>
    <w:footnote w:id="1"/>
  </w:footnotePr>
  <w:endnotePr>
    <w:numFmt w:val="decimal"/>
    <w:endnote w:id="0"/>
    <w:endnote w:id="1"/>
  </w:endnotePr>
  <w:compat>
    <w:balanceSingleByteDoubleByteWidth/>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A1NTYyYjU4ODg1MTAwNTY0OTZmYmM0MjdlYmY5NTUifQ=="/>
  </w:docVars>
  <w:rsids>
    <w:rsidRoot w:val="00172A27"/>
    <w:rsid w:val="0000008C"/>
    <w:rsid w:val="00000240"/>
    <w:rsid w:val="000002A0"/>
    <w:rsid w:val="000002CF"/>
    <w:rsid w:val="000002DB"/>
    <w:rsid w:val="000007F6"/>
    <w:rsid w:val="000008A8"/>
    <w:rsid w:val="000008C3"/>
    <w:rsid w:val="000008EE"/>
    <w:rsid w:val="00000AA4"/>
    <w:rsid w:val="00000E2B"/>
    <w:rsid w:val="00001089"/>
    <w:rsid w:val="000011C6"/>
    <w:rsid w:val="000014E2"/>
    <w:rsid w:val="0000191D"/>
    <w:rsid w:val="00001D9A"/>
    <w:rsid w:val="00001E04"/>
    <w:rsid w:val="00001E0E"/>
    <w:rsid w:val="0000215D"/>
    <w:rsid w:val="00002417"/>
    <w:rsid w:val="000027D8"/>
    <w:rsid w:val="00002B42"/>
    <w:rsid w:val="0000376B"/>
    <w:rsid w:val="0000445B"/>
    <w:rsid w:val="000044D3"/>
    <w:rsid w:val="000046A7"/>
    <w:rsid w:val="000046F7"/>
    <w:rsid w:val="000048A1"/>
    <w:rsid w:val="00004EA2"/>
    <w:rsid w:val="000050F2"/>
    <w:rsid w:val="000051D3"/>
    <w:rsid w:val="00005458"/>
    <w:rsid w:val="00005693"/>
    <w:rsid w:val="0000569E"/>
    <w:rsid w:val="00005761"/>
    <w:rsid w:val="000059DF"/>
    <w:rsid w:val="00005A7F"/>
    <w:rsid w:val="00005BD9"/>
    <w:rsid w:val="000065C2"/>
    <w:rsid w:val="0000685D"/>
    <w:rsid w:val="000071E2"/>
    <w:rsid w:val="0000741D"/>
    <w:rsid w:val="000075CC"/>
    <w:rsid w:val="0000774D"/>
    <w:rsid w:val="00007C61"/>
    <w:rsid w:val="00007CFA"/>
    <w:rsid w:val="00010166"/>
    <w:rsid w:val="000103B9"/>
    <w:rsid w:val="0001069D"/>
    <w:rsid w:val="00010740"/>
    <w:rsid w:val="00010B07"/>
    <w:rsid w:val="00010B59"/>
    <w:rsid w:val="00010C73"/>
    <w:rsid w:val="00010C9C"/>
    <w:rsid w:val="00010D55"/>
    <w:rsid w:val="00010F77"/>
    <w:rsid w:val="0001149C"/>
    <w:rsid w:val="000119C1"/>
    <w:rsid w:val="00011D06"/>
    <w:rsid w:val="00011EE0"/>
    <w:rsid w:val="00011EE1"/>
    <w:rsid w:val="00011F23"/>
    <w:rsid w:val="000128DD"/>
    <w:rsid w:val="000129FC"/>
    <w:rsid w:val="00012DD6"/>
    <w:rsid w:val="00012E6E"/>
    <w:rsid w:val="0001331F"/>
    <w:rsid w:val="00013493"/>
    <w:rsid w:val="000137F9"/>
    <w:rsid w:val="00013B34"/>
    <w:rsid w:val="00013BF9"/>
    <w:rsid w:val="0001414F"/>
    <w:rsid w:val="0001453C"/>
    <w:rsid w:val="0001454D"/>
    <w:rsid w:val="00014DD5"/>
    <w:rsid w:val="00014FA8"/>
    <w:rsid w:val="0001551E"/>
    <w:rsid w:val="0001557D"/>
    <w:rsid w:val="00015A68"/>
    <w:rsid w:val="00015B3F"/>
    <w:rsid w:val="000161B2"/>
    <w:rsid w:val="000161DC"/>
    <w:rsid w:val="000164E9"/>
    <w:rsid w:val="00016746"/>
    <w:rsid w:val="00016999"/>
    <w:rsid w:val="000169D6"/>
    <w:rsid w:val="00016B15"/>
    <w:rsid w:val="00016D0E"/>
    <w:rsid w:val="00016D69"/>
    <w:rsid w:val="00016D7A"/>
    <w:rsid w:val="00016E71"/>
    <w:rsid w:val="00016E87"/>
    <w:rsid w:val="00017629"/>
    <w:rsid w:val="00017703"/>
    <w:rsid w:val="00017708"/>
    <w:rsid w:val="00017801"/>
    <w:rsid w:val="00017A78"/>
    <w:rsid w:val="00017C55"/>
    <w:rsid w:val="00017CA8"/>
    <w:rsid w:val="00017DD6"/>
    <w:rsid w:val="000200E2"/>
    <w:rsid w:val="0002014E"/>
    <w:rsid w:val="0002052D"/>
    <w:rsid w:val="00020609"/>
    <w:rsid w:val="00020725"/>
    <w:rsid w:val="00020A21"/>
    <w:rsid w:val="00020F0C"/>
    <w:rsid w:val="000211B2"/>
    <w:rsid w:val="000215C0"/>
    <w:rsid w:val="000216A7"/>
    <w:rsid w:val="000217DA"/>
    <w:rsid w:val="00021821"/>
    <w:rsid w:val="0002184F"/>
    <w:rsid w:val="00021ABA"/>
    <w:rsid w:val="00021BA3"/>
    <w:rsid w:val="00021CD1"/>
    <w:rsid w:val="00021F9A"/>
    <w:rsid w:val="00022150"/>
    <w:rsid w:val="0002219D"/>
    <w:rsid w:val="000222D7"/>
    <w:rsid w:val="0002233C"/>
    <w:rsid w:val="00022750"/>
    <w:rsid w:val="00022A93"/>
    <w:rsid w:val="00022C3B"/>
    <w:rsid w:val="00022D35"/>
    <w:rsid w:val="00023672"/>
    <w:rsid w:val="00023694"/>
    <w:rsid w:val="00023AAC"/>
    <w:rsid w:val="00023CA9"/>
    <w:rsid w:val="00023EF2"/>
    <w:rsid w:val="00024144"/>
    <w:rsid w:val="0002441C"/>
    <w:rsid w:val="0002445B"/>
    <w:rsid w:val="00024579"/>
    <w:rsid w:val="00024A82"/>
    <w:rsid w:val="00024B24"/>
    <w:rsid w:val="00024E61"/>
    <w:rsid w:val="00024FDE"/>
    <w:rsid w:val="000250B9"/>
    <w:rsid w:val="0002515B"/>
    <w:rsid w:val="000252F4"/>
    <w:rsid w:val="00025492"/>
    <w:rsid w:val="00025507"/>
    <w:rsid w:val="000257F7"/>
    <w:rsid w:val="00025A9E"/>
    <w:rsid w:val="00025DDB"/>
    <w:rsid w:val="00026140"/>
    <w:rsid w:val="00026B66"/>
    <w:rsid w:val="00026CA8"/>
    <w:rsid w:val="00026CC0"/>
    <w:rsid w:val="00026DFF"/>
    <w:rsid w:val="00026E9A"/>
    <w:rsid w:val="00027238"/>
    <w:rsid w:val="0002728B"/>
    <w:rsid w:val="000274E5"/>
    <w:rsid w:val="00027881"/>
    <w:rsid w:val="000279C9"/>
    <w:rsid w:val="00027DBE"/>
    <w:rsid w:val="00027EDC"/>
    <w:rsid w:val="000300C2"/>
    <w:rsid w:val="00030289"/>
    <w:rsid w:val="0003056F"/>
    <w:rsid w:val="000305E1"/>
    <w:rsid w:val="0003061A"/>
    <w:rsid w:val="00030721"/>
    <w:rsid w:val="0003079A"/>
    <w:rsid w:val="00030A80"/>
    <w:rsid w:val="00030DDF"/>
    <w:rsid w:val="00030E79"/>
    <w:rsid w:val="0003149E"/>
    <w:rsid w:val="000314D5"/>
    <w:rsid w:val="000315A7"/>
    <w:rsid w:val="00032492"/>
    <w:rsid w:val="00032A04"/>
    <w:rsid w:val="00032D26"/>
    <w:rsid w:val="00032D9E"/>
    <w:rsid w:val="00032EB2"/>
    <w:rsid w:val="0003355D"/>
    <w:rsid w:val="00033666"/>
    <w:rsid w:val="0003372B"/>
    <w:rsid w:val="00033927"/>
    <w:rsid w:val="00033C86"/>
    <w:rsid w:val="00033CB7"/>
    <w:rsid w:val="00033ED0"/>
    <w:rsid w:val="0003418A"/>
    <w:rsid w:val="000344FF"/>
    <w:rsid w:val="00034542"/>
    <w:rsid w:val="0003459E"/>
    <w:rsid w:val="0003497B"/>
    <w:rsid w:val="00034B79"/>
    <w:rsid w:val="00034B88"/>
    <w:rsid w:val="00034CF5"/>
    <w:rsid w:val="00034FB4"/>
    <w:rsid w:val="000351EB"/>
    <w:rsid w:val="0003524D"/>
    <w:rsid w:val="000355F7"/>
    <w:rsid w:val="00035687"/>
    <w:rsid w:val="000356D6"/>
    <w:rsid w:val="0003579A"/>
    <w:rsid w:val="00035849"/>
    <w:rsid w:val="00035A2D"/>
    <w:rsid w:val="00035E84"/>
    <w:rsid w:val="00035F88"/>
    <w:rsid w:val="00036034"/>
    <w:rsid w:val="000362EB"/>
    <w:rsid w:val="00036499"/>
    <w:rsid w:val="0003669E"/>
    <w:rsid w:val="00036839"/>
    <w:rsid w:val="00036BEB"/>
    <w:rsid w:val="00037004"/>
    <w:rsid w:val="0003750E"/>
    <w:rsid w:val="0003770E"/>
    <w:rsid w:val="00037847"/>
    <w:rsid w:val="00037B0D"/>
    <w:rsid w:val="00037B41"/>
    <w:rsid w:val="00037C82"/>
    <w:rsid w:val="00037F0E"/>
    <w:rsid w:val="00040714"/>
    <w:rsid w:val="00040760"/>
    <w:rsid w:val="000409C0"/>
    <w:rsid w:val="00040B97"/>
    <w:rsid w:val="00040C9E"/>
    <w:rsid w:val="00040EA3"/>
    <w:rsid w:val="00041259"/>
    <w:rsid w:val="0004126D"/>
    <w:rsid w:val="00041476"/>
    <w:rsid w:val="000415B4"/>
    <w:rsid w:val="000417C8"/>
    <w:rsid w:val="00041C98"/>
    <w:rsid w:val="00041F59"/>
    <w:rsid w:val="000421D2"/>
    <w:rsid w:val="000422BA"/>
    <w:rsid w:val="000425BE"/>
    <w:rsid w:val="00042D28"/>
    <w:rsid w:val="0004303C"/>
    <w:rsid w:val="0004310B"/>
    <w:rsid w:val="0004324C"/>
    <w:rsid w:val="000437F6"/>
    <w:rsid w:val="00043A38"/>
    <w:rsid w:val="00043C11"/>
    <w:rsid w:val="00043C86"/>
    <w:rsid w:val="0004415E"/>
    <w:rsid w:val="0004466C"/>
    <w:rsid w:val="00044F55"/>
    <w:rsid w:val="00044FB5"/>
    <w:rsid w:val="000451C0"/>
    <w:rsid w:val="000451C5"/>
    <w:rsid w:val="0004528A"/>
    <w:rsid w:val="000452D9"/>
    <w:rsid w:val="000458E0"/>
    <w:rsid w:val="00045978"/>
    <w:rsid w:val="00046378"/>
    <w:rsid w:val="000463AF"/>
    <w:rsid w:val="0004657B"/>
    <w:rsid w:val="00046658"/>
    <w:rsid w:val="00046AA9"/>
    <w:rsid w:val="00046E3B"/>
    <w:rsid w:val="00046FB4"/>
    <w:rsid w:val="00047091"/>
    <w:rsid w:val="0004724A"/>
    <w:rsid w:val="00047A5A"/>
    <w:rsid w:val="00047BA2"/>
    <w:rsid w:val="000503A3"/>
    <w:rsid w:val="0005047C"/>
    <w:rsid w:val="00050923"/>
    <w:rsid w:val="00050CC6"/>
    <w:rsid w:val="00050F68"/>
    <w:rsid w:val="0005177D"/>
    <w:rsid w:val="0005194C"/>
    <w:rsid w:val="00051C76"/>
    <w:rsid w:val="00051D69"/>
    <w:rsid w:val="00051D93"/>
    <w:rsid w:val="000523B6"/>
    <w:rsid w:val="00052630"/>
    <w:rsid w:val="00052731"/>
    <w:rsid w:val="00052A9C"/>
    <w:rsid w:val="00052B48"/>
    <w:rsid w:val="00052D3E"/>
    <w:rsid w:val="00052DC1"/>
    <w:rsid w:val="00052E2F"/>
    <w:rsid w:val="00052E9F"/>
    <w:rsid w:val="00053477"/>
    <w:rsid w:val="000534A8"/>
    <w:rsid w:val="00053877"/>
    <w:rsid w:val="00053BCF"/>
    <w:rsid w:val="00053DB4"/>
    <w:rsid w:val="00053E17"/>
    <w:rsid w:val="00054024"/>
    <w:rsid w:val="000540BF"/>
    <w:rsid w:val="000540D1"/>
    <w:rsid w:val="0005426E"/>
    <w:rsid w:val="00054C2B"/>
    <w:rsid w:val="00054D4A"/>
    <w:rsid w:val="00054DC9"/>
    <w:rsid w:val="000550C7"/>
    <w:rsid w:val="0005527B"/>
    <w:rsid w:val="00055289"/>
    <w:rsid w:val="000558DC"/>
    <w:rsid w:val="00055FA9"/>
    <w:rsid w:val="00056303"/>
    <w:rsid w:val="000563AF"/>
    <w:rsid w:val="00056598"/>
    <w:rsid w:val="000566CD"/>
    <w:rsid w:val="000567E5"/>
    <w:rsid w:val="00056E34"/>
    <w:rsid w:val="00056F2C"/>
    <w:rsid w:val="00056F5B"/>
    <w:rsid w:val="00056FBF"/>
    <w:rsid w:val="0005717F"/>
    <w:rsid w:val="0005740F"/>
    <w:rsid w:val="00057547"/>
    <w:rsid w:val="00057679"/>
    <w:rsid w:val="00057A09"/>
    <w:rsid w:val="00057B6D"/>
    <w:rsid w:val="00060016"/>
    <w:rsid w:val="00060036"/>
    <w:rsid w:val="00060295"/>
    <w:rsid w:val="00060326"/>
    <w:rsid w:val="000604F8"/>
    <w:rsid w:val="00060ECC"/>
    <w:rsid w:val="00061018"/>
    <w:rsid w:val="000615E9"/>
    <w:rsid w:val="00061DF4"/>
    <w:rsid w:val="00061EEE"/>
    <w:rsid w:val="00062020"/>
    <w:rsid w:val="0006222A"/>
    <w:rsid w:val="000622AC"/>
    <w:rsid w:val="000624E4"/>
    <w:rsid w:val="00062500"/>
    <w:rsid w:val="000625B5"/>
    <w:rsid w:val="000625FA"/>
    <w:rsid w:val="00062601"/>
    <w:rsid w:val="00062A97"/>
    <w:rsid w:val="00062E60"/>
    <w:rsid w:val="00062EB5"/>
    <w:rsid w:val="000634B2"/>
    <w:rsid w:val="000635BB"/>
    <w:rsid w:val="000636FF"/>
    <w:rsid w:val="000637B2"/>
    <w:rsid w:val="00063BF6"/>
    <w:rsid w:val="00063CE0"/>
    <w:rsid w:val="000640EB"/>
    <w:rsid w:val="000641B3"/>
    <w:rsid w:val="000641F0"/>
    <w:rsid w:val="0006476C"/>
    <w:rsid w:val="00064A81"/>
    <w:rsid w:val="00064C5F"/>
    <w:rsid w:val="000651D1"/>
    <w:rsid w:val="0006522A"/>
    <w:rsid w:val="00065594"/>
    <w:rsid w:val="000655A7"/>
    <w:rsid w:val="00065684"/>
    <w:rsid w:val="000657A6"/>
    <w:rsid w:val="00065B7B"/>
    <w:rsid w:val="00065BEE"/>
    <w:rsid w:val="00065C9A"/>
    <w:rsid w:val="0006619E"/>
    <w:rsid w:val="000661E1"/>
    <w:rsid w:val="00066367"/>
    <w:rsid w:val="0006650D"/>
    <w:rsid w:val="000666A6"/>
    <w:rsid w:val="00066776"/>
    <w:rsid w:val="00066851"/>
    <w:rsid w:val="00066D1F"/>
    <w:rsid w:val="00066F22"/>
    <w:rsid w:val="00067511"/>
    <w:rsid w:val="00067882"/>
    <w:rsid w:val="00067C20"/>
    <w:rsid w:val="00067E47"/>
    <w:rsid w:val="00067E74"/>
    <w:rsid w:val="00067F34"/>
    <w:rsid w:val="00070192"/>
    <w:rsid w:val="00070590"/>
    <w:rsid w:val="000705A2"/>
    <w:rsid w:val="000705B0"/>
    <w:rsid w:val="000706C8"/>
    <w:rsid w:val="00070765"/>
    <w:rsid w:val="00070C6C"/>
    <w:rsid w:val="00070DCD"/>
    <w:rsid w:val="00070E84"/>
    <w:rsid w:val="00071133"/>
    <w:rsid w:val="00071810"/>
    <w:rsid w:val="00071D3C"/>
    <w:rsid w:val="00071F4D"/>
    <w:rsid w:val="00072059"/>
    <w:rsid w:val="00072102"/>
    <w:rsid w:val="00072161"/>
    <w:rsid w:val="000721E4"/>
    <w:rsid w:val="000726BC"/>
    <w:rsid w:val="000727C1"/>
    <w:rsid w:val="000728C8"/>
    <w:rsid w:val="00072935"/>
    <w:rsid w:val="00072949"/>
    <w:rsid w:val="00072952"/>
    <w:rsid w:val="00072A15"/>
    <w:rsid w:val="00072AA5"/>
    <w:rsid w:val="00072D45"/>
    <w:rsid w:val="00072DD3"/>
    <w:rsid w:val="00073116"/>
    <w:rsid w:val="0007365F"/>
    <w:rsid w:val="0007371A"/>
    <w:rsid w:val="000737C5"/>
    <w:rsid w:val="000739C5"/>
    <w:rsid w:val="00073EF4"/>
    <w:rsid w:val="00074074"/>
    <w:rsid w:val="0007410B"/>
    <w:rsid w:val="00074284"/>
    <w:rsid w:val="0007443E"/>
    <w:rsid w:val="00074443"/>
    <w:rsid w:val="00074EA9"/>
    <w:rsid w:val="00074F78"/>
    <w:rsid w:val="000750F1"/>
    <w:rsid w:val="0007517C"/>
    <w:rsid w:val="000751D2"/>
    <w:rsid w:val="000754CB"/>
    <w:rsid w:val="000755CC"/>
    <w:rsid w:val="00075690"/>
    <w:rsid w:val="0007577D"/>
    <w:rsid w:val="000757F6"/>
    <w:rsid w:val="0007594F"/>
    <w:rsid w:val="000759AD"/>
    <w:rsid w:val="00075ABE"/>
    <w:rsid w:val="00075AE7"/>
    <w:rsid w:val="00075B1C"/>
    <w:rsid w:val="00075C5D"/>
    <w:rsid w:val="00075E9A"/>
    <w:rsid w:val="0007616C"/>
    <w:rsid w:val="000764CA"/>
    <w:rsid w:val="00076616"/>
    <w:rsid w:val="000766D2"/>
    <w:rsid w:val="00076B81"/>
    <w:rsid w:val="0007753E"/>
    <w:rsid w:val="000779F8"/>
    <w:rsid w:val="00077BE8"/>
    <w:rsid w:val="00077BF6"/>
    <w:rsid w:val="00077F20"/>
    <w:rsid w:val="00077F50"/>
    <w:rsid w:val="00080278"/>
    <w:rsid w:val="00080419"/>
    <w:rsid w:val="00080807"/>
    <w:rsid w:val="00080A07"/>
    <w:rsid w:val="00080CCE"/>
    <w:rsid w:val="00080CE6"/>
    <w:rsid w:val="00080E19"/>
    <w:rsid w:val="00081592"/>
    <w:rsid w:val="000819E7"/>
    <w:rsid w:val="00081B7D"/>
    <w:rsid w:val="00081DA5"/>
    <w:rsid w:val="0008246B"/>
    <w:rsid w:val="0008280C"/>
    <w:rsid w:val="00082812"/>
    <w:rsid w:val="000828A8"/>
    <w:rsid w:val="00082B40"/>
    <w:rsid w:val="00082BC1"/>
    <w:rsid w:val="00083003"/>
    <w:rsid w:val="000831CD"/>
    <w:rsid w:val="00083B84"/>
    <w:rsid w:val="00083D4C"/>
    <w:rsid w:val="00083FD7"/>
    <w:rsid w:val="000842D0"/>
    <w:rsid w:val="000847C1"/>
    <w:rsid w:val="00085039"/>
    <w:rsid w:val="00085254"/>
    <w:rsid w:val="00085350"/>
    <w:rsid w:val="000856E2"/>
    <w:rsid w:val="00085913"/>
    <w:rsid w:val="000859DA"/>
    <w:rsid w:val="00085D3C"/>
    <w:rsid w:val="00085DA6"/>
    <w:rsid w:val="00085FB6"/>
    <w:rsid w:val="00086164"/>
    <w:rsid w:val="0008626C"/>
    <w:rsid w:val="0008655A"/>
    <w:rsid w:val="00086730"/>
    <w:rsid w:val="0008673E"/>
    <w:rsid w:val="00086ADA"/>
    <w:rsid w:val="00086FF3"/>
    <w:rsid w:val="0008706F"/>
    <w:rsid w:val="0008744A"/>
    <w:rsid w:val="0008758D"/>
    <w:rsid w:val="00087843"/>
    <w:rsid w:val="0008792D"/>
    <w:rsid w:val="00090290"/>
    <w:rsid w:val="000902C2"/>
    <w:rsid w:val="00090544"/>
    <w:rsid w:val="0009076C"/>
    <w:rsid w:val="00090905"/>
    <w:rsid w:val="00090988"/>
    <w:rsid w:val="00090C90"/>
    <w:rsid w:val="00090F73"/>
    <w:rsid w:val="0009145E"/>
    <w:rsid w:val="000916AE"/>
    <w:rsid w:val="00091852"/>
    <w:rsid w:val="00091912"/>
    <w:rsid w:val="00091993"/>
    <w:rsid w:val="00091C51"/>
    <w:rsid w:val="000923EC"/>
    <w:rsid w:val="000923FA"/>
    <w:rsid w:val="0009251E"/>
    <w:rsid w:val="0009253E"/>
    <w:rsid w:val="00092845"/>
    <w:rsid w:val="00092BD6"/>
    <w:rsid w:val="00092CDD"/>
    <w:rsid w:val="00092D3C"/>
    <w:rsid w:val="00092EBF"/>
    <w:rsid w:val="00093184"/>
    <w:rsid w:val="00093391"/>
    <w:rsid w:val="000935D3"/>
    <w:rsid w:val="000937B8"/>
    <w:rsid w:val="000938D1"/>
    <w:rsid w:val="00093901"/>
    <w:rsid w:val="00093B5B"/>
    <w:rsid w:val="00094067"/>
    <w:rsid w:val="0009407F"/>
    <w:rsid w:val="000943D3"/>
    <w:rsid w:val="000949FA"/>
    <w:rsid w:val="00094B02"/>
    <w:rsid w:val="00095132"/>
    <w:rsid w:val="00095186"/>
    <w:rsid w:val="00095242"/>
    <w:rsid w:val="000955F9"/>
    <w:rsid w:val="000956ED"/>
    <w:rsid w:val="00096128"/>
    <w:rsid w:val="0009615E"/>
    <w:rsid w:val="000962D6"/>
    <w:rsid w:val="0009630F"/>
    <w:rsid w:val="0009641B"/>
    <w:rsid w:val="0009645D"/>
    <w:rsid w:val="00096872"/>
    <w:rsid w:val="00096B32"/>
    <w:rsid w:val="00096DC0"/>
    <w:rsid w:val="00096DD4"/>
    <w:rsid w:val="00096FCD"/>
    <w:rsid w:val="000971C9"/>
    <w:rsid w:val="000972E7"/>
    <w:rsid w:val="00097368"/>
    <w:rsid w:val="00097448"/>
    <w:rsid w:val="000974D4"/>
    <w:rsid w:val="00097941"/>
    <w:rsid w:val="00097B5D"/>
    <w:rsid w:val="00097D5B"/>
    <w:rsid w:val="00097EA2"/>
    <w:rsid w:val="000A031C"/>
    <w:rsid w:val="000A07C4"/>
    <w:rsid w:val="000A0B08"/>
    <w:rsid w:val="000A120E"/>
    <w:rsid w:val="000A1213"/>
    <w:rsid w:val="000A160F"/>
    <w:rsid w:val="000A188C"/>
    <w:rsid w:val="000A18C8"/>
    <w:rsid w:val="000A1FE6"/>
    <w:rsid w:val="000A22DC"/>
    <w:rsid w:val="000A25EE"/>
    <w:rsid w:val="000A274A"/>
    <w:rsid w:val="000A2843"/>
    <w:rsid w:val="000A28FE"/>
    <w:rsid w:val="000A2C96"/>
    <w:rsid w:val="000A2EE7"/>
    <w:rsid w:val="000A3307"/>
    <w:rsid w:val="000A3B86"/>
    <w:rsid w:val="000A3CEB"/>
    <w:rsid w:val="000A3D24"/>
    <w:rsid w:val="000A3DEA"/>
    <w:rsid w:val="000A4157"/>
    <w:rsid w:val="000A41A1"/>
    <w:rsid w:val="000A43C6"/>
    <w:rsid w:val="000A441F"/>
    <w:rsid w:val="000A45A2"/>
    <w:rsid w:val="000A4622"/>
    <w:rsid w:val="000A47B6"/>
    <w:rsid w:val="000A4863"/>
    <w:rsid w:val="000A4AA3"/>
    <w:rsid w:val="000A5062"/>
    <w:rsid w:val="000A542C"/>
    <w:rsid w:val="000A5535"/>
    <w:rsid w:val="000A5585"/>
    <w:rsid w:val="000A57D6"/>
    <w:rsid w:val="000A5B80"/>
    <w:rsid w:val="000A5B99"/>
    <w:rsid w:val="000A5D55"/>
    <w:rsid w:val="000A5E80"/>
    <w:rsid w:val="000A617F"/>
    <w:rsid w:val="000A61C3"/>
    <w:rsid w:val="000A6350"/>
    <w:rsid w:val="000A6447"/>
    <w:rsid w:val="000A65E3"/>
    <w:rsid w:val="000A6AC9"/>
    <w:rsid w:val="000A6D21"/>
    <w:rsid w:val="000A7147"/>
    <w:rsid w:val="000A7548"/>
    <w:rsid w:val="000A75A9"/>
    <w:rsid w:val="000A7A83"/>
    <w:rsid w:val="000A7AA6"/>
    <w:rsid w:val="000A7B37"/>
    <w:rsid w:val="000A7B7D"/>
    <w:rsid w:val="000A7C53"/>
    <w:rsid w:val="000A7F1F"/>
    <w:rsid w:val="000B0186"/>
    <w:rsid w:val="000B0238"/>
    <w:rsid w:val="000B06F2"/>
    <w:rsid w:val="000B0822"/>
    <w:rsid w:val="000B0A47"/>
    <w:rsid w:val="000B0DA3"/>
    <w:rsid w:val="000B13CE"/>
    <w:rsid w:val="000B14C0"/>
    <w:rsid w:val="000B15D8"/>
    <w:rsid w:val="000B16E6"/>
    <w:rsid w:val="000B17CA"/>
    <w:rsid w:val="000B1E09"/>
    <w:rsid w:val="000B1F1B"/>
    <w:rsid w:val="000B21D9"/>
    <w:rsid w:val="000B2470"/>
    <w:rsid w:val="000B280C"/>
    <w:rsid w:val="000B283A"/>
    <w:rsid w:val="000B2CB0"/>
    <w:rsid w:val="000B2DB8"/>
    <w:rsid w:val="000B2F56"/>
    <w:rsid w:val="000B34B5"/>
    <w:rsid w:val="000B3710"/>
    <w:rsid w:val="000B3771"/>
    <w:rsid w:val="000B37AC"/>
    <w:rsid w:val="000B37FC"/>
    <w:rsid w:val="000B3CA0"/>
    <w:rsid w:val="000B3E49"/>
    <w:rsid w:val="000B3E97"/>
    <w:rsid w:val="000B3F27"/>
    <w:rsid w:val="000B3FB5"/>
    <w:rsid w:val="000B40AF"/>
    <w:rsid w:val="000B4358"/>
    <w:rsid w:val="000B4524"/>
    <w:rsid w:val="000B46B1"/>
    <w:rsid w:val="000B47F4"/>
    <w:rsid w:val="000B493A"/>
    <w:rsid w:val="000B4BA3"/>
    <w:rsid w:val="000B4D64"/>
    <w:rsid w:val="000B50E7"/>
    <w:rsid w:val="000B5237"/>
    <w:rsid w:val="000B5401"/>
    <w:rsid w:val="000B5864"/>
    <w:rsid w:val="000B5909"/>
    <w:rsid w:val="000B5AF4"/>
    <w:rsid w:val="000B61E9"/>
    <w:rsid w:val="000B627A"/>
    <w:rsid w:val="000B6632"/>
    <w:rsid w:val="000B6718"/>
    <w:rsid w:val="000B6896"/>
    <w:rsid w:val="000B6A94"/>
    <w:rsid w:val="000B6B3C"/>
    <w:rsid w:val="000B6D4F"/>
    <w:rsid w:val="000B712A"/>
    <w:rsid w:val="000B7264"/>
    <w:rsid w:val="000B74F3"/>
    <w:rsid w:val="000B7565"/>
    <w:rsid w:val="000B76C8"/>
    <w:rsid w:val="000B7790"/>
    <w:rsid w:val="000C009C"/>
    <w:rsid w:val="000C0618"/>
    <w:rsid w:val="000C08FF"/>
    <w:rsid w:val="000C0C01"/>
    <w:rsid w:val="000C0C4B"/>
    <w:rsid w:val="000C0D6D"/>
    <w:rsid w:val="000C0E40"/>
    <w:rsid w:val="000C0EFC"/>
    <w:rsid w:val="000C1035"/>
    <w:rsid w:val="000C1249"/>
    <w:rsid w:val="000C12AD"/>
    <w:rsid w:val="000C148C"/>
    <w:rsid w:val="000C150F"/>
    <w:rsid w:val="000C18C5"/>
    <w:rsid w:val="000C1A92"/>
    <w:rsid w:val="000C1CC3"/>
    <w:rsid w:val="000C20C7"/>
    <w:rsid w:val="000C2190"/>
    <w:rsid w:val="000C21F7"/>
    <w:rsid w:val="000C23DA"/>
    <w:rsid w:val="000C2516"/>
    <w:rsid w:val="000C25AF"/>
    <w:rsid w:val="000C276E"/>
    <w:rsid w:val="000C2C73"/>
    <w:rsid w:val="000C2CD3"/>
    <w:rsid w:val="000C2D16"/>
    <w:rsid w:val="000C2F85"/>
    <w:rsid w:val="000C2FA5"/>
    <w:rsid w:val="000C307B"/>
    <w:rsid w:val="000C34BD"/>
    <w:rsid w:val="000C34CD"/>
    <w:rsid w:val="000C3556"/>
    <w:rsid w:val="000C3629"/>
    <w:rsid w:val="000C3643"/>
    <w:rsid w:val="000C3651"/>
    <w:rsid w:val="000C3824"/>
    <w:rsid w:val="000C3A08"/>
    <w:rsid w:val="000C3A6F"/>
    <w:rsid w:val="000C4084"/>
    <w:rsid w:val="000C46BF"/>
    <w:rsid w:val="000C487C"/>
    <w:rsid w:val="000C500E"/>
    <w:rsid w:val="000C523A"/>
    <w:rsid w:val="000C54F1"/>
    <w:rsid w:val="000C5B77"/>
    <w:rsid w:val="000C5C45"/>
    <w:rsid w:val="000C5F5A"/>
    <w:rsid w:val="000C5FFB"/>
    <w:rsid w:val="000C68B2"/>
    <w:rsid w:val="000C6A59"/>
    <w:rsid w:val="000C6B23"/>
    <w:rsid w:val="000C6BDD"/>
    <w:rsid w:val="000C7564"/>
    <w:rsid w:val="000C76A8"/>
    <w:rsid w:val="000C7881"/>
    <w:rsid w:val="000C7DB8"/>
    <w:rsid w:val="000C7E50"/>
    <w:rsid w:val="000C7EBC"/>
    <w:rsid w:val="000C7F79"/>
    <w:rsid w:val="000D0140"/>
    <w:rsid w:val="000D0326"/>
    <w:rsid w:val="000D03AD"/>
    <w:rsid w:val="000D0566"/>
    <w:rsid w:val="000D0B03"/>
    <w:rsid w:val="000D12A6"/>
    <w:rsid w:val="000D1324"/>
    <w:rsid w:val="000D152B"/>
    <w:rsid w:val="000D1766"/>
    <w:rsid w:val="000D1A13"/>
    <w:rsid w:val="000D1A75"/>
    <w:rsid w:val="000D1C67"/>
    <w:rsid w:val="000D2334"/>
    <w:rsid w:val="000D234D"/>
    <w:rsid w:val="000D2DEB"/>
    <w:rsid w:val="000D2E2D"/>
    <w:rsid w:val="000D2FB2"/>
    <w:rsid w:val="000D30D8"/>
    <w:rsid w:val="000D34C1"/>
    <w:rsid w:val="000D3661"/>
    <w:rsid w:val="000D372B"/>
    <w:rsid w:val="000D4283"/>
    <w:rsid w:val="000D462F"/>
    <w:rsid w:val="000D4990"/>
    <w:rsid w:val="000D4C82"/>
    <w:rsid w:val="000D4D7A"/>
    <w:rsid w:val="000D4EEE"/>
    <w:rsid w:val="000D4FBC"/>
    <w:rsid w:val="000D50FE"/>
    <w:rsid w:val="000D55CA"/>
    <w:rsid w:val="000D58E6"/>
    <w:rsid w:val="000D60EA"/>
    <w:rsid w:val="000D6171"/>
    <w:rsid w:val="000D642F"/>
    <w:rsid w:val="000D6644"/>
    <w:rsid w:val="000D67DE"/>
    <w:rsid w:val="000D688B"/>
    <w:rsid w:val="000D6A7B"/>
    <w:rsid w:val="000D6C10"/>
    <w:rsid w:val="000D6DEA"/>
    <w:rsid w:val="000D6E72"/>
    <w:rsid w:val="000D6F76"/>
    <w:rsid w:val="000D7011"/>
    <w:rsid w:val="000D74B0"/>
    <w:rsid w:val="000D769C"/>
    <w:rsid w:val="000D789F"/>
    <w:rsid w:val="000D7A34"/>
    <w:rsid w:val="000D7C7F"/>
    <w:rsid w:val="000D7CA5"/>
    <w:rsid w:val="000E02AB"/>
    <w:rsid w:val="000E056D"/>
    <w:rsid w:val="000E091A"/>
    <w:rsid w:val="000E0DCF"/>
    <w:rsid w:val="000E110A"/>
    <w:rsid w:val="000E1CA3"/>
    <w:rsid w:val="000E1EF0"/>
    <w:rsid w:val="000E2129"/>
    <w:rsid w:val="000E22AB"/>
    <w:rsid w:val="000E27C1"/>
    <w:rsid w:val="000E27D5"/>
    <w:rsid w:val="000E284C"/>
    <w:rsid w:val="000E2AE1"/>
    <w:rsid w:val="000E2B0E"/>
    <w:rsid w:val="000E2C6A"/>
    <w:rsid w:val="000E2D1E"/>
    <w:rsid w:val="000E2FFB"/>
    <w:rsid w:val="000E30CD"/>
    <w:rsid w:val="000E3163"/>
    <w:rsid w:val="000E3224"/>
    <w:rsid w:val="000E3937"/>
    <w:rsid w:val="000E4258"/>
    <w:rsid w:val="000E4460"/>
    <w:rsid w:val="000E4791"/>
    <w:rsid w:val="000E4935"/>
    <w:rsid w:val="000E4AEA"/>
    <w:rsid w:val="000E4F1D"/>
    <w:rsid w:val="000E5027"/>
    <w:rsid w:val="000E50B7"/>
    <w:rsid w:val="000E5755"/>
    <w:rsid w:val="000E5777"/>
    <w:rsid w:val="000E5957"/>
    <w:rsid w:val="000E6055"/>
    <w:rsid w:val="000E65DB"/>
    <w:rsid w:val="000E68E7"/>
    <w:rsid w:val="000E6D76"/>
    <w:rsid w:val="000E74F3"/>
    <w:rsid w:val="000E7880"/>
    <w:rsid w:val="000E78BE"/>
    <w:rsid w:val="000E7B8D"/>
    <w:rsid w:val="000E7F68"/>
    <w:rsid w:val="000F0120"/>
    <w:rsid w:val="000F0480"/>
    <w:rsid w:val="000F04E7"/>
    <w:rsid w:val="000F06E3"/>
    <w:rsid w:val="000F0C74"/>
    <w:rsid w:val="000F0CCA"/>
    <w:rsid w:val="000F0CF0"/>
    <w:rsid w:val="000F0ECA"/>
    <w:rsid w:val="000F1419"/>
    <w:rsid w:val="000F1732"/>
    <w:rsid w:val="000F1C39"/>
    <w:rsid w:val="000F1CE3"/>
    <w:rsid w:val="000F1D39"/>
    <w:rsid w:val="000F1EC5"/>
    <w:rsid w:val="000F1F8F"/>
    <w:rsid w:val="000F21F2"/>
    <w:rsid w:val="000F2475"/>
    <w:rsid w:val="000F2670"/>
    <w:rsid w:val="000F284F"/>
    <w:rsid w:val="000F2A45"/>
    <w:rsid w:val="000F2D6C"/>
    <w:rsid w:val="000F2EA8"/>
    <w:rsid w:val="000F3045"/>
    <w:rsid w:val="000F3076"/>
    <w:rsid w:val="000F3254"/>
    <w:rsid w:val="000F3751"/>
    <w:rsid w:val="000F3A14"/>
    <w:rsid w:val="000F3D9E"/>
    <w:rsid w:val="000F4017"/>
    <w:rsid w:val="000F43BC"/>
    <w:rsid w:val="000F46FE"/>
    <w:rsid w:val="000F47ED"/>
    <w:rsid w:val="000F488C"/>
    <w:rsid w:val="000F4A10"/>
    <w:rsid w:val="000F4D1B"/>
    <w:rsid w:val="000F4DC6"/>
    <w:rsid w:val="000F4FF7"/>
    <w:rsid w:val="000F5239"/>
    <w:rsid w:val="000F56CC"/>
    <w:rsid w:val="000F5BD4"/>
    <w:rsid w:val="000F5BFC"/>
    <w:rsid w:val="000F5D86"/>
    <w:rsid w:val="000F5FB1"/>
    <w:rsid w:val="000F620B"/>
    <w:rsid w:val="000F6430"/>
    <w:rsid w:val="000F6649"/>
    <w:rsid w:val="000F672D"/>
    <w:rsid w:val="000F6E86"/>
    <w:rsid w:val="000F7072"/>
    <w:rsid w:val="000F7083"/>
    <w:rsid w:val="000F7581"/>
    <w:rsid w:val="000F7D95"/>
    <w:rsid w:val="000F7E0B"/>
    <w:rsid w:val="000F7F90"/>
    <w:rsid w:val="0010004E"/>
    <w:rsid w:val="00100316"/>
    <w:rsid w:val="0010032A"/>
    <w:rsid w:val="00100365"/>
    <w:rsid w:val="00100387"/>
    <w:rsid w:val="00100499"/>
    <w:rsid w:val="001005FE"/>
    <w:rsid w:val="001007B3"/>
    <w:rsid w:val="00100B18"/>
    <w:rsid w:val="00100C4E"/>
    <w:rsid w:val="00100CCC"/>
    <w:rsid w:val="001011F2"/>
    <w:rsid w:val="001013F3"/>
    <w:rsid w:val="00101503"/>
    <w:rsid w:val="00101649"/>
    <w:rsid w:val="00101BA4"/>
    <w:rsid w:val="00101BB0"/>
    <w:rsid w:val="00101CA6"/>
    <w:rsid w:val="00101CFD"/>
    <w:rsid w:val="00101EEC"/>
    <w:rsid w:val="00101FAC"/>
    <w:rsid w:val="00102754"/>
    <w:rsid w:val="0010283B"/>
    <w:rsid w:val="00102A5D"/>
    <w:rsid w:val="00102A86"/>
    <w:rsid w:val="00102FFD"/>
    <w:rsid w:val="00103034"/>
    <w:rsid w:val="0010306B"/>
    <w:rsid w:val="0010344E"/>
    <w:rsid w:val="0010355A"/>
    <w:rsid w:val="0010398D"/>
    <w:rsid w:val="00103A62"/>
    <w:rsid w:val="00103BF1"/>
    <w:rsid w:val="00103C9C"/>
    <w:rsid w:val="00103E52"/>
    <w:rsid w:val="0010424B"/>
    <w:rsid w:val="001045C0"/>
    <w:rsid w:val="001049ED"/>
    <w:rsid w:val="00104C03"/>
    <w:rsid w:val="00104CA0"/>
    <w:rsid w:val="00104EE8"/>
    <w:rsid w:val="001051C3"/>
    <w:rsid w:val="00105485"/>
    <w:rsid w:val="00105764"/>
    <w:rsid w:val="00105996"/>
    <w:rsid w:val="00105A4D"/>
    <w:rsid w:val="00106169"/>
    <w:rsid w:val="001061FA"/>
    <w:rsid w:val="00106219"/>
    <w:rsid w:val="00106570"/>
    <w:rsid w:val="00106596"/>
    <w:rsid w:val="001065E9"/>
    <w:rsid w:val="00106A4A"/>
    <w:rsid w:val="00106A6E"/>
    <w:rsid w:val="00106CD2"/>
    <w:rsid w:val="00106F6F"/>
    <w:rsid w:val="001071F8"/>
    <w:rsid w:val="00107288"/>
    <w:rsid w:val="0010733C"/>
    <w:rsid w:val="00107612"/>
    <w:rsid w:val="00107782"/>
    <w:rsid w:val="001079F3"/>
    <w:rsid w:val="00107AD4"/>
    <w:rsid w:val="00107E12"/>
    <w:rsid w:val="00107F2B"/>
    <w:rsid w:val="00107FB2"/>
    <w:rsid w:val="00110195"/>
    <w:rsid w:val="001105F4"/>
    <w:rsid w:val="00110723"/>
    <w:rsid w:val="00110847"/>
    <w:rsid w:val="00110910"/>
    <w:rsid w:val="001109A6"/>
    <w:rsid w:val="00110AC1"/>
    <w:rsid w:val="00110C57"/>
    <w:rsid w:val="00110FBA"/>
    <w:rsid w:val="00111129"/>
    <w:rsid w:val="001116F0"/>
    <w:rsid w:val="00111774"/>
    <w:rsid w:val="00111BA6"/>
    <w:rsid w:val="00112A79"/>
    <w:rsid w:val="00112A9C"/>
    <w:rsid w:val="0011308B"/>
    <w:rsid w:val="0011351A"/>
    <w:rsid w:val="00113702"/>
    <w:rsid w:val="00113F07"/>
    <w:rsid w:val="00114B9F"/>
    <w:rsid w:val="00114D04"/>
    <w:rsid w:val="00114E69"/>
    <w:rsid w:val="001157D6"/>
    <w:rsid w:val="00115ACD"/>
    <w:rsid w:val="001162A1"/>
    <w:rsid w:val="001162FB"/>
    <w:rsid w:val="00116437"/>
    <w:rsid w:val="001164A5"/>
    <w:rsid w:val="001165A1"/>
    <w:rsid w:val="001166A1"/>
    <w:rsid w:val="00116DDF"/>
    <w:rsid w:val="00116F8F"/>
    <w:rsid w:val="00117145"/>
    <w:rsid w:val="001174ED"/>
    <w:rsid w:val="00117999"/>
    <w:rsid w:val="00117BFC"/>
    <w:rsid w:val="00117C20"/>
    <w:rsid w:val="00117CC9"/>
    <w:rsid w:val="00117D2D"/>
    <w:rsid w:val="00120031"/>
    <w:rsid w:val="00120A21"/>
    <w:rsid w:val="00120A42"/>
    <w:rsid w:val="00120D5B"/>
    <w:rsid w:val="00120DDD"/>
    <w:rsid w:val="001210EF"/>
    <w:rsid w:val="0012151C"/>
    <w:rsid w:val="00121A00"/>
    <w:rsid w:val="00121BE0"/>
    <w:rsid w:val="00121CA9"/>
    <w:rsid w:val="00121F48"/>
    <w:rsid w:val="001220CF"/>
    <w:rsid w:val="001222EE"/>
    <w:rsid w:val="001224A9"/>
    <w:rsid w:val="00122A24"/>
    <w:rsid w:val="00122B14"/>
    <w:rsid w:val="00122BC8"/>
    <w:rsid w:val="001233F6"/>
    <w:rsid w:val="001235D0"/>
    <w:rsid w:val="001236A4"/>
    <w:rsid w:val="00123704"/>
    <w:rsid w:val="00123B9D"/>
    <w:rsid w:val="00123DA6"/>
    <w:rsid w:val="00123F17"/>
    <w:rsid w:val="001242EE"/>
    <w:rsid w:val="0012470F"/>
    <w:rsid w:val="001249F5"/>
    <w:rsid w:val="00124D71"/>
    <w:rsid w:val="00124E26"/>
    <w:rsid w:val="00124FC1"/>
    <w:rsid w:val="001253B0"/>
    <w:rsid w:val="00125669"/>
    <w:rsid w:val="0012616F"/>
    <w:rsid w:val="001261F8"/>
    <w:rsid w:val="0012644F"/>
    <w:rsid w:val="00126461"/>
    <w:rsid w:val="00126725"/>
    <w:rsid w:val="001269E5"/>
    <w:rsid w:val="00126AE9"/>
    <w:rsid w:val="0012703C"/>
    <w:rsid w:val="0012751C"/>
    <w:rsid w:val="0012753B"/>
    <w:rsid w:val="001277F4"/>
    <w:rsid w:val="00127989"/>
    <w:rsid w:val="00127B5F"/>
    <w:rsid w:val="00127D07"/>
    <w:rsid w:val="00127D8D"/>
    <w:rsid w:val="00127F4B"/>
    <w:rsid w:val="00127F72"/>
    <w:rsid w:val="0013026B"/>
    <w:rsid w:val="0013036E"/>
    <w:rsid w:val="00130481"/>
    <w:rsid w:val="001306E6"/>
    <w:rsid w:val="001308FF"/>
    <w:rsid w:val="00130B18"/>
    <w:rsid w:val="00130C5F"/>
    <w:rsid w:val="00130E2A"/>
    <w:rsid w:val="00130F97"/>
    <w:rsid w:val="00131022"/>
    <w:rsid w:val="001312C8"/>
    <w:rsid w:val="00131318"/>
    <w:rsid w:val="001313A7"/>
    <w:rsid w:val="0013142A"/>
    <w:rsid w:val="001317E0"/>
    <w:rsid w:val="001317FD"/>
    <w:rsid w:val="00131C8C"/>
    <w:rsid w:val="00131DDE"/>
    <w:rsid w:val="001322DC"/>
    <w:rsid w:val="00132363"/>
    <w:rsid w:val="00132BB0"/>
    <w:rsid w:val="00132F19"/>
    <w:rsid w:val="00132F1E"/>
    <w:rsid w:val="00132F7F"/>
    <w:rsid w:val="001335C7"/>
    <w:rsid w:val="0013367C"/>
    <w:rsid w:val="00133DC0"/>
    <w:rsid w:val="00134329"/>
    <w:rsid w:val="00134456"/>
    <w:rsid w:val="001345D5"/>
    <w:rsid w:val="001345E7"/>
    <w:rsid w:val="001346B7"/>
    <w:rsid w:val="00134734"/>
    <w:rsid w:val="0013482A"/>
    <w:rsid w:val="00135590"/>
    <w:rsid w:val="00135AD0"/>
    <w:rsid w:val="00135C65"/>
    <w:rsid w:val="00135F84"/>
    <w:rsid w:val="00135FD6"/>
    <w:rsid w:val="001362DA"/>
    <w:rsid w:val="0013631D"/>
    <w:rsid w:val="001367B9"/>
    <w:rsid w:val="00136A2B"/>
    <w:rsid w:val="00136A94"/>
    <w:rsid w:val="0013702A"/>
    <w:rsid w:val="001370CB"/>
    <w:rsid w:val="00137118"/>
    <w:rsid w:val="00137142"/>
    <w:rsid w:val="00137148"/>
    <w:rsid w:val="0013723E"/>
    <w:rsid w:val="001373FB"/>
    <w:rsid w:val="00137608"/>
    <w:rsid w:val="00137957"/>
    <w:rsid w:val="00137CA8"/>
    <w:rsid w:val="001401EE"/>
    <w:rsid w:val="0014088E"/>
    <w:rsid w:val="00140A22"/>
    <w:rsid w:val="00140D67"/>
    <w:rsid w:val="00140DE7"/>
    <w:rsid w:val="00141058"/>
    <w:rsid w:val="001411CF"/>
    <w:rsid w:val="0014142C"/>
    <w:rsid w:val="00141654"/>
    <w:rsid w:val="00141868"/>
    <w:rsid w:val="00141945"/>
    <w:rsid w:val="00142046"/>
    <w:rsid w:val="001421B0"/>
    <w:rsid w:val="00142395"/>
    <w:rsid w:val="001423F4"/>
    <w:rsid w:val="001425DA"/>
    <w:rsid w:val="00142B5C"/>
    <w:rsid w:val="00142E7C"/>
    <w:rsid w:val="00142EE4"/>
    <w:rsid w:val="00143540"/>
    <w:rsid w:val="001443A1"/>
    <w:rsid w:val="001444E1"/>
    <w:rsid w:val="001447BB"/>
    <w:rsid w:val="00144882"/>
    <w:rsid w:val="00144A65"/>
    <w:rsid w:val="00144CE8"/>
    <w:rsid w:val="001457CC"/>
    <w:rsid w:val="00145CDB"/>
    <w:rsid w:val="00145DDA"/>
    <w:rsid w:val="0014605A"/>
    <w:rsid w:val="001460F5"/>
    <w:rsid w:val="001468A7"/>
    <w:rsid w:val="001468FC"/>
    <w:rsid w:val="00146C08"/>
    <w:rsid w:val="00146CE5"/>
    <w:rsid w:val="00146FA5"/>
    <w:rsid w:val="0014713F"/>
    <w:rsid w:val="001473D3"/>
    <w:rsid w:val="00147471"/>
    <w:rsid w:val="00147AC8"/>
    <w:rsid w:val="00150197"/>
    <w:rsid w:val="001501C1"/>
    <w:rsid w:val="001501CC"/>
    <w:rsid w:val="00150340"/>
    <w:rsid w:val="001504FF"/>
    <w:rsid w:val="00150854"/>
    <w:rsid w:val="0015085F"/>
    <w:rsid w:val="00150C22"/>
    <w:rsid w:val="00150CA7"/>
    <w:rsid w:val="00150DD5"/>
    <w:rsid w:val="00150E53"/>
    <w:rsid w:val="00150F14"/>
    <w:rsid w:val="00151209"/>
    <w:rsid w:val="0015126F"/>
    <w:rsid w:val="00151613"/>
    <w:rsid w:val="001517A4"/>
    <w:rsid w:val="00151971"/>
    <w:rsid w:val="00151B3C"/>
    <w:rsid w:val="00151B43"/>
    <w:rsid w:val="00151CEE"/>
    <w:rsid w:val="0015240A"/>
    <w:rsid w:val="0015243E"/>
    <w:rsid w:val="001525D0"/>
    <w:rsid w:val="00152651"/>
    <w:rsid w:val="00152B1D"/>
    <w:rsid w:val="00152F4D"/>
    <w:rsid w:val="00152F66"/>
    <w:rsid w:val="00152F9B"/>
    <w:rsid w:val="00153C20"/>
    <w:rsid w:val="00154244"/>
    <w:rsid w:val="0015438E"/>
    <w:rsid w:val="00154412"/>
    <w:rsid w:val="00154690"/>
    <w:rsid w:val="001549BA"/>
    <w:rsid w:val="00154AB1"/>
    <w:rsid w:val="001550EC"/>
    <w:rsid w:val="0015634F"/>
    <w:rsid w:val="001564D9"/>
    <w:rsid w:val="001567F9"/>
    <w:rsid w:val="00156DA6"/>
    <w:rsid w:val="00156E5E"/>
    <w:rsid w:val="00157045"/>
    <w:rsid w:val="001570B1"/>
    <w:rsid w:val="00157353"/>
    <w:rsid w:val="00157522"/>
    <w:rsid w:val="00157565"/>
    <w:rsid w:val="00157577"/>
    <w:rsid w:val="001575B2"/>
    <w:rsid w:val="00157A5B"/>
    <w:rsid w:val="00157C00"/>
    <w:rsid w:val="00157EBD"/>
    <w:rsid w:val="001601FA"/>
    <w:rsid w:val="001602DD"/>
    <w:rsid w:val="001602E9"/>
    <w:rsid w:val="001604EB"/>
    <w:rsid w:val="00160AB1"/>
    <w:rsid w:val="00161581"/>
    <w:rsid w:val="001616C8"/>
    <w:rsid w:val="0016193B"/>
    <w:rsid w:val="00161BB8"/>
    <w:rsid w:val="00161DBA"/>
    <w:rsid w:val="00161DEB"/>
    <w:rsid w:val="00161EB6"/>
    <w:rsid w:val="0016270C"/>
    <w:rsid w:val="001627BD"/>
    <w:rsid w:val="001627CB"/>
    <w:rsid w:val="00162FB3"/>
    <w:rsid w:val="00163475"/>
    <w:rsid w:val="001634C0"/>
    <w:rsid w:val="00163525"/>
    <w:rsid w:val="0016381C"/>
    <w:rsid w:val="0016398B"/>
    <w:rsid w:val="00163A33"/>
    <w:rsid w:val="00163F4F"/>
    <w:rsid w:val="00164110"/>
    <w:rsid w:val="0016411A"/>
    <w:rsid w:val="001642C2"/>
    <w:rsid w:val="001642FF"/>
    <w:rsid w:val="00164353"/>
    <w:rsid w:val="001643BF"/>
    <w:rsid w:val="00164A56"/>
    <w:rsid w:val="00164C14"/>
    <w:rsid w:val="00164C1C"/>
    <w:rsid w:val="00164C39"/>
    <w:rsid w:val="00164C9A"/>
    <w:rsid w:val="00165274"/>
    <w:rsid w:val="0016579A"/>
    <w:rsid w:val="00165ADA"/>
    <w:rsid w:val="00165AE6"/>
    <w:rsid w:val="00165BEB"/>
    <w:rsid w:val="001660F0"/>
    <w:rsid w:val="00166287"/>
    <w:rsid w:val="001663EE"/>
    <w:rsid w:val="001665DA"/>
    <w:rsid w:val="0016677E"/>
    <w:rsid w:val="00166A9C"/>
    <w:rsid w:val="00166AC2"/>
    <w:rsid w:val="00166D91"/>
    <w:rsid w:val="00166F4C"/>
    <w:rsid w:val="001670FF"/>
    <w:rsid w:val="0016720E"/>
    <w:rsid w:val="00167466"/>
    <w:rsid w:val="001675DF"/>
    <w:rsid w:val="00167A42"/>
    <w:rsid w:val="00167E8F"/>
    <w:rsid w:val="00167F62"/>
    <w:rsid w:val="001701C1"/>
    <w:rsid w:val="0017085D"/>
    <w:rsid w:val="00170AFB"/>
    <w:rsid w:val="00170B55"/>
    <w:rsid w:val="00170BBE"/>
    <w:rsid w:val="00171274"/>
    <w:rsid w:val="001712AC"/>
    <w:rsid w:val="00171575"/>
    <w:rsid w:val="001717CD"/>
    <w:rsid w:val="00171BB8"/>
    <w:rsid w:val="00171D4A"/>
    <w:rsid w:val="00171E0D"/>
    <w:rsid w:val="00171E92"/>
    <w:rsid w:val="00172024"/>
    <w:rsid w:val="00172046"/>
    <w:rsid w:val="00172085"/>
    <w:rsid w:val="00172553"/>
    <w:rsid w:val="0017284A"/>
    <w:rsid w:val="00172A27"/>
    <w:rsid w:val="00172C59"/>
    <w:rsid w:val="00172FC4"/>
    <w:rsid w:val="0017300A"/>
    <w:rsid w:val="00173045"/>
    <w:rsid w:val="001732B8"/>
    <w:rsid w:val="001735CA"/>
    <w:rsid w:val="001736A0"/>
    <w:rsid w:val="00173984"/>
    <w:rsid w:val="001739AA"/>
    <w:rsid w:val="00173BAD"/>
    <w:rsid w:val="00173CF7"/>
    <w:rsid w:val="00173FA1"/>
    <w:rsid w:val="00173FF7"/>
    <w:rsid w:val="0017449C"/>
    <w:rsid w:val="001745FD"/>
    <w:rsid w:val="00174630"/>
    <w:rsid w:val="00174845"/>
    <w:rsid w:val="001749C9"/>
    <w:rsid w:val="00174B4D"/>
    <w:rsid w:val="0017501F"/>
    <w:rsid w:val="001755E6"/>
    <w:rsid w:val="001756E0"/>
    <w:rsid w:val="001758A1"/>
    <w:rsid w:val="001758E4"/>
    <w:rsid w:val="00175BB9"/>
    <w:rsid w:val="00175DC9"/>
    <w:rsid w:val="001762E5"/>
    <w:rsid w:val="00176438"/>
    <w:rsid w:val="00176ADE"/>
    <w:rsid w:val="00176D53"/>
    <w:rsid w:val="00176D8E"/>
    <w:rsid w:val="001770BC"/>
    <w:rsid w:val="00177DA8"/>
    <w:rsid w:val="00180081"/>
    <w:rsid w:val="0018017E"/>
    <w:rsid w:val="001801C2"/>
    <w:rsid w:val="001801ED"/>
    <w:rsid w:val="00180215"/>
    <w:rsid w:val="00180425"/>
    <w:rsid w:val="001806D7"/>
    <w:rsid w:val="00180A6B"/>
    <w:rsid w:val="00180D63"/>
    <w:rsid w:val="00181444"/>
    <w:rsid w:val="001814FF"/>
    <w:rsid w:val="00181C03"/>
    <w:rsid w:val="00182133"/>
    <w:rsid w:val="0018214D"/>
    <w:rsid w:val="001822DC"/>
    <w:rsid w:val="00182391"/>
    <w:rsid w:val="00182511"/>
    <w:rsid w:val="00182518"/>
    <w:rsid w:val="0018256A"/>
    <w:rsid w:val="00182780"/>
    <w:rsid w:val="00182D3F"/>
    <w:rsid w:val="00182D4F"/>
    <w:rsid w:val="00182D86"/>
    <w:rsid w:val="00183101"/>
    <w:rsid w:val="00183530"/>
    <w:rsid w:val="00183B09"/>
    <w:rsid w:val="00183B1C"/>
    <w:rsid w:val="00183C84"/>
    <w:rsid w:val="00183D88"/>
    <w:rsid w:val="00183F92"/>
    <w:rsid w:val="00183FE6"/>
    <w:rsid w:val="001840D6"/>
    <w:rsid w:val="0018435B"/>
    <w:rsid w:val="0018458E"/>
    <w:rsid w:val="00184834"/>
    <w:rsid w:val="00184914"/>
    <w:rsid w:val="00184B08"/>
    <w:rsid w:val="00184B9D"/>
    <w:rsid w:val="00184C6F"/>
    <w:rsid w:val="00185082"/>
    <w:rsid w:val="001850CB"/>
    <w:rsid w:val="0018539F"/>
    <w:rsid w:val="001854C6"/>
    <w:rsid w:val="001857C0"/>
    <w:rsid w:val="0018586A"/>
    <w:rsid w:val="00185B8B"/>
    <w:rsid w:val="00185C92"/>
    <w:rsid w:val="00185E54"/>
    <w:rsid w:val="001862DC"/>
    <w:rsid w:val="0018709F"/>
    <w:rsid w:val="00187237"/>
    <w:rsid w:val="001874B1"/>
    <w:rsid w:val="001874E0"/>
    <w:rsid w:val="0018762E"/>
    <w:rsid w:val="001877C3"/>
    <w:rsid w:val="00187A57"/>
    <w:rsid w:val="00187BBE"/>
    <w:rsid w:val="00187E0E"/>
    <w:rsid w:val="00190046"/>
    <w:rsid w:val="0019005E"/>
    <w:rsid w:val="001901BD"/>
    <w:rsid w:val="001904BC"/>
    <w:rsid w:val="00190529"/>
    <w:rsid w:val="00190819"/>
    <w:rsid w:val="001908BD"/>
    <w:rsid w:val="00190A96"/>
    <w:rsid w:val="00190C52"/>
    <w:rsid w:val="001911D9"/>
    <w:rsid w:val="001914C3"/>
    <w:rsid w:val="00191FFE"/>
    <w:rsid w:val="001925E8"/>
    <w:rsid w:val="00192706"/>
    <w:rsid w:val="0019276A"/>
    <w:rsid w:val="00192A17"/>
    <w:rsid w:val="00192A73"/>
    <w:rsid w:val="00192BDC"/>
    <w:rsid w:val="00192E67"/>
    <w:rsid w:val="00192ED9"/>
    <w:rsid w:val="001930C2"/>
    <w:rsid w:val="001931CA"/>
    <w:rsid w:val="001937E5"/>
    <w:rsid w:val="00193827"/>
    <w:rsid w:val="001938C1"/>
    <w:rsid w:val="00193ABA"/>
    <w:rsid w:val="00193E4F"/>
    <w:rsid w:val="00193FE8"/>
    <w:rsid w:val="00194135"/>
    <w:rsid w:val="0019421E"/>
    <w:rsid w:val="00194586"/>
    <w:rsid w:val="001946EF"/>
    <w:rsid w:val="00194721"/>
    <w:rsid w:val="00194771"/>
    <w:rsid w:val="00194805"/>
    <w:rsid w:val="00194ABA"/>
    <w:rsid w:val="00194BDD"/>
    <w:rsid w:val="00194C9B"/>
    <w:rsid w:val="00194F53"/>
    <w:rsid w:val="00194FE6"/>
    <w:rsid w:val="0019508D"/>
    <w:rsid w:val="00195222"/>
    <w:rsid w:val="0019538C"/>
    <w:rsid w:val="00195452"/>
    <w:rsid w:val="0019567D"/>
    <w:rsid w:val="00195B3B"/>
    <w:rsid w:val="00195DD5"/>
    <w:rsid w:val="00195E90"/>
    <w:rsid w:val="00195EA1"/>
    <w:rsid w:val="0019608A"/>
    <w:rsid w:val="00196171"/>
    <w:rsid w:val="001963C3"/>
    <w:rsid w:val="00196661"/>
    <w:rsid w:val="001968C3"/>
    <w:rsid w:val="0019703F"/>
    <w:rsid w:val="0019709D"/>
    <w:rsid w:val="001974B0"/>
    <w:rsid w:val="001979E0"/>
    <w:rsid w:val="00197C50"/>
    <w:rsid w:val="00197D4B"/>
    <w:rsid w:val="001A041E"/>
    <w:rsid w:val="001A04B9"/>
    <w:rsid w:val="001A0AD4"/>
    <w:rsid w:val="001A0B1B"/>
    <w:rsid w:val="001A1071"/>
    <w:rsid w:val="001A11AB"/>
    <w:rsid w:val="001A1425"/>
    <w:rsid w:val="001A16AE"/>
    <w:rsid w:val="001A192E"/>
    <w:rsid w:val="001A19BB"/>
    <w:rsid w:val="001A19EE"/>
    <w:rsid w:val="001A2050"/>
    <w:rsid w:val="001A2432"/>
    <w:rsid w:val="001A2463"/>
    <w:rsid w:val="001A24CF"/>
    <w:rsid w:val="001A2557"/>
    <w:rsid w:val="001A27BA"/>
    <w:rsid w:val="001A2EEA"/>
    <w:rsid w:val="001A35A8"/>
    <w:rsid w:val="001A382C"/>
    <w:rsid w:val="001A3969"/>
    <w:rsid w:val="001A4159"/>
    <w:rsid w:val="001A46B3"/>
    <w:rsid w:val="001A49F6"/>
    <w:rsid w:val="001A4ABB"/>
    <w:rsid w:val="001A4CF9"/>
    <w:rsid w:val="001A5170"/>
    <w:rsid w:val="001A51F3"/>
    <w:rsid w:val="001A52A3"/>
    <w:rsid w:val="001A5788"/>
    <w:rsid w:val="001A5B02"/>
    <w:rsid w:val="001A5E66"/>
    <w:rsid w:val="001A5F6D"/>
    <w:rsid w:val="001A61BF"/>
    <w:rsid w:val="001A6A01"/>
    <w:rsid w:val="001A6CBE"/>
    <w:rsid w:val="001A6DB4"/>
    <w:rsid w:val="001A713E"/>
    <w:rsid w:val="001A725B"/>
    <w:rsid w:val="001A74EA"/>
    <w:rsid w:val="001A7731"/>
    <w:rsid w:val="001A77C5"/>
    <w:rsid w:val="001A782C"/>
    <w:rsid w:val="001A79AB"/>
    <w:rsid w:val="001A7AD4"/>
    <w:rsid w:val="001A7E3C"/>
    <w:rsid w:val="001B0A23"/>
    <w:rsid w:val="001B0B23"/>
    <w:rsid w:val="001B0C0B"/>
    <w:rsid w:val="001B0C62"/>
    <w:rsid w:val="001B0F23"/>
    <w:rsid w:val="001B13A8"/>
    <w:rsid w:val="001B1604"/>
    <w:rsid w:val="001B16C5"/>
    <w:rsid w:val="001B1875"/>
    <w:rsid w:val="001B1F4B"/>
    <w:rsid w:val="001B21E5"/>
    <w:rsid w:val="001B2260"/>
    <w:rsid w:val="001B241E"/>
    <w:rsid w:val="001B257C"/>
    <w:rsid w:val="001B272B"/>
    <w:rsid w:val="001B29AA"/>
    <w:rsid w:val="001B29C9"/>
    <w:rsid w:val="001B2B73"/>
    <w:rsid w:val="001B2BE4"/>
    <w:rsid w:val="001B2DE3"/>
    <w:rsid w:val="001B3152"/>
    <w:rsid w:val="001B33D9"/>
    <w:rsid w:val="001B3481"/>
    <w:rsid w:val="001B34F1"/>
    <w:rsid w:val="001B3690"/>
    <w:rsid w:val="001B388B"/>
    <w:rsid w:val="001B3945"/>
    <w:rsid w:val="001B39FC"/>
    <w:rsid w:val="001B3B6D"/>
    <w:rsid w:val="001B3C7D"/>
    <w:rsid w:val="001B3D1C"/>
    <w:rsid w:val="001B3F43"/>
    <w:rsid w:val="001B40B2"/>
    <w:rsid w:val="001B43C4"/>
    <w:rsid w:val="001B44EE"/>
    <w:rsid w:val="001B4551"/>
    <w:rsid w:val="001B46BE"/>
    <w:rsid w:val="001B56EF"/>
    <w:rsid w:val="001B5723"/>
    <w:rsid w:val="001B58EB"/>
    <w:rsid w:val="001B5A05"/>
    <w:rsid w:val="001B5A09"/>
    <w:rsid w:val="001B5B04"/>
    <w:rsid w:val="001B6310"/>
    <w:rsid w:val="001B6335"/>
    <w:rsid w:val="001B674D"/>
    <w:rsid w:val="001B6815"/>
    <w:rsid w:val="001B68D2"/>
    <w:rsid w:val="001B6A56"/>
    <w:rsid w:val="001B6AC7"/>
    <w:rsid w:val="001B743B"/>
    <w:rsid w:val="001B75F1"/>
    <w:rsid w:val="001B77C0"/>
    <w:rsid w:val="001B78A9"/>
    <w:rsid w:val="001B79E6"/>
    <w:rsid w:val="001C00EE"/>
    <w:rsid w:val="001C03BE"/>
    <w:rsid w:val="001C064C"/>
    <w:rsid w:val="001C077E"/>
    <w:rsid w:val="001C07CA"/>
    <w:rsid w:val="001C0995"/>
    <w:rsid w:val="001C09DC"/>
    <w:rsid w:val="001C0C00"/>
    <w:rsid w:val="001C0CD9"/>
    <w:rsid w:val="001C0D50"/>
    <w:rsid w:val="001C0D5D"/>
    <w:rsid w:val="001C0F41"/>
    <w:rsid w:val="001C1147"/>
    <w:rsid w:val="001C11AE"/>
    <w:rsid w:val="001C1A48"/>
    <w:rsid w:val="001C1ABB"/>
    <w:rsid w:val="001C1BDC"/>
    <w:rsid w:val="001C1F18"/>
    <w:rsid w:val="001C21B2"/>
    <w:rsid w:val="001C220B"/>
    <w:rsid w:val="001C22D8"/>
    <w:rsid w:val="001C28D4"/>
    <w:rsid w:val="001C2928"/>
    <w:rsid w:val="001C2981"/>
    <w:rsid w:val="001C2B31"/>
    <w:rsid w:val="001C2C2D"/>
    <w:rsid w:val="001C2D57"/>
    <w:rsid w:val="001C2F80"/>
    <w:rsid w:val="001C2FA7"/>
    <w:rsid w:val="001C3224"/>
    <w:rsid w:val="001C3340"/>
    <w:rsid w:val="001C3544"/>
    <w:rsid w:val="001C361E"/>
    <w:rsid w:val="001C3632"/>
    <w:rsid w:val="001C37CA"/>
    <w:rsid w:val="001C3C3C"/>
    <w:rsid w:val="001C3D54"/>
    <w:rsid w:val="001C3D82"/>
    <w:rsid w:val="001C3E38"/>
    <w:rsid w:val="001C410B"/>
    <w:rsid w:val="001C43E8"/>
    <w:rsid w:val="001C466B"/>
    <w:rsid w:val="001C4819"/>
    <w:rsid w:val="001C4AB8"/>
    <w:rsid w:val="001C5472"/>
    <w:rsid w:val="001C5509"/>
    <w:rsid w:val="001C583D"/>
    <w:rsid w:val="001C59BA"/>
    <w:rsid w:val="001C5EE7"/>
    <w:rsid w:val="001C5F8C"/>
    <w:rsid w:val="001C6E7C"/>
    <w:rsid w:val="001C6FC3"/>
    <w:rsid w:val="001C7014"/>
    <w:rsid w:val="001C7265"/>
    <w:rsid w:val="001C72C3"/>
    <w:rsid w:val="001C7766"/>
    <w:rsid w:val="001C7835"/>
    <w:rsid w:val="001C783F"/>
    <w:rsid w:val="001C7A47"/>
    <w:rsid w:val="001D03FF"/>
    <w:rsid w:val="001D0439"/>
    <w:rsid w:val="001D052F"/>
    <w:rsid w:val="001D090F"/>
    <w:rsid w:val="001D0C74"/>
    <w:rsid w:val="001D0CF1"/>
    <w:rsid w:val="001D0E1D"/>
    <w:rsid w:val="001D0E89"/>
    <w:rsid w:val="001D1091"/>
    <w:rsid w:val="001D1156"/>
    <w:rsid w:val="001D1328"/>
    <w:rsid w:val="001D144B"/>
    <w:rsid w:val="001D1473"/>
    <w:rsid w:val="001D1688"/>
    <w:rsid w:val="001D182C"/>
    <w:rsid w:val="001D1867"/>
    <w:rsid w:val="001D197C"/>
    <w:rsid w:val="001D1A9F"/>
    <w:rsid w:val="001D1D55"/>
    <w:rsid w:val="001D20F0"/>
    <w:rsid w:val="001D2485"/>
    <w:rsid w:val="001D289E"/>
    <w:rsid w:val="001D2D47"/>
    <w:rsid w:val="001D2FBD"/>
    <w:rsid w:val="001D3042"/>
    <w:rsid w:val="001D3286"/>
    <w:rsid w:val="001D4C4A"/>
    <w:rsid w:val="001D4F20"/>
    <w:rsid w:val="001D53C6"/>
    <w:rsid w:val="001D5415"/>
    <w:rsid w:val="001D5E6D"/>
    <w:rsid w:val="001D5E7C"/>
    <w:rsid w:val="001D5E8D"/>
    <w:rsid w:val="001D60FE"/>
    <w:rsid w:val="001D63B1"/>
    <w:rsid w:val="001D6583"/>
    <w:rsid w:val="001D6EF3"/>
    <w:rsid w:val="001D71F3"/>
    <w:rsid w:val="001D71F5"/>
    <w:rsid w:val="001D7292"/>
    <w:rsid w:val="001D752E"/>
    <w:rsid w:val="001D7574"/>
    <w:rsid w:val="001D759E"/>
    <w:rsid w:val="001D7967"/>
    <w:rsid w:val="001D7D36"/>
    <w:rsid w:val="001E0115"/>
    <w:rsid w:val="001E01CD"/>
    <w:rsid w:val="001E037B"/>
    <w:rsid w:val="001E070C"/>
    <w:rsid w:val="001E08AA"/>
    <w:rsid w:val="001E0A92"/>
    <w:rsid w:val="001E0B31"/>
    <w:rsid w:val="001E0E73"/>
    <w:rsid w:val="001E12E8"/>
    <w:rsid w:val="001E1332"/>
    <w:rsid w:val="001E1616"/>
    <w:rsid w:val="001E1860"/>
    <w:rsid w:val="001E1D60"/>
    <w:rsid w:val="001E1DBF"/>
    <w:rsid w:val="001E1DDA"/>
    <w:rsid w:val="001E206C"/>
    <w:rsid w:val="001E2167"/>
    <w:rsid w:val="001E2464"/>
    <w:rsid w:val="001E256C"/>
    <w:rsid w:val="001E2656"/>
    <w:rsid w:val="001E2931"/>
    <w:rsid w:val="001E2AB5"/>
    <w:rsid w:val="001E2C52"/>
    <w:rsid w:val="001E2C87"/>
    <w:rsid w:val="001E2E1A"/>
    <w:rsid w:val="001E2F4B"/>
    <w:rsid w:val="001E31BB"/>
    <w:rsid w:val="001E3298"/>
    <w:rsid w:val="001E34A8"/>
    <w:rsid w:val="001E3DEA"/>
    <w:rsid w:val="001E3FFD"/>
    <w:rsid w:val="001E4252"/>
    <w:rsid w:val="001E4478"/>
    <w:rsid w:val="001E4498"/>
    <w:rsid w:val="001E4DAF"/>
    <w:rsid w:val="001E5035"/>
    <w:rsid w:val="001E53D0"/>
    <w:rsid w:val="001E5410"/>
    <w:rsid w:val="001E5467"/>
    <w:rsid w:val="001E54D1"/>
    <w:rsid w:val="001E583D"/>
    <w:rsid w:val="001E5871"/>
    <w:rsid w:val="001E5984"/>
    <w:rsid w:val="001E5E86"/>
    <w:rsid w:val="001E6136"/>
    <w:rsid w:val="001E65E9"/>
    <w:rsid w:val="001E678D"/>
    <w:rsid w:val="001E6A19"/>
    <w:rsid w:val="001E6DD5"/>
    <w:rsid w:val="001E6E6C"/>
    <w:rsid w:val="001E6F9E"/>
    <w:rsid w:val="001E70AF"/>
    <w:rsid w:val="001E7B62"/>
    <w:rsid w:val="001F0216"/>
    <w:rsid w:val="001F0252"/>
    <w:rsid w:val="001F0380"/>
    <w:rsid w:val="001F040A"/>
    <w:rsid w:val="001F074A"/>
    <w:rsid w:val="001F0839"/>
    <w:rsid w:val="001F0B97"/>
    <w:rsid w:val="001F0DE6"/>
    <w:rsid w:val="001F0F71"/>
    <w:rsid w:val="001F10AF"/>
    <w:rsid w:val="001F1255"/>
    <w:rsid w:val="001F1263"/>
    <w:rsid w:val="001F1325"/>
    <w:rsid w:val="001F1534"/>
    <w:rsid w:val="001F160F"/>
    <w:rsid w:val="001F1777"/>
    <w:rsid w:val="001F193A"/>
    <w:rsid w:val="001F19CA"/>
    <w:rsid w:val="001F1CF3"/>
    <w:rsid w:val="001F1FFB"/>
    <w:rsid w:val="001F20CF"/>
    <w:rsid w:val="001F21CE"/>
    <w:rsid w:val="001F27D4"/>
    <w:rsid w:val="001F289F"/>
    <w:rsid w:val="001F28B2"/>
    <w:rsid w:val="001F2D96"/>
    <w:rsid w:val="001F2F71"/>
    <w:rsid w:val="001F3267"/>
    <w:rsid w:val="001F3463"/>
    <w:rsid w:val="001F37B6"/>
    <w:rsid w:val="001F3888"/>
    <w:rsid w:val="001F38A6"/>
    <w:rsid w:val="001F3C72"/>
    <w:rsid w:val="001F3D13"/>
    <w:rsid w:val="001F3E00"/>
    <w:rsid w:val="001F3F38"/>
    <w:rsid w:val="001F3FFC"/>
    <w:rsid w:val="001F4151"/>
    <w:rsid w:val="001F42B7"/>
    <w:rsid w:val="001F43B4"/>
    <w:rsid w:val="001F4537"/>
    <w:rsid w:val="001F4741"/>
    <w:rsid w:val="001F4BBD"/>
    <w:rsid w:val="001F4CDE"/>
    <w:rsid w:val="001F4D6D"/>
    <w:rsid w:val="001F5453"/>
    <w:rsid w:val="001F5AC3"/>
    <w:rsid w:val="001F5C16"/>
    <w:rsid w:val="001F5CAB"/>
    <w:rsid w:val="001F5DA0"/>
    <w:rsid w:val="001F5E58"/>
    <w:rsid w:val="001F5E78"/>
    <w:rsid w:val="001F6141"/>
    <w:rsid w:val="001F62B0"/>
    <w:rsid w:val="001F67B5"/>
    <w:rsid w:val="001F6856"/>
    <w:rsid w:val="001F6DB3"/>
    <w:rsid w:val="001F7102"/>
    <w:rsid w:val="001F73EC"/>
    <w:rsid w:val="001F7447"/>
    <w:rsid w:val="001F7459"/>
    <w:rsid w:val="001F7B84"/>
    <w:rsid w:val="001F7FEE"/>
    <w:rsid w:val="0020003E"/>
    <w:rsid w:val="00200264"/>
    <w:rsid w:val="00200391"/>
    <w:rsid w:val="002005DC"/>
    <w:rsid w:val="00200869"/>
    <w:rsid w:val="002008D2"/>
    <w:rsid w:val="00200AB3"/>
    <w:rsid w:val="00200B56"/>
    <w:rsid w:val="00201152"/>
    <w:rsid w:val="002012E4"/>
    <w:rsid w:val="0020134F"/>
    <w:rsid w:val="0020178B"/>
    <w:rsid w:val="0020198F"/>
    <w:rsid w:val="00201B66"/>
    <w:rsid w:val="002023A2"/>
    <w:rsid w:val="002024BC"/>
    <w:rsid w:val="00202C13"/>
    <w:rsid w:val="00202C4F"/>
    <w:rsid w:val="00202CC5"/>
    <w:rsid w:val="00202E7A"/>
    <w:rsid w:val="00202FC6"/>
    <w:rsid w:val="00203056"/>
    <w:rsid w:val="0020315D"/>
    <w:rsid w:val="002036C3"/>
    <w:rsid w:val="002038FD"/>
    <w:rsid w:val="00203ABD"/>
    <w:rsid w:val="00203BEF"/>
    <w:rsid w:val="00203C32"/>
    <w:rsid w:val="00204145"/>
    <w:rsid w:val="00204291"/>
    <w:rsid w:val="002043AA"/>
    <w:rsid w:val="002045F1"/>
    <w:rsid w:val="00204653"/>
    <w:rsid w:val="00204737"/>
    <w:rsid w:val="0020486D"/>
    <w:rsid w:val="00204B4E"/>
    <w:rsid w:val="00204C00"/>
    <w:rsid w:val="00204DE3"/>
    <w:rsid w:val="00204EB3"/>
    <w:rsid w:val="00204ED9"/>
    <w:rsid w:val="00204FA9"/>
    <w:rsid w:val="0020506E"/>
    <w:rsid w:val="00205364"/>
    <w:rsid w:val="0020566B"/>
    <w:rsid w:val="00205676"/>
    <w:rsid w:val="002056A8"/>
    <w:rsid w:val="00205B7E"/>
    <w:rsid w:val="00205CC5"/>
    <w:rsid w:val="00205DB1"/>
    <w:rsid w:val="00205DEE"/>
    <w:rsid w:val="0020611C"/>
    <w:rsid w:val="002064D0"/>
    <w:rsid w:val="00206859"/>
    <w:rsid w:val="00206A6C"/>
    <w:rsid w:val="00206D11"/>
    <w:rsid w:val="00206E2D"/>
    <w:rsid w:val="00206E8B"/>
    <w:rsid w:val="00206F5D"/>
    <w:rsid w:val="0020703D"/>
    <w:rsid w:val="002074FD"/>
    <w:rsid w:val="002079A1"/>
    <w:rsid w:val="00207D18"/>
    <w:rsid w:val="00207DE7"/>
    <w:rsid w:val="002101F6"/>
    <w:rsid w:val="002103D2"/>
    <w:rsid w:val="00210432"/>
    <w:rsid w:val="0021049D"/>
    <w:rsid w:val="00210606"/>
    <w:rsid w:val="002106CB"/>
    <w:rsid w:val="002108D3"/>
    <w:rsid w:val="00210D6B"/>
    <w:rsid w:val="00210DE1"/>
    <w:rsid w:val="00210EB1"/>
    <w:rsid w:val="0021118B"/>
    <w:rsid w:val="00211630"/>
    <w:rsid w:val="00211792"/>
    <w:rsid w:val="00211D9E"/>
    <w:rsid w:val="00211E42"/>
    <w:rsid w:val="00211FA6"/>
    <w:rsid w:val="0021234C"/>
    <w:rsid w:val="0021237E"/>
    <w:rsid w:val="00212AB4"/>
    <w:rsid w:val="00212C76"/>
    <w:rsid w:val="00212CE6"/>
    <w:rsid w:val="00212EAA"/>
    <w:rsid w:val="002130C4"/>
    <w:rsid w:val="002135B6"/>
    <w:rsid w:val="002136B1"/>
    <w:rsid w:val="002136DF"/>
    <w:rsid w:val="00214140"/>
    <w:rsid w:val="002148F7"/>
    <w:rsid w:val="00214A99"/>
    <w:rsid w:val="00214C82"/>
    <w:rsid w:val="00214E4F"/>
    <w:rsid w:val="00214FF0"/>
    <w:rsid w:val="0021543E"/>
    <w:rsid w:val="002155C3"/>
    <w:rsid w:val="00215780"/>
    <w:rsid w:val="002158D1"/>
    <w:rsid w:val="00215A92"/>
    <w:rsid w:val="00215AA8"/>
    <w:rsid w:val="00215E89"/>
    <w:rsid w:val="0021619E"/>
    <w:rsid w:val="002162C1"/>
    <w:rsid w:val="00216624"/>
    <w:rsid w:val="00216719"/>
    <w:rsid w:val="002167B9"/>
    <w:rsid w:val="002168E8"/>
    <w:rsid w:val="00216B6C"/>
    <w:rsid w:val="00217429"/>
    <w:rsid w:val="00217499"/>
    <w:rsid w:val="00217678"/>
    <w:rsid w:val="00217C7F"/>
    <w:rsid w:val="002200B9"/>
    <w:rsid w:val="0022046F"/>
    <w:rsid w:val="00220518"/>
    <w:rsid w:val="00220754"/>
    <w:rsid w:val="002208C1"/>
    <w:rsid w:val="00220D7B"/>
    <w:rsid w:val="00220E6C"/>
    <w:rsid w:val="00221499"/>
    <w:rsid w:val="002214CE"/>
    <w:rsid w:val="00221616"/>
    <w:rsid w:val="00221639"/>
    <w:rsid w:val="00221C36"/>
    <w:rsid w:val="00221EA1"/>
    <w:rsid w:val="002221B9"/>
    <w:rsid w:val="002221F6"/>
    <w:rsid w:val="002222A6"/>
    <w:rsid w:val="00222367"/>
    <w:rsid w:val="00222743"/>
    <w:rsid w:val="0022282C"/>
    <w:rsid w:val="00222D10"/>
    <w:rsid w:val="00223154"/>
    <w:rsid w:val="0022318D"/>
    <w:rsid w:val="002233E0"/>
    <w:rsid w:val="002236CE"/>
    <w:rsid w:val="0022376E"/>
    <w:rsid w:val="00223836"/>
    <w:rsid w:val="00223A0E"/>
    <w:rsid w:val="00223FDF"/>
    <w:rsid w:val="00224806"/>
    <w:rsid w:val="0022529E"/>
    <w:rsid w:val="00225383"/>
    <w:rsid w:val="00225408"/>
    <w:rsid w:val="00225936"/>
    <w:rsid w:val="002262A9"/>
    <w:rsid w:val="00226DF0"/>
    <w:rsid w:val="00226F24"/>
    <w:rsid w:val="00226FA2"/>
    <w:rsid w:val="00226FE5"/>
    <w:rsid w:val="00227028"/>
    <w:rsid w:val="002270A0"/>
    <w:rsid w:val="002275A3"/>
    <w:rsid w:val="002277B8"/>
    <w:rsid w:val="002277BC"/>
    <w:rsid w:val="00227839"/>
    <w:rsid w:val="002278A8"/>
    <w:rsid w:val="00227940"/>
    <w:rsid w:val="00230227"/>
    <w:rsid w:val="002303B8"/>
    <w:rsid w:val="002305B5"/>
    <w:rsid w:val="0023090F"/>
    <w:rsid w:val="00230B15"/>
    <w:rsid w:val="00230C75"/>
    <w:rsid w:val="00230CD5"/>
    <w:rsid w:val="002312B9"/>
    <w:rsid w:val="002312F9"/>
    <w:rsid w:val="002316E9"/>
    <w:rsid w:val="00231B67"/>
    <w:rsid w:val="00231EC0"/>
    <w:rsid w:val="00232182"/>
    <w:rsid w:val="00232296"/>
    <w:rsid w:val="002323B2"/>
    <w:rsid w:val="002324A7"/>
    <w:rsid w:val="0023318B"/>
    <w:rsid w:val="00233639"/>
    <w:rsid w:val="00233A78"/>
    <w:rsid w:val="00233B18"/>
    <w:rsid w:val="00233D0D"/>
    <w:rsid w:val="00233E70"/>
    <w:rsid w:val="00233FB4"/>
    <w:rsid w:val="002342B3"/>
    <w:rsid w:val="0023456D"/>
    <w:rsid w:val="002347ED"/>
    <w:rsid w:val="002348D1"/>
    <w:rsid w:val="00234974"/>
    <w:rsid w:val="00234E1A"/>
    <w:rsid w:val="00234F70"/>
    <w:rsid w:val="002350A2"/>
    <w:rsid w:val="002350F1"/>
    <w:rsid w:val="00235114"/>
    <w:rsid w:val="00235205"/>
    <w:rsid w:val="002352B9"/>
    <w:rsid w:val="0023549D"/>
    <w:rsid w:val="002359B6"/>
    <w:rsid w:val="00235B8A"/>
    <w:rsid w:val="00235D51"/>
    <w:rsid w:val="00235D83"/>
    <w:rsid w:val="00235E96"/>
    <w:rsid w:val="002360DF"/>
    <w:rsid w:val="00236741"/>
    <w:rsid w:val="00236758"/>
    <w:rsid w:val="0023694F"/>
    <w:rsid w:val="00236B75"/>
    <w:rsid w:val="00236B7B"/>
    <w:rsid w:val="00237078"/>
    <w:rsid w:val="00237249"/>
    <w:rsid w:val="002377E4"/>
    <w:rsid w:val="00237855"/>
    <w:rsid w:val="00237BDA"/>
    <w:rsid w:val="00237C11"/>
    <w:rsid w:val="00237E04"/>
    <w:rsid w:val="00237F1E"/>
    <w:rsid w:val="00240097"/>
    <w:rsid w:val="00240318"/>
    <w:rsid w:val="0024046C"/>
    <w:rsid w:val="002404F4"/>
    <w:rsid w:val="00240845"/>
    <w:rsid w:val="00240E4F"/>
    <w:rsid w:val="00240E85"/>
    <w:rsid w:val="00240EA3"/>
    <w:rsid w:val="0024136D"/>
    <w:rsid w:val="00241703"/>
    <w:rsid w:val="00241B50"/>
    <w:rsid w:val="00241CCD"/>
    <w:rsid w:val="00241CF4"/>
    <w:rsid w:val="00241E10"/>
    <w:rsid w:val="00242CC8"/>
    <w:rsid w:val="002431B1"/>
    <w:rsid w:val="002438AD"/>
    <w:rsid w:val="002439F4"/>
    <w:rsid w:val="00243DD9"/>
    <w:rsid w:val="00243FE5"/>
    <w:rsid w:val="002441C5"/>
    <w:rsid w:val="002443A3"/>
    <w:rsid w:val="00244552"/>
    <w:rsid w:val="00244731"/>
    <w:rsid w:val="00244892"/>
    <w:rsid w:val="00244ABE"/>
    <w:rsid w:val="00244C33"/>
    <w:rsid w:val="00244EDA"/>
    <w:rsid w:val="0024551A"/>
    <w:rsid w:val="002455DA"/>
    <w:rsid w:val="00245A06"/>
    <w:rsid w:val="00245E91"/>
    <w:rsid w:val="0024609A"/>
    <w:rsid w:val="00246369"/>
    <w:rsid w:val="00246B0B"/>
    <w:rsid w:val="00246B66"/>
    <w:rsid w:val="00246C94"/>
    <w:rsid w:val="00246EF8"/>
    <w:rsid w:val="00246F29"/>
    <w:rsid w:val="002472DE"/>
    <w:rsid w:val="00247713"/>
    <w:rsid w:val="00247DDC"/>
    <w:rsid w:val="0025013A"/>
    <w:rsid w:val="002502D3"/>
    <w:rsid w:val="002502E5"/>
    <w:rsid w:val="00250B1D"/>
    <w:rsid w:val="00250F26"/>
    <w:rsid w:val="002516F6"/>
    <w:rsid w:val="00251925"/>
    <w:rsid w:val="00251B4E"/>
    <w:rsid w:val="002524D1"/>
    <w:rsid w:val="00252580"/>
    <w:rsid w:val="00252613"/>
    <w:rsid w:val="002528ED"/>
    <w:rsid w:val="00252C88"/>
    <w:rsid w:val="00252E63"/>
    <w:rsid w:val="00252E87"/>
    <w:rsid w:val="00252F36"/>
    <w:rsid w:val="00252FEA"/>
    <w:rsid w:val="0025317A"/>
    <w:rsid w:val="002533EA"/>
    <w:rsid w:val="00253AA1"/>
    <w:rsid w:val="00253DC3"/>
    <w:rsid w:val="00253F6C"/>
    <w:rsid w:val="00254528"/>
    <w:rsid w:val="002545A0"/>
    <w:rsid w:val="00254606"/>
    <w:rsid w:val="0025472E"/>
    <w:rsid w:val="002557C1"/>
    <w:rsid w:val="00255CFC"/>
    <w:rsid w:val="00255F9E"/>
    <w:rsid w:val="0025653E"/>
    <w:rsid w:val="002569A1"/>
    <w:rsid w:val="002569EA"/>
    <w:rsid w:val="00256AEE"/>
    <w:rsid w:val="00256C48"/>
    <w:rsid w:val="00256C50"/>
    <w:rsid w:val="00256DEF"/>
    <w:rsid w:val="00256E89"/>
    <w:rsid w:val="0025734F"/>
    <w:rsid w:val="002575AD"/>
    <w:rsid w:val="00257932"/>
    <w:rsid w:val="00257A6C"/>
    <w:rsid w:val="00257EE3"/>
    <w:rsid w:val="002602AB"/>
    <w:rsid w:val="00260682"/>
    <w:rsid w:val="00260B2F"/>
    <w:rsid w:val="00261218"/>
    <w:rsid w:val="002615DF"/>
    <w:rsid w:val="0026163A"/>
    <w:rsid w:val="00261890"/>
    <w:rsid w:val="00261AAE"/>
    <w:rsid w:val="00261BF4"/>
    <w:rsid w:val="00262338"/>
    <w:rsid w:val="002624EF"/>
    <w:rsid w:val="00262807"/>
    <w:rsid w:val="0026284C"/>
    <w:rsid w:val="00262E6F"/>
    <w:rsid w:val="00263055"/>
    <w:rsid w:val="0026308A"/>
    <w:rsid w:val="002638C4"/>
    <w:rsid w:val="00263C43"/>
    <w:rsid w:val="00263E7C"/>
    <w:rsid w:val="00263F04"/>
    <w:rsid w:val="0026415D"/>
    <w:rsid w:val="00264423"/>
    <w:rsid w:val="002644AC"/>
    <w:rsid w:val="00264540"/>
    <w:rsid w:val="002646BC"/>
    <w:rsid w:val="00265C97"/>
    <w:rsid w:val="00265D8B"/>
    <w:rsid w:val="00266209"/>
    <w:rsid w:val="002667E8"/>
    <w:rsid w:val="00266AB2"/>
    <w:rsid w:val="00267074"/>
    <w:rsid w:val="0026739E"/>
    <w:rsid w:val="00267541"/>
    <w:rsid w:val="0026780B"/>
    <w:rsid w:val="00267C51"/>
    <w:rsid w:val="00270399"/>
    <w:rsid w:val="0027055E"/>
    <w:rsid w:val="00270720"/>
    <w:rsid w:val="00270CA1"/>
    <w:rsid w:val="00270FE4"/>
    <w:rsid w:val="00271B5D"/>
    <w:rsid w:val="00271DCA"/>
    <w:rsid w:val="00272013"/>
    <w:rsid w:val="00272057"/>
    <w:rsid w:val="0027207B"/>
    <w:rsid w:val="002720B6"/>
    <w:rsid w:val="002726B1"/>
    <w:rsid w:val="00272701"/>
    <w:rsid w:val="0027296E"/>
    <w:rsid w:val="002729B6"/>
    <w:rsid w:val="00272BE0"/>
    <w:rsid w:val="00272D87"/>
    <w:rsid w:val="002739CF"/>
    <w:rsid w:val="00273B83"/>
    <w:rsid w:val="00273D24"/>
    <w:rsid w:val="00273ED8"/>
    <w:rsid w:val="00273F80"/>
    <w:rsid w:val="00273FFA"/>
    <w:rsid w:val="002744F5"/>
    <w:rsid w:val="00274643"/>
    <w:rsid w:val="00274670"/>
    <w:rsid w:val="002747A8"/>
    <w:rsid w:val="00275589"/>
    <w:rsid w:val="002757BC"/>
    <w:rsid w:val="00275C3A"/>
    <w:rsid w:val="0027601F"/>
    <w:rsid w:val="002760E8"/>
    <w:rsid w:val="0027657E"/>
    <w:rsid w:val="00276703"/>
    <w:rsid w:val="002769A6"/>
    <w:rsid w:val="00276B11"/>
    <w:rsid w:val="00276B2A"/>
    <w:rsid w:val="00276E79"/>
    <w:rsid w:val="00276F88"/>
    <w:rsid w:val="00276FD2"/>
    <w:rsid w:val="0027704A"/>
    <w:rsid w:val="002770FD"/>
    <w:rsid w:val="002773A1"/>
    <w:rsid w:val="0027769B"/>
    <w:rsid w:val="00277995"/>
    <w:rsid w:val="00277C1E"/>
    <w:rsid w:val="00277EB2"/>
    <w:rsid w:val="00277FCA"/>
    <w:rsid w:val="00280538"/>
    <w:rsid w:val="00280543"/>
    <w:rsid w:val="0028091C"/>
    <w:rsid w:val="00280B94"/>
    <w:rsid w:val="00280C33"/>
    <w:rsid w:val="00280C9E"/>
    <w:rsid w:val="00280D94"/>
    <w:rsid w:val="00280E07"/>
    <w:rsid w:val="00281491"/>
    <w:rsid w:val="00281537"/>
    <w:rsid w:val="00281805"/>
    <w:rsid w:val="002818EF"/>
    <w:rsid w:val="00281A1F"/>
    <w:rsid w:val="00281B3A"/>
    <w:rsid w:val="00281C80"/>
    <w:rsid w:val="00281E1B"/>
    <w:rsid w:val="00281E8D"/>
    <w:rsid w:val="002823D1"/>
    <w:rsid w:val="00282A48"/>
    <w:rsid w:val="00282D3F"/>
    <w:rsid w:val="00283070"/>
    <w:rsid w:val="0028331E"/>
    <w:rsid w:val="00283478"/>
    <w:rsid w:val="0028389C"/>
    <w:rsid w:val="00283B45"/>
    <w:rsid w:val="002840E4"/>
    <w:rsid w:val="00284123"/>
    <w:rsid w:val="00284130"/>
    <w:rsid w:val="0028416E"/>
    <w:rsid w:val="002842D8"/>
    <w:rsid w:val="002842EE"/>
    <w:rsid w:val="0028448A"/>
    <w:rsid w:val="00284955"/>
    <w:rsid w:val="00284CD0"/>
    <w:rsid w:val="0028514B"/>
    <w:rsid w:val="00285532"/>
    <w:rsid w:val="002858A0"/>
    <w:rsid w:val="002859ED"/>
    <w:rsid w:val="00285FE4"/>
    <w:rsid w:val="0028604D"/>
    <w:rsid w:val="002862C3"/>
    <w:rsid w:val="002864F1"/>
    <w:rsid w:val="0028658C"/>
    <w:rsid w:val="00286682"/>
    <w:rsid w:val="002866EF"/>
    <w:rsid w:val="0028687D"/>
    <w:rsid w:val="00286B95"/>
    <w:rsid w:val="00286C60"/>
    <w:rsid w:val="00286F8E"/>
    <w:rsid w:val="00287431"/>
    <w:rsid w:val="00287918"/>
    <w:rsid w:val="00290033"/>
    <w:rsid w:val="00290366"/>
    <w:rsid w:val="002905BB"/>
    <w:rsid w:val="00290924"/>
    <w:rsid w:val="002909E3"/>
    <w:rsid w:val="00290BDB"/>
    <w:rsid w:val="00291246"/>
    <w:rsid w:val="0029160B"/>
    <w:rsid w:val="00291731"/>
    <w:rsid w:val="00291B35"/>
    <w:rsid w:val="00291DE1"/>
    <w:rsid w:val="00291EA8"/>
    <w:rsid w:val="00291F05"/>
    <w:rsid w:val="00291FB7"/>
    <w:rsid w:val="00291FE1"/>
    <w:rsid w:val="002921CD"/>
    <w:rsid w:val="002923EE"/>
    <w:rsid w:val="002928E9"/>
    <w:rsid w:val="00292BC1"/>
    <w:rsid w:val="00292D50"/>
    <w:rsid w:val="00292E4B"/>
    <w:rsid w:val="0029307D"/>
    <w:rsid w:val="002931B5"/>
    <w:rsid w:val="0029333F"/>
    <w:rsid w:val="002936CA"/>
    <w:rsid w:val="002937E9"/>
    <w:rsid w:val="00293800"/>
    <w:rsid w:val="002938E4"/>
    <w:rsid w:val="00293A82"/>
    <w:rsid w:val="00293B6C"/>
    <w:rsid w:val="00293CA7"/>
    <w:rsid w:val="002940CF"/>
    <w:rsid w:val="002942DC"/>
    <w:rsid w:val="0029470C"/>
    <w:rsid w:val="00294808"/>
    <w:rsid w:val="00294852"/>
    <w:rsid w:val="002949F2"/>
    <w:rsid w:val="00294B1B"/>
    <w:rsid w:val="00294B35"/>
    <w:rsid w:val="00294CDF"/>
    <w:rsid w:val="00294D3B"/>
    <w:rsid w:val="00295162"/>
    <w:rsid w:val="002960A3"/>
    <w:rsid w:val="00296214"/>
    <w:rsid w:val="00296216"/>
    <w:rsid w:val="00296428"/>
    <w:rsid w:val="00296783"/>
    <w:rsid w:val="00296B08"/>
    <w:rsid w:val="00296F4D"/>
    <w:rsid w:val="0029713C"/>
    <w:rsid w:val="0029741F"/>
    <w:rsid w:val="0029777D"/>
    <w:rsid w:val="00297924"/>
    <w:rsid w:val="00297AA4"/>
    <w:rsid w:val="00297AB1"/>
    <w:rsid w:val="00297C94"/>
    <w:rsid w:val="002A015C"/>
    <w:rsid w:val="002A03D1"/>
    <w:rsid w:val="002A058F"/>
    <w:rsid w:val="002A0A24"/>
    <w:rsid w:val="002A0B5C"/>
    <w:rsid w:val="002A0FEF"/>
    <w:rsid w:val="002A111B"/>
    <w:rsid w:val="002A15BB"/>
    <w:rsid w:val="002A1B29"/>
    <w:rsid w:val="002A1D86"/>
    <w:rsid w:val="002A21EC"/>
    <w:rsid w:val="002A26CC"/>
    <w:rsid w:val="002A272A"/>
    <w:rsid w:val="002A273E"/>
    <w:rsid w:val="002A2885"/>
    <w:rsid w:val="002A2C23"/>
    <w:rsid w:val="002A2DBA"/>
    <w:rsid w:val="002A2EB1"/>
    <w:rsid w:val="002A32DF"/>
    <w:rsid w:val="002A3716"/>
    <w:rsid w:val="002A37BE"/>
    <w:rsid w:val="002A3990"/>
    <w:rsid w:val="002A402C"/>
    <w:rsid w:val="002A40C9"/>
    <w:rsid w:val="002A41E9"/>
    <w:rsid w:val="002A4615"/>
    <w:rsid w:val="002A46AF"/>
    <w:rsid w:val="002A4717"/>
    <w:rsid w:val="002A4B82"/>
    <w:rsid w:val="002A4B85"/>
    <w:rsid w:val="002A4D1D"/>
    <w:rsid w:val="002A4F24"/>
    <w:rsid w:val="002A564A"/>
    <w:rsid w:val="002A5863"/>
    <w:rsid w:val="002A5B71"/>
    <w:rsid w:val="002A5C12"/>
    <w:rsid w:val="002A5C50"/>
    <w:rsid w:val="002A5C76"/>
    <w:rsid w:val="002A5CE0"/>
    <w:rsid w:val="002A5CFC"/>
    <w:rsid w:val="002A5E97"/>
    <w:rsid w:val="002A5F09"/>
    <w:rsid w:val="002A5F69"/>
    <w:rsid w:val="002A6088"/>
    <w:rsid w:val="002A61C3"/>
    <w:rsid w:val="002A627B"/>
    <w:rsid w:val="002A63A2"/>
    <w:rsid w:val="002A6634"/>
    <w:rsid w:val="002A66F3"/>
    <w:rsid w:val="002A682A"/>
    <w:rsid w:val="002A694B"/>
    <w:rsid w:val="002A6B61"/>
    <w:rsid w:val="002A6BE3"/>
    <w:rsid w:val="002A6C1D"/>
    <w:rsid w:val="002A6C1F"/>
    <w:rsid w:val="002A6CB7"/>
    <w:rsid w:val="002A7361"/>
    <w:rsid w:val="002A73D8"/>
    <w:rsid w:val="002A79CD"/>
    <w:rsid w:val="002A7B08"/>
    <w:rsid w:val="002B00FE"/>
    <w:rsid w:val="002B034E"/>
    <w:rsid w:val="002B046D"/>
    <w:rsid w:val="002B0555"/>
    <w:rsid w:val="002B0AB3"/>
    <w:rsid w:val="002B0D54"/>
    <w:rsid w:val="002B0E03"/>
    <w:rsid w:val="002B0E21"/>
    <w:rsid w:val="002B1188"/>
    <w:rsid w:val="002B1215"/>
    <w:rsid w:val="002B1366"/>
    <w:rsid w:val="002B13C9"/>
    <w:rsid w:val="002B1456"/>
    <w:rsid w:val="002B1488"/>
    <w:rsid w:val="002B15EB"/>
    <w:rsid w:val="002B165C"/>
    <w:rsid w:val="002B1AF8"/>
    <w:rsid w:val="002B1B33"/>
    <w:rsid w:val="002B2032"/>
    <w:rsid w:val="002B2091"/>
    <w:rsid w:val="002B23BA"/>
    <w:rsid w:val="002B2731"/>
    <w:rsid w:val="002B27DB"/>
    <w:rsid w:val="002B290E"/>
    <w:rsid w:val="002B295B"/>
    <w:rsid w:val="002B2DA8"/>
    <w:rsid w:val="002B2DD2"/>
    <w:rsid w:val="002B301A"/>
    <w:rsid w:val="002B3215"/>
    <w:rsid w:val="002B3250"/>
    <w:rsid w:val="002B32A7"/>
    <w:rsid w:val="002B3372"/>
    <w:rsid w:val="002B345F"/>
    <w:rsid w:val="002B36F0"/>
    <w:rsid w:val="002B3D2F"/>
    <w:rsid w:val="002B3D3C"/>
    <w:rsid w:val="002B3D40"/>
    <w:rsid w:val="002B409E"/>
    <w:rsid w:val="002B40E2"/>
    <w:rsid w:val="002B42D2"/>
    <w:rsid w:val="002B45AF"/>
    <w:rsid w:val="002B4A5F"/>
    <w:rsid w:val="002B4AF3"/>
    <w:rsid w:val="002B4D66"/>
    <w:rsid w:val="002B50BB"/>
    <w:rsid w:val="002B51C6"/>
    <w:rsid w:val="002B54F8"/>
    <w:rsid w:val="002B628F"/>
    <w:rsid w:val="002B62FA"/>
    <w:rsid w:val="002B635F"/>
    <w:rsid w:val="002B6507"/>
    <w:rsid w:val="002B681D"/>
    <w:rsid w:val="002B6BEF"/>
    <w:rsid w:val="002B6D91"/>
    <w:rsid w:val="002B6E64"/>
    <w:rsid w:val="002B767A"/>
    <w:rsid w:val="002B7A5C"/>
    <w:rsid w:val="002B7B55"/>
    <w:rsid w:val="002C06C8"/>
    <w:rsid w:val="002C091E"/>
    <w:rsid w:val="002C0BF2"/>
    <w:rsid w:val="002C0EBA"/>
    <w:rsid w:val="002C133A"/>
    <w:rsid w:val="002C14E7"/>
    <w:rsid w:val="002C1A62"/>
    <w:rsid w:val="002C1D36"/>
    <w:rsid w:val="002C2144"/>
    <w:rsid w:val="002C22D0"/>
    <w:rsid w:val="002C2440"/>
    <w:rsid w:val="002C28E7"/>
    <w:rsid w:val="002C2CAC"/>
    <w:rsid w:val="002C2DD1"/>
    <w:rsid w:val="002C3473"/>
    <w:rsid w:val="002C3575"/>
    <w:rsid w:val="002C35B3"/>
    <w:rsid w:val="002C365B"/>
    <w:rsid w:val="002C37CE"/>
    <w:rsid w:val="002C39E6"/>
    <w:rsid w:val="002C3C7F"/>
    <w:rsid w:val="002C448A"/>
    <w:rsid w:val="002C4666"/>
    <w:rsid w:val="002C4799"/>
    <w:rsid w:val="002C47B8"/>
    <w:rsid w:val="002C4833"/>
    <w:rsid w:val="002C4DE5"/>
    <w:rsid w:val="002C5176"/>
    <w:rsid w:val="002C5241"/>
    <w:rsid w:val="002C5BC6"/>
    <w:rsid w:val="002C6180"/>
    <w:rsid w:val="002C635E"/>
    <w:rsid w:val="002C66D3"/>
    <w:rsid w:val="002C67D5"/>
    <w:rsid w:val="002C68DC"/>
    <w:rsid w:val="002C6962"/>
    <w:rsid w:val="002C6A00"/>
    <w:rsid w:val="002C6BB3"/>
    <w:rsid w:val="002C6C5F"/>
    <w:rsid w:val="002C7118"/>
    <w:rsid w:val="002C738D"/>
    <w:rsid w:val="002C73EF"/>
    <w:rsid w:val="002C74EE"/>
    <w:rsid w:val="002C7886"/>
    <w:rsid w:val="002C7900"/>
    <w:rsid w:val="002C7CC1"/>
    <w:rsid w:val="002C7E22"/>
    <w:rsid w:val="002C7E72"/>
    <w:rsid w:val="002C7E96"/>
    <w:rsid w:val="002C7F99"/>
    <w:rsid w:val="002D0117"/>
    <w:rsid w:val="002D021A"/>
    <w:rsid w:val="002D0288"/>
    <w:rsid w:val="002D0A08"/>
    <w:rsid w:val="002D0DDF"/>
    <w:rsid w:val="002D0F88"/>
    <w:rsid w:val="002D0FB7"/>
    <w:rsid w:val="002D10B1"/>
    <w:rsid w:val="002D1104"/>
    <w:rsid w:val="002D1172"/>
    <w:rsid w:val="002D14A5"/>
    <w:rsid w:val="002D17DE"/>
    <w:rsid w:val="002D1B3C"/>
    <w:rsid w:val="002D1F80"/>
    <w:rsid w:val="002D1FF3"/>
    <w:rsid w:val="002D2136"/>
    <w:rsid w:val="002D22E4"/>
    <w:rsid w:val="002D24B9"/>
    <w:rsid w:val="002D26A4"/>
    <w:rsid w:val="002D270C"/>
    <w:rsid w:val="002D284C"/>
    <w:rsid w:val="002D29EC"/>
    <w:rsid w:val="002D29EF"/>
    <w:rsid w:val="002D2A90"/>
    <w:rsid w:val="002D2BD1"/>
    <w:rsid w:val="002D30FA"/>
    <w:rsid w:val="002D3126"/>
    <w:rsid w:val="002D35E5"/>
    <w:rsid w:val="002D37A8"/>
    <w:rsid w:val="002D38CE"/>
    <w:rsid w:val="002D38FF"/>
    <w:rsid w:val="002D3BB6"/>
    <w:rsid w:val="002D3EC5"/>
    <w:rsid w:val="002D3F2C"/>
    <w:rsid w:val="002D405D"/>
    <w:rsid w:val="002D42C4"/>
    <w:rsid w:val="002D42CC"/>
    <w:rsid w:val="002D434F"/>
    <w:rsid w:val="002D4406"/>
    <w:rsid w:val="002D455E"/>
    <w:rsid w:val="002D4833"/>
    <w:rsid w:val="002D4882"/>
    <w:rsid w:val="002D4900"/>
    <w:rsid w:val="002D4B35"/>
    <w:rsid w:val="002D4BB5"/>
    <w:rsid w:val="002D5024"/>
    <w:rsid w:val="002D512B"/>
    <w:rsid w:val="002D52E8"/>
    <w:rsid w:val="002D52FF"/>
    <w:rsid w:val="002D548D"/>
    <w:rsid w:val="002D5B2A"/>
    <w:rsid w:val="002D5B73"/>
    <w:rsid w:val="002D60CF"/>
    <w:rsid w:val="002D6471"/>
    <w:rsid w:val="002D65F7"/>
    <w:rsid w:val="002D6744"/>
    <w:rsid w:val="002D6A6B"/>
    <w:rsid w:val="002D6AA0"/>
    <w:rsid w:val="002D6AA6"/>
    <w:rsid w:val="002D750C"/>
    <w:rsid w:val="002D751B"/>
    <w:rsid w:val="002D7848"/>
    <w:rsid w:val="002D7D33"/>
    <w:rsid w:val="002E0019"/>
    <w:rsid w:val="002E03F5"/>
    <w:rsid w:val="002E06D0"/>
    <w:rsid w:val="002E1046"/>
    <w:rsid w:val="002E1395"/>
    <w:rsid w:val="002E1448"/>
    <w:rsid w:val="002E1E02"/>
    <w:rsid w:val="002E246C"/>
    <w:rsid w:val="002E25EF"/>
    <w:rsid w:val="002E269D"/>
    <w:rsid w:val="002E286E"/>
    <w:rsid w:val="002E2B08"/>
    <w:rsid w:val="002E2B24"/>
    <w:rsid w:val="002E2C8D"/>
    <w:rsid w:val="002E2DA5"/>
    <w:rsid w:val="002E344C"/>
    <w:rsid w:val="002E3B39"/>
    <w:rsid w:val="002E3BAC"/>
    <w:rsid w:val="002E3F0F"/>
    <w:rsid w:val="002E3F94"/>
    <w:rsid w:val="002E47BA"/>
    <w:rsid w:val="002E4936"/>
    <w:rsid w:val="002E4B96"/>
    <w:rsid w:val="002E51E0"/>
    <w:rsid w:val="002E51E7"/>
    <w:rsid w:val="002E520F"/>
    <w:rsid w:val="002E5355"/>
    <w:rsid w:val="002E5465"/>
    <w:rsid w:val="002E5564"/>
    <w:rsid w:val="002E564C"/>
    <w:rsid w:val="002E58E2"/>
    <w:rsid w:val="002E62A2"/>
    <w:rsid w:val="002E62EA"/>
    <w:rsid w:val="002E62F7"/>
    <w:rsid w:val="002E64FC"/>
    <w:rsid w:val="002E672C"/>
    <w:rsid w:val="002E6A56"/>
    <w:rsid w:val="002E6B00"/>
    <w:rsid w:val="002E6B1F"/>
    <w:rsid w:val="002E701E"/>
    <w:rsid w:val="002E7217"/>
    <w:rsid w:val="002E732F"/>
    <w:rsid w:val="002E753E"/>
    <w:rsid w:val="002E7562"/>
    <w:rsid w:val="002E75FC"/>
    <w:rsid w:val="002E76A3"/>
    <w:rsid w:val="002E7ADA"/>
    <w:rsid w:val="002E7C6C"/>
    <w:rsid w:val="002E7C78"/>
    <w:rsid w:val="002E7D18"/>
    <w:rsid w:val="002F001C"/>
    <w:rsid w:val="002F0349"/>
    <w:rsid w:val="002F049D"/>
    <w:rsid w:val="002F0958"/>
    <w:rsid w:val="002F0A47"/>
    <w:rsid w:val="002F0B89"/>
    <w:rsid w:val="002F0CAF"/>
    <w:rsid w:val="002F0F42"/>
    <w:rsid w:val="002F11A3"/>
    <w:rsid w:val="002F1543"/>
    <w:rsid w:val="002F1553"/>
    <w:rsid w:val="002F17CA"/>
    <w:rsid w:val="002F1A15"/>
    <w:rsid w:val="002F1B14"/>
    <w:rsid w:val="002F23C1"/>
    <w:rsid w:val="002F24CF"/>
    <w:rsid w:val="002F272F"/>
    <w:rsid w:val="002F2B82"/>
    <w:rsid w:val="002F2BC7"/>
    <w:rsid w:val="002F2CD6"/>
    <w:rsid w:val="002F2DF2"/>
    <w:rsid w:val="002F34B5"/>
    <w:rsid w:val="002F350A"/>
    <w:rsid w:val="002F3576"/>
    <w:rsid w:val="002F3752"/>
    <w:rsid w:val="002F3DB6"/>
    <w:rsid w:val="002F3DC4"/>
    <w:rsid w:val="002F3FA2"/>
    <w:rsid w:val="002F44F5"/>
    <w:rsid w:val="002F4539"/>
    <w:rsid w:val="002F4556"/>
    <w:rsid w:val="002F4811"/>
    <w:rsid w:val="002F4848"/>
    <w:rsid w:val="002F49C6"/>
    <w:rsid w:val="002F4C0C"/>
    <w:rsid w:val="002F4DD9"/>
    <w:rsid w:val="002F50D0"/>
    <w:rsid w:val="002F550B"/>
    <w:rsid w:val="002F5740"/>
    <w:rsid w:val="002F58F7"/>
    <w:rsid w:val="002F5C4A"/>
    <w:rsid w:val="002F5DA5"/>
    <w:rsid w:val="002F5E5C"/>
    <w:rsid w:val="002F5FE5"/>
    <w:rsid w:val="002F6469"/>
    <w:rsid w:val="002F6A98"/>
    <w:rsid w:val="002F6C53"/>
    <w:rsid w:val="002F6CD4"/>
    <w:rsid w:val="002F6D14"/>
    <w:rsid w:val="002F6EB4"/>
    <w:rsid w:val="002F6F20"/>
    <w:rsid w:val="002F72BB"/>
    <w:rsid w:val="002F7761"/>
    <w:rsid w:val="002F7DBD"/>
    <w:rsid w:val="002F7E88"/>
    <w:rsid w:val="002F7EFA"/>
    <w:rsid w:val="002F7F91"/>
    <w:rsid w:val="00300942"/>
    <w:rsid w:val="00300D36"/>
    <w:rsid w:val="00300E24"/>
    <w:rsid w:val="00300E9E"/>
    <w:rsid w:val="00300ED3"/>
    <w:rsid w:val="00300F88"/>
    <w:rsid w:val="00301585"/>
    <w:rsid w:val="00301645"/>
    <w:rsid w:val="00301700"/>
    <w:rsid w:val="00301942"/>
    <w:rsid w:val="00301A20"/>
    <w:rsid w:val="00301CA6"/>
    <w:rsid w:val="00301E9A"/>
    <w:rsid w:val="00301F55"/>
    <w:rsid w:val="00302040"/>
    <w:rsid w:val="0030206C"/>
    <w:rsid w:val="00302109"/>
    <w:rsid w:val="00302298"/>
    <w:rsid w:val="003024F9"/>
    <w:rsid w:val="003029D5"/>
    <w:rsid w:val="00302F6F"/>
    <w:rsid w:val="0030348D"/>
    <w:rsid w:val="00303588"/>
    <w:rsid w:val="0030394D"/>
    <w:rsid w:val="00303B78"/>
    <w:rsid w:val="00303C8D"/>
    <w:rsid w:val="00303EF5"/>
    <w:rsid w:val="0030404D"/>
    <w:rsid w:val="003041BB"/>
    <w:rsid w:val="00304472"/>
    <w:rsid w:val="0030484B"/>
    <w:rsid w:val="00304A2B"/>
    <w:rsid w:val="00304CFC"/>
    <w:rsid w:val="00304DDF"/>
    <w:rsid w:val="00304FA4"/>
    <w:rsid w:val="00305041"/>
    <w:rsid w:val="00305042"/>
    <w:rsid w:val="00305130"/>
    <w:rsid w:val="00305138"/>
    <w:rsid w:val="003051D6"/>
    <w:rsid w:val="00305C01"/>
    <w:rsid w:val="0030614D"/>
    <w:rsid w:val="0030615D"/>
    <w:rsid w:val="00306595"/>
    <w:rsid w:val="0030667A"/>
    <w:rsid w:val="00306687"/>
    <w:rsid w:val="00306C93"/>
    <w:rsid w:val="00307023"/>
    <w:rsid w:val="00307A7A"/>
    <w:rsid w:val="00307B30"/>
    <w:rsid w:val="00307ED8"/>
    <w:rsid w:val="00310316"/>
    <w:rsid w:val="00310429"/>
    <w:rsid w:val="003105F3"/>
    <w:rsid w:val="00310644"/>
    <w:rsid w:val="0031099D"/>
    <w:rsid w:val="00310A75"/>
    <w:rsid w:val="00310C0A"/>
    <w:rsid w:val="00310C9A"/>
    <w:rsid w:val="00310EDB"/>
    <w:rsid w:val="00311117"/>
    <w:rsid w:val="00311D88"/>
    <w:rsid w:val="00311DAC"/>
    <w:rsid w:val="00311DEA"/>
    <w:rsid w:val="00311DEE"/>
    <w:rsid w:val="00312294"/>
    <w:rsid w:val="00312598"/>
    <w:rsid w:val="0031267E"/>
    <w:rsid w:val="003128F5"/>
    <w:rsid w:val="0031294F"/>
    <w:rsid w:val="00313210"/>
    <w:rsid w:val="0031337F"/>
    <w:rsid w:val="00313682"/>
    <w:rsid w:val="003136BB"/>
    <w:rsid w:val="00313D25"/>
    <w:rsid w:val="00313E67"/>
    <w:rsid w:val="00313ED5"/>
    <w:rsid w:val="0031438D"/>
    <w:rsid w:val="003144A2"/>
    <w:rsid w:val="00314D59"/>
    <w:rsid w:val="00314E0C"/>
    <w:rsid w:val="00314F9E"/>
    <w:rsid w:val="003152D3"/>
    <w:rsid w:val="003153A5"/>
    <w:rsid w:val="0031589E"/>
    <w:rsid w:val="00315AB2"/>
    <w:rsid w:val="00315B0F"/>
    <w:rsid w:val="00315DE7"/>
    <w:rsid w:val="00315F5F"/>
    <w:rsid w:val="0031620A"/>
    <w:rsid w:val="003163AA"/>
    <w:rsid w:val="0031657E"/>
    <w:rsid w:val="00316718"/>
    <w:rsid w:val="00316B56"/>
    <w:rsid w:val="00316EB9"/>
    <w:rsid w:val="00316FD5"/>
    <w:rsid w:val="003170F1"/>
    <w:rsid w:val="0031799D"/>
    <w:rsid w:val="003179C5"/>
    <w:rsid w:val="00317C47"/>
    <w:rsid w:val="00317F8A"/>
    <w:rsid w:val="0032022A"/>
    <w:rsid w:val="003202A2"/>
    <w:rsid w:val="0032096E"/>
    <w:rsid w:val="00320D5C"/>
    <w:rsid w:val="00321132"/>
    <w:rsid w:val="003211F5"/>
    <w:rsid w:val="00321784"/>
    <w:rsid w:val="00321CBD"/>
    <w:rsid w:val="00321F13"/>
    <w:rsid w:val="0032227A"/>
    <w:rsid w:val="00322503"/>
    <w:rsid w:val="00322CBF"/>
    <w:rsid w:val="00322F85"/>
    <w:rsid w:val="00323078"/>
    <w:rsid w:val="00323163"/>
    <w:rsid w:val="00323177"/>
    <w:rsid w:val="00323260"/>
    <w:rsid w:val="0032362A"/>
    <w:rsid w:val="003236DC"/>
    <w:rsid w:val="0032385D"/>
    <w:rsid w:val="003239BA"/>
    <w:rsid w:val="00323D19"/>
    <w:rsid w:val="00323D9F"/>
    <w:rsid w:val="00323FBA"/>
    <w:rsid w:val="003244A1"/>
    <w:rsid w:val="00324840"/>
    <w:rsid w:val="00325266"/>
    <w:rsid w:val="003254E7"/>
    <w:rsid w:val="00325517"/>
    <w:rsid w:val="00325631"/>
    <w:rsid w:val="00325652"/>
    <w:rsid w:val="00325CB2"/>
    <w:rsid w:val="00325E5C"/>
    <w:rsid w:val="0032618E"/>
    <w:rsid w:val="003261C3"/>
    <w:rsid w:val="0032622F"/>
    <w:rsid w:val="00326682"/>
    <w:rsid w:val="00326688"/>
    <w:rsid w:val="00326863"/>
    <w:rsid w:val="003268FD"/>
    <w:rsid w:val="003269D5"/>
    <w:rsid w:val="00326B46"/>
    <w:rsid w:val="00326EFB"/>
    <w:rsid w:val="00327076"/>
    <w:rsid w:val="00327321"/>
    <w:rsid w:val="003276B8"/>
    <w:rsid w:val="003276D1"/>
    <w:rsid w:val="003279AA"/>
    <w:rsid w:val="00327E06"/>
    <w:rsid w:val="00327F87"/>
    <w:rsid w:val="00330015"/>
    <w:rsid w:val="003302F9"/>
    <w:rsid w:val="00330468"/>
    <w:rsid w:val="00330521"/>
    <w:rsid w:val="0033078D"/>
    <w:rsid w:val="0033080D"/>
    <w:rsid w:val="00330931"/>
    <w:rsid w:val="00330990"/>
    <w:rsid w:val="00330A8D"/>
    <w:rsid w:val="00330ED6"/>
    <w:rsid w:val="00330F8A"/>
    <w:rsid w:val="00331299"/>
    <w:rsid w:val="003314F3"/>
    <w:rsid w:val="00331582"/>
    <w:rsid w:val="00331755"/>
    <w:rsid w:val="00331A15"/>
    <w:rsid w:val="00331B7B"/>
    <w:rsid w:val="00331D5D"/>
    <w:rsid w:val="00331F0E"/>
    <w:rsid w:val="00332111"/>
    <w:rsid w:val="00332235"/>
    <w:rsid w:val="003324C1"/>
    <w:rsid w:val="0033280D"/>
    <w:rsid w:val="003329CA"/>
    <w:rsid w:val="00332A55"/>
    <w:rsid w:val="00333195"/>
    <w:rsid w:val="003333D6"/>
    <w:rsid w:val="0033378A"/>
    <w:rsid w:val="00333924"/>
    <w:rsid w:val="00333A05"/>
    <w:rsid w:val="00333C64"/>
    <w:rsid w:val="00333D72"/>
    <w:rsid w:val="00333DEB"/>
    <w:rsid w:val="003343AD"/>
    <w:rsid w:val="003343DC"/>
    <w:rsid w:val="00334895"/>
    <w:rsid w:val="00334C48"/>
    <w:rsid w:val="00335157"/>
    <w:rsid w:val="00335278"/>
    <w:rsid w:val="003352BC"/>
    <w:rsid w:val="0033534E"/>
    <w:rsid w:val="003355A9"/>
    <w:rsid w:val="00335AAF"/>
    <w:rsid w:val="00335CB9"/>
    <w:rsid w:val="00335F16"/>
    <w:rsid w:val="00336035"/>
    <w:rsid w:val="00336306"/>
    <w:rsid w:val="0033632D"/>
    <w:rsid w:val="00336485"/>
    <w:rsid w:val="0033649B"/>
    <w:rsid w:val="00336508"/>
    <w:rsid w:val="00336B7B"/>
    <w:rsid w:val="0033701C"/>
    <w:rsid w:val="003375B8"/>
    <w:rsid w:val="0033784A"/>
    <w:rsid w:val="00337BEC"/>
    <w:rsid w:val="00337D11"/>
    <w:rsid w:val="003401B5"/>
    <w:rsid w:val="00340275"/>
    <w:rsid w:val="003403C1"/>
    <w:rsid w:val="0034066B"/>
    <w:rsid w:val="0034087F"/>
    <w:rsid w:val="003408B7"/>
    <w:rsid w:val="00340C58"/>
    <w:rsid w:val="00340D1A"/>
    <w:rsid w:val="0034109F"/>
    <w:rsid w:val="0034130A"/>
    <w:rsid w:val="00341460"/>
    <w:rsid w:val="00341862"/>
    <w:rsid w:val="0034201A"/>
    <w:rsid w:val="00342645"/>
    <w:rsid w:val="003426D7"/>
    <w:rsid w:val="003427F5"/>
    <w:rsid w:val="00342809"/>
    <w:rsid w:val="0034287F"/>
    <w:rsid w:val="00342DCB"/>
    <w:rsid w:val="00342E8C"/>
    <w:rsid w:val="00342FE8"/>
    <w:rsid w:val="0034305F"/>
    <w:rsid w:val="00343275"/>
    <w:rsid w:val="003432C4"/>
    <w:rsid w:val="003433C4"/>
    <w:rsid w:val="0034352F"/>
    <w:rsid w:val="0034373C"/>
    <w:rsid w:val="003437BC"/>
    <w:rsid w:val="003439F1"/>
    <w:rsid w:val="00343A05"/>
    <w:rsid w:val="00343A7F"/>
    <w:rsid w:val="00343B8B"/>
    <w:rsid w:val="00343C91"/>
    <w:rsid w:val="00343F14"/>
    <w:rsid w:val="003440A5"/>
    <w:rsid w:val="003444E2"/>
    <w:rsid w:val="003449A3"/>
    <w:rsid w:val="00344B0C"/>
    <w:rsid w:val="00344D06"/>
    <w:rsid w:val="00345252"/>
    <w:rsid w:val="00345523"/>
    <w:rsid w:val="003458AF"/>
    <w:rsid w:val="00345963"/>
    <w:rsid w:val="0034680D"/>
    <w:rsid w:val="00346867"/>
    <w:rsid w:val="0034698E"/>
    <w:rsid w:val="00346E1F"/>
    <w:rsid w:val="00347047"/>
    <w:rsid w:val="00347112"/>
    <w:rsid w:val="00347257"/>
    <w:rsid w:val="003476E9"/>
    <w:rsid w:val="0034779C"/>
    <w:rsid w:val="00347927"/>
    <w:rsid w:val="00347B80"/>
    <w:rsid w:val="00347DF5"/>
    <w:rsid w:val="00347FC0"/>
    <w:rsid w:val="0035024D"/>
    <w:rsid w:val="0035040B"/>
    <w:rsid w:val="00350588"/>
    <w:rsid w:val="00350721"/>
    <w:rsid w:val="00350C20"/>
    <w:rsid w:val="00350F8A"/>
    <w:rsid w:val="00351029"/>
    <w:rsid w:val="003511FF"/>
    <w:rsid w:val="00351732"/>
    <w:rsid w:val="0035180F"/>
    <w:rsid w:val="00351BF7"/>
    <w:rsid w:val="00351D4D"/>
    <w:rsid w:val="00352084"/>
    <w:rsid w:val="00352408"/>
    <w:rsid w:val="003526C8"/>
    <w:rsid w:val="00352AF4"/>
    <w:rsid w:val="00352B32"/>
    <w:rsid w:val="00352C68"/>
    <w:rsid w:val="003538BA"/>
    <w:rsid w:val="00353E02"/>
    <w:rsid w:val="003540D0"/>
    <w:rsid w:val="00354383"/>
    <w:rsid w:val="003545B0"/>
    <w:rsid w:val="0035476D"/>
    <w:rsid w:val="003547CE"/>
    <w:rsid w:val="00354A2E"/>
    <w:rsid w:val="00354CD2"/>
    <w:rsid w:val="00355191"/>
    <w:rsid w:val="0035542C"/>
    <w:rsid w:val="00355476"/>
    <w:rsid w:val="003556BB"/>
    <w:rsid w:val="00355AF2"/>
    <w:rsid w:val="00355F65"/>
    <w:rsid w:val="00356038"/>
    <w:rsid w:val="0035608D"/>
    <w:rsid w:val="00356671"/>
    <w:rsid w:val="00356FD6"/>
    <w:rsid w:val="00357006"/>
    <w:rsid w:val="0035712E"/>
    <w:rsid w:val="00357808"/>
    <w:rsid w:val="00357997"/>
    <w:rsid w:val="00357AB1"/>
    <w:rsid w:val="00357B2E"/>
    <w:rsid w:val="0036019B"/>
    <w:rsid w:val="0036059D"/>
    <w:rsid w:val="00360A6A"/>
    <w:rsid w:val="00360B58"/>
    <w:rsid w:val="00360DA9"/>
    <w:rsid w:val="00360E04"/>
    <w:rsid w:val="00360F85"/>
    <w:rsid w:val="003612FD"/>
    <w:rsid w:val="003616C9"/>
    <w:rsid w:val="00361807"/>
    <w:rsid w:val="00361C9F"/>
    <w:rsid w:val="00361D8A"/>
    <w:rsid w:val="00361E63"/>
    <w:rsid w:val="0036206C"/>
    <w:rsid w:val="00362116"/>
    <w:rsid w:val="003622BB"/>
    <w:rsid w:val="00362442"/>
    <w:rsid w:val="003626F2"/>
    <w:rsid w:val="00362841"/>
    <w:rsid w:val="00362D04"/>
    <w:rsid w:val="00363061"/>
    <w:rsid w:val="0036307A"/>
    <w:rsid w:val="003635F2"/>
    <w:rsid w:val="00363796"/>
    <w:rsid w:val="00363890"/>
    <w:rsid w:val="00363CAE"/>
    <w:rsid w:val="00363E4D"/>
    <w:rsid w:val="00363E59"/>
    <w:rsid w:val="00363F1D"/>
    <w:rsid w:val="003640DA"/>
    <w:rsid w:val="00364242"/>
    <w:rsid w:val="00364266"/>
    <w:rsid w:val="003643A6"/>
    <w:rsid w:val="00364458"/>
    <w:rsid w:val="00364489"/>
    <w:rsid w:val="003645B5"/>
    <w:rsid w:val="00364CD7"/>
    <w:rsid w:val="0036501F"/>
    <w:rsid w:val="00365210"/>
    <w:rsid w:val="003656BD"/>
    <w:rsid w:val="00365720"/>
    <w:rsid w:val="0036582A"/>
    <w:rsid w:val="00365BEE"/>
    <w:rsid w:val="00365C6A"/>
    <w:rsid w:val="00365E67"/>
    <w:rsid w:val="00365F40"/>
    <w:rsid w:val="00365FF7"/>
    <w:rsid w:val="0036613E"/>
    <w:rsid w:val="003661A2"/>
    <w:rsid w:val="00366225"/>
    <w:rsid w:val="003662E9"/>
    <w:rsid w:val="003664A6"/>
    <w:rsid w:val="003669F4"/>
    <w:rsid w:val="00366B1A"/>
    <w:rsid w:val="0036723E"/>
    <w:rsid w:val="003672A7"/>
    <w:rsid w:val="003673EF"/>
    <w:rsid w:val="0036760A"/>
    <w:rsid w:val="003676ED"/>
    <w:rsid w:val="00367790"/>
    <w:rsid w:val="00367A0A"/>
    <w:rsid w:val="00367AF8"/>
    <w:rsid w:val="00367C1B"/>
    <w:rsid w:val="00367E65"/>
    <w:rsid w:val="00367E8D"/>
    <w:rsid w:val="00370224"/>
    <w:rsid w:val="0037025B"/>
    <w:rsid w:val="00370285"/>
    <w:rsid w:val="00370346"/>
    <w:rsid w:val="00370F4C"/>
    <w:rsid w:val="0037106F"/>
    <w:rsid w:val="00371128"/>
    <w:rsid w:val="003712E2"/>
    <w:rsid w:val="00371733"/>
    <w:rsid w:val="003717EB"/>
    <w:rsid w:val="003718AF"/>
    <w:rsid w:val="00371963"/>
    <w:rsid w:val="00371BFB"/>
    <w:rsid w:val="00371FD1"/>
    <w:rsid w:val="003720C5"/>
    <w:rsid w:val="003720EB"/>
    <w:rsid w:val="00372349"/>
    <w:rsid w:val="0037259F"/>
    <w:rsid w:val="0037276F"/>
    <w:rsid w:val="00372868"/>
    <w:rsid w:val="00372E65"/>
    <w:rsid w:val="003732E2"/>
    <w:rsid w:val="003733C8"/>
    <w:rsid w:val="00373AB5"/>
    <w:rsid w:val="00373B5C"/>
    <w:rsid w:val="00373B6C"/>
    <w:rsid w:val="00373BFF"/>
    <w:rsid w:val="00374010"/>
    <w:rsid w:val="003746BC"/>
    <w:rsid w:val="003746D7"/>
    <w:rsid w:val="00374742"/>
    <w:rsid w:val="003747C0"/>
    <w:rsid w:val="00374A56"/>
    <w:rsid w:val="00374DEB"/>
    <w:rsid w:val="0037521A"/>
    <w:rsid w:val="003754E0"/>
    <w:rsid w:val="003758E1"/>
    <w:rsid w:val="003758F5"/>
    <w:rsid w:val="00375AED"/>
    <w:rsid w:val="00375C92"/>
    <w:rsid w:val="00375DD7"/>
    <w:rsid w:val="00376086"/>
    <w:rsid w:val="00376197"/>
    <w:rsid w:val="0037622E"/>
    <w:rsid w:val="003766A5"/>
    <w:rsid w:val="00376B22"/>
    <w:rsid w:val="00376B82"/>
    <w:rsid w:val="00376E8B"/>
    <w:rsid w:val="003770CF"/>
    <w:rsid w:val="00377521"/>
    <w:rsid w:val="003779C9"/>
    <w:rsid w:val="00377DC6"/>
    <w:rsid w:val="003800D5"/>
    <w:rsid w:val="003804CE"/>
    <w:rsid w:val="0038053F"/>
    <w:rsid w:val="00380799"/>
    <w:rsid w:val="003807D0"/>
    <w:rsid w:val="003809C4"/>
    <w:rsid w:val="00380B31"/>
    <w:rsid w:val="00380E6D"/>
    <w:rsid w:val="00380E98"/>
    <w:rsid w:val="00380E9A"/>
    <w:rsid w:val="00380EFC"/>
    <w:rsid w:val="00380EFE"/>
    <w:rsid w:val="00380F86"/>
    <w:rsid w:val="003810A5"/>
    <w:rsid w:val="0038137A"/>
    <w:rsid w:val="003813DA"/>
    <w:rsid w:val="003815BC"/>
    <w:rsid w:val="003816C9"/>
    <w:rsid w:val="003819E4"/>
    <w:rsid w:val="00381AEA"/>
    <w:rsid w:val="00381CDE"/>
    <w:rsid w:val="00381EEB"/>
    <w:rsid w:val="00382122"/>
    <w:rsid w:val="003821A0"/>
    <w:rsid w:val="0038277E"/>
    <w:rsid w:val="003832CC"/>
    <w:rsid w:val="00383345"/>
    <w:rsid w:val="00383551"/>
    <w:rsid w:val="00383791"/>
    <w:rsid w:val="0038380A"/>
    <w:rsid w:val="00383B9B"/>
    <w:rsid w:val="00383C14"/>
    <w:rsid w:val="00383ED8"/>
    <w:rsid w:val="00383F6F"/>
    <w:rsid w:val="003843DA"/>
    <w:rsid w:val="0038483B"/>
    <w:rsid w:val="003848B3"/>
    <w:rsid w:val="00384CE8"/>
    <w:rsid w:val="00384CFB"/>
    <w:rsid w:val="00384DCA"/>
    <w:rsid w:val="00385189"/>
    <w:rsid w:val="003852A8"/>
    <w:rsid w:val="00385308"/>
    <w:rsid w:val="00385339"/>
    <w:rsid w:val="00385446"/>
    <w:rsid w:val="003856D4"/>
    <w:rsid w:val="00385731"/>
    <w:rsid w:val="003857DE"/>
    <w:rsid w:val="00385E44"/>
    <w:rsid w:val="00385F74"/>
    <w:rsid w:val="00385FE7"/>
    <w:rsid w:val="003861AE"/>
    <w:rsid w:val="0038638F"/>
    <w:rsid w:val="003869A1"/>
    <w:rsid w:val="00386B65"/>
    <w:rsid w:val="003871E1"/>
    <w:rsid w:val="00387A80"/>
    <w:rsid w:val="00387E7C"/>
    <w:rsid w:val="00387F9A"/>
    <w:rsid w:val="00390016"/>
    <w:rsid w:val="00390486"/>
    <w:rsid w:val="00390607"/>
    <w:rsid w:val="0039085F"/>
    <w:rsid w:val="00390B49"/>
    <w:rsid w:val="00390B8F"/>
    <w:rsid w:val="00390C17"/>
    <w:rsid w:val="00390DC6"/>
    <w:rsid w:val="003912CA"/>
    <w:rsid w:val="003913A8"/>
    <w:rsid w:val="00391415"/>
    <w:rsid w:val="0039150C"/>
    <w:rsid w:val="00391746"/>
    <w:rsid w:val="00391811"/>
    <w:rsid w:val="003918D5"/>
    <w:rsid w:val="003919C9"/>
    <w:rsid w:val="00391A24"/>
    <w:rsid w:val="00391A7E"/>
    <w:rsid w:val="00391C56"/>
    <w:rsid w:val="00391EA5"/>
    <w:rsid w:val="00392167"/>
    <w:rsid w:val="003921D8"/>
    <w:rsid w:val="003927DA"/>
    <w:rsid w:val="00392CDC"/>
    <w:rsid w:val="00392E8E"/>
    <w:rsid w:val="00393040"/>
    <w:rsid w:val="003933E9"/>
    <w:rsid w:val="00393472"/>
    <w:rsid w:val="00393566"/>
    <w:rsid w:val="00393808"/>
    <w:rsid w:val="00393EDD"/>
    <w:rsid w:val="00393EE2"/>
    <w:rsid w:val="00393FBE"/>
    <w:rsid w:val="003940E2"/>
    <w:rsid w:val="00394584"/>
    <w:rsid w:val="003948B6"/>
    <w:rsid w:val="00394C06"/>
    <w:rsid w:val="00394C55"/>
    <w:rsid w:val="0039509C"/>
    <w:rsid w:val="0039524B"/>
    <w:rsid w:val="0039591C"/>
    <w:rsid w:val="00395DA9"/>
    <w:rsid w:val="00395FF7"/>
    <w:rsid w:val="003960AE"/>
    <w:rsid w:val="003961AA"/>
    <w:rsid w:val="00396223"/>
    <w:rsid w:val="00396505"/>
    <w:rsid w:val="0039671E"/>
    <w:rsid w:val="00396D54"/>
    <w:rsid w:val="00396F40"/>
    <w:rsid w:val="00397064"/>
    <w:rsid w:val="003970FB"/>
    <w:rsid w:val="0039731D"/>
    <w:rsid w:val="003975A6"/>
    <w:rsid w:val="003976E8"/>
    <w:rsid w:val="003A0798"/>
    <w:rsid w:val="003A0AAA"/>
    <w:rsid w:val="003A0CFC"/>
    <w:rsid w:val="003A0D6E"/>
    <w:rsid w:val="003A1047"/>
    <w:rsid w:val="003A199F"/>
    <w:rsid w:val="003A21E6"/>
    <w:rsid w:val="003A2534"/>
    <w:rsid w:val="003A2561"/>
    <w:rsid w:val="003A2E32"/>
    <w:rsid w:val="003A2F84"/>
    <w:rsid w:val="003A2FA1"/>
    <w:rsid w:val="003A3011"/>
    <w:rsid w:val="003A303B"/>
    <w:rsid w:val="003A32A6"/>
    <w:rsid w:val="003A354F"/>
    <w:rsid w:val="003A3876"/>
    <w:rsid w:val="003A4192"/>
    <w:rsid w:val="003A4575"/>
    <w:rsid w:val="003A4768"/>
    <w:rsid w:val="003A47FD"/>
    <w:rsid w:val="003A4866"/>
    <w:rsid w:val="003A4D26"/>
    <w:rsid w:val="003A50D5"/>
    <w:rsid w:val="003A53DC"/>
    <w:rsid w:val="003A580F"/>
    <w:rsid w:val="003A5929"/>
    <w:rsid w:val="003A5B43"/>
    <w:rsid w:val="003A5C29"/>
    <w:rsid w:val="003A5C62"/>
    <w:rsid w:val="003A5D3E"/>
    <w:rsid w:val="003A5FF3"/>
    <w:rsid w:val="003A6554"/>
    <w:rsid w:val="003A6650"/>
    <w:rsid w:val="003A689E"/>
    <w:rsid w:val="003A68B1"/>
    <w:rsid w:val="003A6A81"/>
    <w:rsid w:val="003A6BA3"/>
    <w:rsid w:val="003A6BE6"/>
    <w:rsid w:val="003A6D59"/>
    <w:rsid w:val="003A6D6F"/>
    <w:rsid w:val="003A7045"/>
    <w:rsid w:val="003A7331"/>
    <w:rsid w:val="003A739F"/>
    <w:rsid w:val="003A749D"/>
    <w:rsid w:val="003A751E"/>
    <w:rsid w:val="003A75D5"/>
    <w:rsid w:val="003A7694"/>
    <w:rsid w:val="003A7849"/>
    <w:rsid w:val="003B0048"/>
    <w:rsid w:val="003B02E5"/>
    <w:rsid w:val="003B0464"/>
    <w:rsid w:val="003B064C"/>
    <w:rsid w:val="003B07D9"/>
    <w:rsid w:val="003B0C36"/>
    <w:rsid w:val="003B0E92"/>
    <w:rsid w:val="003B0FD5"/>
    <w:rsid w:val="003B1069"/>
    <w:rsid w:val="003B127A"/>
    <w:rsid w:val="003B1370"/>
    <w:rsid w:val="003B159C"/>
    <w:rsid w:val="003B1846"/>
    <w:rsid w:val="003B19D0"/>
    <w:rsid w:val="003B255B"/>
    <w:rsid w:val="003B2A7A"/>
    <w:rsid w:val="003B2A85"/>
    <w:rsid w:val="003B308A"/>
    <w:rsid w:val="003B3133"/>
    <w:rsid w:val="003B3139"/>
    <w:rsid w:val="003B3434"/>
    <w:rsid w:val="003B365E"/>
    <w:rsid w:val="003B38B5"/>
    <w:rsid w:val="003B3BB7"/>
    <w:rsid w:val="003B3CF4"/>
    <w:rsid w:val="003B3EDE"/>
    <w:rsid w:val="003B3F95"/>
    <w:rsid w:val="003B446F"/>
    <w:rsid w:val="003B4781"/>
    <w:rsid w:val="003B4C1C"/>
    <w:rsid w:val="003B4D96"/>
    <w:rsid w:val="003B4F2C"/>
    <w:rsid w:val="003B519F"/>
    <w:rsid w:val="003B526A"/>
    <w:rsid w:val="003B546C"/>
    <w:rsid w:val="003B54E7"/>
    <w:rsid w:val="003B56D5"/>
    <w:rsid w:val="003B56F0"/>
    <w:rsid w:val="003B61CF"/>
    <w:rsid w:val="003B6259"/>
    <w:rsid w:val="003B63AE"/>
    <w:rsid w:val="003B68C8"/>
    <w:rsid w:val="003B68ED"/>
    <w:rsid w:val="003B6E1E"/>
    <w:rsid w:val="003B6E91"/>
    <w:rsid w:val="003B7357"/>
    <w:rsid w:val="003B791D"/>
    <w:rsid w:val="003B7A3C"/>
    <w:rsid w:val="003B7DD0"/>
    <w:rsid w:val="003B7F78"/>
    <w:rsid w:val="003B7FE0"/>
    <w:rsid w:val="003C0006"/>
    <w:rsid w:val="003C016D"/>
    <w:rsid w:val="003C035D"/>
    <w:rsid w:val="003C0446"/>
    <w:rsid w:val="003C06C6"/>
    <w:rsid w:val="003C0D43"/>
    <w:rsid w:val="003C104E"/>
    <w:rsid w:val="003C10D0"/>
    <w:rsid w:val="003C1EAD"/>
    <w:rsid w:val="003C1FED"/>
    <w:rsid w:val="003C234F"/>
    <w:rsid w:val="003C2A18"/>
    <w:rsid w:val="003C2AC7"/>
    <w:rsid w:val="003C2DF4"/>
    <w:rsid w:val="003C3142"/>
    <w:rsid w:val="003C3156"/>
    <w:rsid w:val="003C3783"/>
    <w:rsid w:val="003C424D"/>
    <w:rsid w:val="003C431E"/>
    <w:rsid w:val="003C50B7"/>
    <w:rsid w:val="003C5129"/>
    <w:rsid w:val="003C51D3"/>
    <w:rsid w:val="003C525B"/>
    <w:rsid w:val="003C592E"/>
    <w:rsid w:val="003C5F51"/>
    <w:rsid w:val="003C69F8"/>
    <w:rsid w:val="003C6C94"/>
    <w:rsid w:val="003C6D6A"/>
    <w:rsid w:val="003C6E94"/>
    <w:rsid w:val="003C6F61"/>
    <w:rsid w:val="003C7831"/>
    <w:rsid w:val="003C784E"/>
    <w:rsid w:val="003C7927"/>
    <w:rsid w:val="003C7936"/>
    <w:rsid w:val="003C793B"/>
    <w:rsid w:val="003C7971"/>
    <w:rsid w:val="003C7AF9"/>
    <w:rsid w:val="003C7CE8"/>
    <w:rsid w:val="003C7E50"/>
    <w:rsid w:val="003C7E57"/>
    <w:rsid w:val="003C7EE9"/>
    <w:rsid w:val="003D0157"/>
    <w:rsid w:val="003D02DF"/>
    <w:rsid w:val="003D03A1"/>
    <w:rsid w:val="003D04E5"/>
    <w:rsid w:val="003D0AF1"/>
    <w:rsid w:val="003D0C85"/>
    <w:rsid w:val="003D0CC4"/>
    <w:rsid w:val="003D0DAB"/>
    <w:rsid w:val="003D0DCF"/>
    <w:rsid w:val="003D0E9F"/>
    <w:rsid w:val="003D11EC"/>
    <w:rsid w:val="003D18EB"/>
    <w:rsid w:val="003D1C00"/>
    <w:rsid w:val="003D1C36"/>
    <w:rsid w:val="003D1CF9"/>
    <w:rsid w:val="003D1E39"/>
    <w:rsid w:val="003D1F00"/>
    <w:rsid w:val="003D22CC"/>
    <w:rsid w:val="003D2C98"/>
    <w:rsid w:val="003D2CE0"/>
    <w:rsid w:val="003D2DC6"/>
    <w:rsid w:val="003D30EB"/>
    <w:rsid w:val="003D336C"/>
    <w:rsid w:val="003D3856"/>
    <w:rsid w:val="003D39C9"/>
    <w:rsid w:val="003D3BA4"/>
    <w:rsid w:val="003D3D62"/>
    <w:rsid w:val="003D3F39"/>
    <w:rsid w:val="003D4278"/>
    <w:rsid w:val="003D4422"/>
    <w:rsid w:val="003D4714"/>
    <w:rsid w:val="003D47DB"/>
    <w:rsid w:val="003D4AE7"/>
    <w:rsid w:val="003D4F0C"/>
    <w:rsid w:val="003D525D"/>
    <w:rsid w:val="003D52C9"/>
    <w:rsid w:val="003D5314"/>
    <w:rsid w:val="003D5415"/>
    <w:rsid w:val="003D55FB"/>
    <w:rsid w:val="003D5646"/>
    <w:rsid w:val="003D57F0"/>
    <w:rsid w:val="003D5869"/>
    <w:rsid w:val="003D590D"/>
    <w:rsid w:val="003D5C91"/>
    <w:rsid w:val="003D5ED8"/>
    <w:rsid w:val="003D65F4"/>
    <w:rsid w:val="003D6600"/>
    <w:rsid w:val="003D663E"/>
    <w:rsid w:val="003D676B"/>
    <w:rsid w:val="003D6CAF"/>
    <w:rsid w:val="003D7034"/>
    <w:rsid w:val="003D715A"/>
    <w:rsid w:val="003D7183"/>
    <w:rsid w:val="003D76D8"/>
    <w:rsid w:val="003D7FFC"/>
    <w:rsid w:val="003E054E"/>
    <w:rsid w:val="003E06CC"/>
    <w:rsid w:val="003E0C16"/>
    <w:rsid w:val="003E0CD5"/>
    <w:rsid w:val="003E0E88"/>
    <w:rsid w:val="003E1090"/>
    <w:rsid w:val="003E158B"/>
    <w:rsid w:val="003E1893"/>
    <w:rsid w:val="003E1F45"/>
    <w:rsid w:val="003E2441"/>
    <w:rsid w:val="003E25BC"/>
    <w:rsid w:val="003E25D6"/>
    <w:rsid w:val="003E2892"/>
    <w:rsid w:val="003E2A02"/>
    <w:rsid w:val="003E2CD2"/>
    <w:rsid w:val="003E2F7F"/>
    <w:rsid w:val="003E3474"/>
    <w:rsid w:val="003E372C"/>
    <w:rsid w:val="003E3879"/>
    <w:rsid w:val="003E39E3"/>
    <w:rsid w:val="003E3A42"/>
    <w:rsid w:val="003E3BFE"/>
    <w:rsid w:val="003E3C28"/>
    <w:rsid w:val="003E3DA1"/>
    <w:rsid w:val="003E3E0B"/>
    <w:rsid w:val="003E3FEA"/>
    <w:rsid w:val="003E460B"/>
    <w:rsid w:val="003E4ABD"/>
    <w:rsid w:val="003E5117"/>
    <w:rsid w:val="003E56F9"/>
    <w:rsid w:val="003E5979"/>
    <w:rsid w:val="003E5B11"/>
    <w:rsid w:val="003E5EDD"/>
    <w:rsid w:val="003E6054"/>
    <w:rsid w:val="003E6654"/>
    <w:rsid w:val="003E679F"/>
    <w:rsid w:val="003E6988"/>
    <w:rsid w:val="003E69F9"/>
    <w:rsid w:val="003E6AE8"/>
    <w:rsid w:val="003E6DBD"/>
    <w:rsid w:val="003E6E5A"/>
    <w:rsid w:val="003E728F"/>
    <w:rsid w:val="003E732F"/>
    <w:rsid w:val="003E7522"/>
    <w:rsid w:val="003E75C2"/>
    <w:rsid w:val="003E76AA"/>
    <w:rsid w:val="003E78DB"/>
    <w:rsid w:val="003E7998"/>
    <w:rsid w:val="003E7E8D"/>
    <w:rsid w:val="003E7E99"/>
    <w:rsid w:val="003E7EFA"/>
    <w:rsid w:val="003F0377"/>
    <w:rsid w:val="003F0447"/>
    <w:rsid w:val="003F04F4"/>
    <w:rsid w:val="003F05FB"/>
    <w:rsid w:val="003F0655"/>
    <w:rsid w:val="003F08B9"/>
    <w:rsid w:val="003F0B5A"/>
    <w:rsid w:val="003F0CEA"/>
    <w:rsid w:val="003F0D56"/>
    <w:rsid w:val="003F0FCB"/>
    <w:rsid w:val="003F1208"/>
    <w:rsid w:val="003F1643"/>
    <w:rsid w:val="003F1D01"/>
    <w:rsid w:val="003F202A"/>
    <w:rsid w:val="003F2358"/>
    <w:rsid w:val="003F2653"/>
    <w:rsid w:val="003F2837"/>
    <w:rsid w:val="003F28A9"/>
    <w:rsid w:val="003F2DDC"/>
    <w:rsid w:val="003F3023"/>
    <w:rsid w:val="003F3413"/>
    <w:rsid w:val="003F3651"/>
    <w:rsid w:val="003F36B0"/>
    <w:rsid w:val="003F3913"/>
    <w:rsid w:val="003F3F75"/>
    <w:rsid w:val="003F402E"/>
    <w:rsid w:val="003F422C"/>
    <w:rsid w:val="003F4258"/>
    <w:rsid w:val="003F4408"/>
    <w:rsid w:val="003F45E0"/>
    <w:rsid w:val="003F4801"/>
    <w:rsid w:val="003F4837"/>
    <w:rsid w:val="003F4C02"/>
    <w:rsid w:val="003F4D35"/>
    <w:rsid w:val="003F4E6D"/>
    <w:rsid w:val="003F5335"/>
    <w:rsid w:val="003F55E8"/>
    <w:rsid w:val="003F59B9"/>
    <w:rsid w:val="003F5B13"/>
    <w:rsid w:val="003F5C8B"/>
    <w:rsid w:val="003F622A"/>
    <w:rsid w:val="003F6630"/>
    <w:rsid w:val="003F6730"/>
    <w:rsid w:val="003F68F8"/>
    <w:rsid w:val="003F695E"/>
    <w:rsid w:val="003F6C80"/>
    <w:rsid w:val="003F6C81"/>
    <w:rsid w:val="003F6CCB"/>
    <w:rsid w:val="003F6ED4"/>
    <w:rsid w:val="003F6F2A"/>
    <w:rsid w:val="003F70E1"/>
    <w:rsid w:val="003F769F"/>
    <w:rsid w:val="003F76D3"/>
    <w:rsid w:val="004000DC"/>
    <w:rsid w:val="00400208"/>
    <w:rsid w:val="004003B5"/>
    <w:rsid w:val="004005A6"/>
    <w:rsid w:val="00400604"/>
    <w:rsid w:val="00400632"/>
    <w:rsid w:val="004006D9"/>
    <w:rsid w:val="00400728"/>
    <w:rsid w:val="00400AE5"/>
    <w:rsid w:val="00400F2B"/>
    <w:rsid w:val="00400FA9"/>
    <w:rsid w:val="00401009"/>
    <w:rsid w:val="00401224"/>
    <w:rsid w:val="00401476"/>
    <w:rsid w:val="00401782"/>
    <w:rsid w:val="00401BA1"/>
    <w:rsid w:val="004024B8"/>
    <w:rsid w:val="004026BF"/>
    <w:rsid w:val="00403031"/>
    <w:rsid w:val="00403298"/>
    <w:rsid w:val="004038F0"/>
    <w:rsid w:val="00403C0F"/>
    <w:rsid w:val="004044F1"/>
    <w:rsid w:val="0040462F"/>
    <w:rsid w:val="00404AA3"/>
    <w:rsid w:val="00404CEE"/>
    <w:rsid w:val="00404D17"/>
    <w:rsid w:val="0040543E"/>
    <w:rsid w:val="00405451"/>
    <w:rsid w:val="00405B46"/>
    <w:rsid w:val="00405C0B"/>
    <w:rsid w:val="00405CA0"/>
    <w:rsid w:val="0040672C"/>
    <w:rsid w:val="00406D6E"/>
    <w:rsid w:val="00406F83"/>
    <w:rsid w:val="004071FA"/>
    <w:rsid w:val="00407775"/>
    <w:rsid w:val="00407CB2"/>
    <w:rsid w:val="00407FB2"/>
    <w:rsid w:val="004101E9"/>
    <w:rsid w:val="0041039A"/>
    <w:rsid w:val="00410921"/>
    <w:rsid w:val="00410B91"/>
    <w:rsid w:val="00410D80"/>
    <w:rsid w:val="004111B9"/>
    <w:rsid w:val="004113A2"/>
    <w:rsid w:val="004114EF"/>
    <w:rsid w:val="004116E8"/>
    <w:rsid w:val="0041174A"/>
    <w:rsid w:val="004117A7"/>
    <w:rsid w:val="004119FD"/>
    <w:rsid w:val="00411A5E"/>
    <w:rsid w:val="00411EA5"/>
    <w:rsid w:val="00411F03"/>
    <w:rsid w:val="00411FF3"/>
    <w:rsid w:val="0041209A"/>
    <w:rsid w:val="004120E7"/>
    <w:rsid w:val="004122C3"/>
    <w:rsid w:val="00412915"/>
    <w:rsid w:val="00412B52"/>
    <w:rsid w:val="00412B64"/>
    <w:rsid w:val="00412CB3"/>
    <w:rsid w:val="0041302E"/>
    <w:rsid w:val="0041322E"/>
    <w:rsid w:val="0041348F"/>
    <w:rsid w:val="00413C94"/>
    <w:rsid w:val="00413CFB"/>
    <w:rsid w:val="00413DEB"/>
    <w:rsid w:val="00414487"/>
    <w:rsid w:val="00414A6C"/>
    <w:rsid w:val="00415165"/>
    <w:rsid w:val="0041560B"/>
    <w:rsid w:val="004157DF"/>
    <w:rsid w:val="00415889"/>
    <w:rsid w:val="004162A4"/>
    <w:rsid w:val="00416A6A"/>
    <w:rsid w:val="00416CC1"/>
    <w:rsid w:val="00416D7E"/>
    <w:rsid w:val="00417623"/>
    <w:rsid w:val="00417B90"/>
    <w:rsid w:val="00417CB9"/>
    <w:rsid w:val="00417D24"/>
    <w:rsid w:val="00417E81"/>
    <w:rsid w:val="004203A9"/>
    <w:rsid w:val="00420992"/>
    <w:rsid w:val="00420A74"/>
    <w:rsid w:val="00420DAF"/>
    <w:rsid w:val="00420E40"/>
    <w:rsid w:val="00420E55"/>
    <w:rsid w:val="00421056"/>
    <w:rsid w:val="00421492"/>
    <w:rsid w:val="00421A9C"/>
    <w:rsid w:val="00421BC9"/>
    <w:rsid w:val="00421C04"/>
    <w:rsid w:val="004221ED"/>
    <w:rsid w:val="00422207"/>
    <w:rsid w:val="0042238F"/>
    <w:rsid w:val="0042241F"/>
    <w:rsid w:val="0042247E"/>
    <w:rsid w:val="004224F6"/>
    <w:rsid w:val="0042259A"/>
    <w:rsid w:val="004229C0"/>
    <w:rsid w:val="00422ACA"/>
    <w:rsid w:val="00422E71"/>
    <w:rsid w:val="00423128"/>
    <w:rsid w:val="00423970"/>
    <w:rsid w:val="00423AA9"/>
    <w:rsid w:val="00423FCD"/>
    <w:rsid w:val="00424146"/>
    <w:rsid w:val="00424607"/>
    <w:rsid w:val="00424943"/>
    <w:rsid w:val="0042496B"/>
    <w:rsid w:val="0042498A"/>
    <w:rsid w:val="00424CED"/>
    <w:rsid w:val="00425116"/>
    <w:rsid w:val="0042515B"/>
    <w:rsid w:val="004252B1"/>
    <w:rsid w:val="004252E0"/>
    <w:rsid w:val="0042531D"/>
    <w:rsid w:val="004253E0"/>
    <w:rsid w:val="00425785"/>
    <w:rsid w:val="00425A83"/>
    <w:rsid w:val="00425E52"/>
    <w:rsid w:val="00425FA9"/>
    <w:rsid w:val="00425FE9"/>
    <w:rsid w:val="0042617B"/>
    <w:rsid w:val="004263C3"/>
    <w:rsid w:val="00426CE6"/>
    <w:rsid w:val="004279A7"/>
    <w:rsid w:val="004279D9"/>
    <w:rsid w:val="00427EBC"/>
    <w:rsid w:val="00427F37"/>
    <w:rsid w:val="004301D5"/>
    <w:rsid w:val="0043059F"/>
    <w:rsid w:val="0043063D"/>
    <w:rsid w:val="00430845"/>
    <w:rsid w:val="00430B53"/>
    <w:rsid w:val="00430E5F"/>
    <w:rsid w:val="00430F4B"/>
    <w:rsid w:val="00431110"/>
    <w:rsid w:val="004313EC"/>
    <w:rsid w:val="00431CC2"/>
    <w:rsid w:val="0043254D"/>
    <w:rsid w:val="004325F0"/>
    <w:rsid w:val="0043260E"/>
    <w:rsid w:val="00432618"/>
    <w:rsid w:val="004327AC"/>
    <w:rsid w:val="00432FF9"/>
    <w:rsid w:val="00433223"/>
    <w:rsid w:val="00433AF2"/>
    <w:rsid w:val="00433E28"/>
    <w:rsid w:val="0043445C"/>
    <w:rsid w:val="004346E5"/>
    <w:rsid w:val="0043484D"/>
    <w:rsid w:val="00434CE3"/>
    <w:rsid w:val="0043503D"/>
    <w:rsid w:val="00435180"/>
    <w:rsid w:val="004351A1"/>
    <w:rsid w:val="004351B5"/>
    <w:rsid w:val="00435AE6"/>
    <w:rsid w:val="00435E67"/>
    <w:rsid w:val="00435F60"/>
    <w:rsid w:val="0043604F"/>
    <w:rsid w:val="004360B3"/>
    <w:rsid w:val="0043610C"/>
    <w:rsid w:val="004361C9"/>
    <w:rsid w:val="004362D4"/>
    <w:rsid w:val="004363FA"/>
    <w:rsid w:val="00436C2A"/>
    <w:rsid w:val="00436CE2"/>
    <w:rsid w:val="00437060"/>
    <w:rsid w:val="00437711"/>
    <w:rsid w:val="0043789D"/>
    <w:rsid w:val="004401C1"/>
    <w:rsid w:val="004401EB"/>
    <w:rsid w:val="00440BDF"/>
    <w:rsid w:val="00440C24"/>
    <w:rsid w:val="00440E40"/>
    <w:rsid w:val="004411C0"/>
    <w:rsid w:val="00441481"/>
    <w:rsid w:val="00441597"/>
    <w:rsid w:val="004415B3"/>
    <w:rsid w:val="00441735"/>
    <w:rsid w:val="00441849"/>
    <w:rsid w:val="004418FC"/>
    <w:rsid w:val="00441B5F"/>
    <w:rsid w:val="00441F5D"/>
    <w:rsid w:val="00441FFC"/>
    <w:rsid w:val="00442943"/>
    <w:rsid w:val="00442BB9"/>
    <w:rsid w:val="00442C87"/>
    <w:rsid w:val="004430B2"/>
    <w:rsid w:val="004430E7"/>
    <w:rsid w:val="004433DC"/>
    <w:rsid w:val="004433E3"/>
    <w:rsid w:val="004435C3"/>
    <w:rsid w:val="0044383C"/>
    <w:rsid w:val="00443B71"/>
    <w:rsid w:val="00443D40"/>
    <w:rsid w:val="00443F05"/>
    <w:rsid w:val="00443F23"/>
    <w:rsid w:val="00443F32"/>
    <w:rsid w:val="0044451B"/>
    <w:rsid w:val="004445B7"/>
    <w:rsid w:val="0044461B"/>
    <w:rsid w:val="0044469F"/>
    <w:rsid w:val="00444A27"/>
    <w:rsid w:val="00444BDB"/>
    <w:rsid w:val="00445366"/>
    <w:rsid w:val="00445398"/>
    <w:rsid w:val="004455C1"/>
    <w:rsid w:val="00445638"/>
    <w:rsid w:val="004456E3"/>
    <w:rsid w:val="00445BA8"/>
    <w:rsid w:val="00445CE1"/>
    <w:rsid w:val="00445D8F"/>
    <w:rsid w:val="00445F5D"/>
    <w:rsid w:val="004460D8"/>
    <w:rsid w:val="0044642E"/>
    <w:rsid w:val="00446481"/>
    <w:rsid w:val="0044655B"/>
    <w:rsid w:val="00446965"/>
    <w:rsid w:val="00446AF3"/>
    <w:rsid w:val="00447123"/>
    <w:rsid w:val="004473E8"/>
    <w:rsid w:val="00450075"/>
    <w:rsid w:val="004501EA"/>
    <w:rsid w:val="004506F0"/>
    <w:rsid w:val="00450709"/>
    <w:rsid w:val="00450B5A"/>
    <w:rsid w:val="004511D7"/>
    <w:rsid w:val="004512ED"/>
    <w:rsid w:val="0045176C"/>
    <w:rsid w:val="0045190B"/>
    <w:rsid w:val="00451A55"/>
    <w:rsid w:val="00451BFE"/>
    <w:rsid w:val="00451D89"/>
    <w:rsid w:val="0045263A"/>
    <w:rsid w:val="00452F23"/>
    <w:rsid w:val="00453663"/>
    <w:rsid w:val="004536D6"/>
    <w:rsid w:val="00453722"/>
    <w:rsid w:val="00453D1B"/>
    <w:rsid w:val="004541C6"/>
    <w:rsid w:val="004542EE"/>
    <w:rsid w:val="004544F8"/>
    <w:rsid w:val="00454643"/>
    <w:rsid w:val="004548F2"/>
    <w:rsid w:val="00454A05"/>
    <w:rsid w:val="00454A2A"/>
    <w:rsid w:val="00454AA5"/>
    <w:rsid w:val="00454AD9"/>
    <w:rsid w:val="00454C3C"/>
    <w:rsid w:val="00454E93"/>
    <w:rsid w:val="004554FC"/>
    <w:rsid w:val="0045608B"/>
    <w:rsid w:val="0045609B"/>
    <w:rsid w:val="004560A2"/>
    <w:rsid w:val="004560AC"/>
    <w:rsid w:val="004560C5"/>
    <w:rsid w:val="00456290"/>
    <w:rsid w:val="0045662E"/>
    <w:rsid w:val="0045664D"/>
    <w:rsid w:val="00456696"/>
    <w:rsid w:val="00456A6B"/>
    <w:rsid w:val="00456D9C"/>
    <w:rsid w:val="00456F71"/>
    <w:rsid w:val="004575E0"/>
    <w:rsid w:val="00457910"/>
    <w:rsid w:val="00457C24"/>
    <w:rsid w:val="00457E55"/>
    <w:rsid w:val="004600F5"/>
    <w:rsid w:val="00460577"/>
    <w:rsid w:val="00460BAB"/>
    <w:rsid w:val="00460E63"/>
    <w:rsid w:val="00460F50"/>
    <w:rsid w:val="004610A5"/>
    <w:rsid w:val="00461311"/>
    <w:rsid w:val="00461C5B"/>
    <w:rsid w:val="00461F4B"/>
    <w:rsid w:val="0046207B"/>
    <w:rsid w:val="00462570"/>
    <w:rsid w:val="004626F4"/>
    <w:rsid w:val="00462928"/>
    <w:rsid w:val="00462B17"/>
    <w:rsid w:val="00462D1E"/>
    <w:rsid w:val="00462F56"/>
    <w:rsid w:val="0046312D"/>
    <w:rsid w:val="004635FE"/>
    <w:rsid w:val="00463915"/>
    <w:rsid w:val="00463AD8"/>
    <w:rsid w:val="00463D3D"/>
    <w:rsid w:val="00463F66"/>
    <w:rsid w:val="00463FAD"/>
    <w:rsid w:val="00464259"/>
    <w:rsid w:val="004645BE"/>
    <w:rsid w:val="0046464D"/>
    <w:rsid w:val="00464CAD"/>
    <w:rsid w:val="00464FC0"/>
    <w:rsid w:val="0046532A"/>
    <w:rsid w:val="004657E0"/>
    <w:rsid w:val="00465950"/>
    <w:rsid w:val="004659D6"/>
    <w:rsid w:val="004659F5"/>
    <w:rsid w:val="00465F6C"/>
    <w:rsid w:val="00465F9E"/>
    <w:rsid w:val="00466061"/>
    <w:rsid w:val="004660FD"/>
    <w:rsid w:val="00466731"/>
    <w:rsid w:val="00467069"/>
    <w:rsid w:val="0046715B"/>
    <w:rsid w:val="004676A5"/>
    <w:rsid w:val="00467BE7"/>
    <w:rsid w:val="00467CCB"/>
    <w:rsid w:val="00467E99"/>
    <w:rsid w:val="00467FC9"/>
    <w:rsid w:val="00467FCB"/>
    <w:rsid w:val="00470022"/>
    <w:rsid w:val="0047012D"/>
    <w:rsid w:val="004701D9"/>
    <w:rsid w:val="00470299"/>
    <w:rsid w:val="0047054B"/>
    <w:rsid w:val="00470EB4"/>
    <w:rsid w:val="004710B6"/>
    <w:rsid w:val="004712AA"/>
    <w:rsid w:val="00471379"/>
    <w:rsid w:val="004714C1"/>
    <w:rsid w:val="00471606"/>
    <w:rsid w:val="00471960"/>
    <w:rsid w:val="00471CB3"/>
    <w:rsid w:val="00471DA5"/>
    <w:rsid w:val="00471E8B"/>
    <w:rsid w:val="00472235"/>
    <w:rsid w:val="00472632"/>
    <w:rsid w:val="00472FA5"/>
    <w:rsid w:val="004730C2"/>
    <w:rsid w:val="0047319F"/>
    <w:rsid w:val="0047342F"/>
    <w:rsid w:val="004736A3"/>
    <w:rsid w:val="00473B95"/>
    <w:rsid w:val="00473BFE"/>
    <w:rsid w:val="00474105"/>
    <w:rsid w:val="004742E4"/>
    <w:rsid w:val="0047436E"/>
    <w:rsid w:val="0047439D"/>
    <w:rsid w:val="00474477"/>
    <w:rsid w:val="00474696"/>
    <w:rsid w:val="0047495B"/>
    <w:rsid w:val="00474BBC"/>
    <w:rsid w:val="00474D8F"/>
    <w:rsid w:val="0047550D"/>
    <w:rsid w:val="0047567B"/>
    <w:rsid w:val="004756AC"/>
    <w:rsid w:val="004758E6"/>
    <w:rsid w:val="00475AFD"/>
    <w:rsid w:val="00475B9C"/>
    <w:rsid w:val="00475C23"/>
    <w:rsid w:val="00475D14"/>
    <w:rsid w:val="00475EE1"/>
    <w:rsid w:val="0047611A"/>
    <w:rsid w:val="0047627B"/>
    <w:rsid w:val="00476383"/>
    <w:rsid w:val="004763EE"/>
    <w:rsid w:val="00476CA7"/>
    <w:rsid w:val="0047714F"/>
    <w:rsid w:val="0047750B"/>
    <w:rsid w:val="004775A7"/>
    <w:rsid w:val="00477632"/>
    <w:rsid w:val="0047767B"/>
    <w:rsid w:val="00477A8A"/>
    <w:rsid w:val="00477A9D"/>
    <w:rsid w:val="00477B31"/>
    <w:rsid w:val="00477D5B"/>
    <w:rsid w:val="00477E84"/>
    <w:rsid w:val="00480561"/>
    <w:rsid w:val="004809E6"/>
    <w:rsid w:val="00480AC1"/>
    <w:rsid w:val="00480E34"/>
    <w:rsid w:val="00480EF5"/>
    <w:rsid w:val="00481277"/>
    <w:rsid w:val="00481408"/>
    <w:rsid w:val="00481597"/>
    <w:rsid w:val="004815D5"/>
    <w:rsid w:val="00481650"/>
    <w:rsid w:val="004819FB"/>
    <w:rsid w:val="00481AD7"/>
    <w:rsid w:val="00481C42"/>
    <w:rsid w:val="00481E78"/>
    <w:rsid w:val="00481F28"/>
    <w:rsid w:val="0048212A"/>
    <w:rsid w:val="004822A3"/>
    <w:rsid w:val="0048285B"/>
    <w:rsid w:val="00482F15"/>
    <w:rsid w:val="00483054"/>
    <w:rsid w:val="004831A5"/>
    <w:rsid w:val="00483324"/>
    <w:rsid w:val="00483388"/>
    <w:rsid w:val="004833A8"/>
    <w:rsid w:val="00483BAB"/>
    <w:rsid w:val="00483C4A"/>
    <w:rsid w:val="0048430F"/>
    <w:rsid w:val="00484370"/>
    <w:rsid w:val="00484693"/>
    <w:rsid w:val="00484A75"/>
    <w:rsid w:val="00484B3D"/>
    <w:rsid w:val="00484D08"/>
    <w:rsid w:val="00485109"/>
    <w:rsid w:val="00485AFC"/>
    <w:rsid w:val="00485BE3"/>
    <w:rsid w:val="0048605E"/>
    <w:rsid w:val="0048636A"/>
    <w:rsid w:val="00486418"/>
    <w:rsid w:val="00486ED2"/>
    <w:rsid w:val="004874AE"/>
    <w:rsid w:val="004874FD"/>
    <w:rsid w:val="00490244"/>
    <w:rsid w:val="00490409"/>
    <w:rsid w:val="004904E1"/>
    <w:rsid w:val="00490596"/>
    <w:rsid w:val="004908EC"/>
    <w:rsid w:val="004909BF"/>
    <w:rsid w:val="00490A91"/>
    <w:rsid w:val="00490E50"/>
    <w:rsid w:val="004913A4"/>
    <w:rsid w:val="00491406"/>
    <w:rsid w:val="00491653"/>
    <w:rsid w:val="00491C36"/>
    <w:rsid w:val="0049245C"/>
    <w:rsid w:val="0049282D"/>
    <w:rsid w:val="00492B0F"/>
    <w:rsid w:val="004930A7"/>
    <w:rsid w:val="00493286"/>
    <w:rsid w:val="00493306"/>
    <w:rsid w:val="00493339"/>
    <w:rsid w:val="004934F2"/>
    <w:rsid w:val="004934FD"/>
    <w:rsid w:val="00493982"/>
    <w:rsid w:val="00493AA8"/>
    <w:rsid w:val="00493D82"/>
    <w:rsid w:val="00493E28"/>
    <w:rsid w:val="00493F25"/>
    <w:rsid w:val="0049406B"/>
    <w:rsid w:val="00494189"/>
    <w:rsid w:val="0049428D"/>
    <w:rsid w:val="00494769"/>
    <w:rsid w:val="00494A7D"/>
    <w:rsid w:val="00494C8D"/>
    <w:rsid w:val="00494D9D"/>
    <w:rsid w:val="00494EA6"/>
    <w:rsid w:val="004951A0"/>
    <w:rsid w:val="004954B2"/>
    <w:rsid w:val="004955A2"/>
    <w:rsid w:val="004955EA"/>
    <w:rsid w:val="00495698"/>
    <w:rsid w:val="004956BB"/>
    <w:rsid w:val="00495875"/>
    <w:rsid w:val="00495AF5"/>
    <w:rsid w:val="00495CD6"/>
    <w:rsid w:val="00495F84"/>
    <w:rsid w:val="00496213"/>
    <w:rsid w:val="0049654D"/>
    <w:rsid w:val="00496588"/>
    <w:rsid w:val="004967D3"/>
    <w:rsid w:val="004967D5"/>
    <w:rsid w:val="0049699C"/>
    <w:rsid w:val="0049702B"/>
    <w:rsid w:val="00497636"/>
    <w:rsid w:val="00497639"/>
    <w:rsid w:val="004976AE"/>
    <w:rsid w:val="0049783F"/>
    <w:rsid w:val="00497A7A"/>
    <w:rsid w:val="00497A80"/>
    <w:rsid w:val="00497BB5"/>
    <w:rsid w:val="00497C50"/>
    <w:rsid w:val="00497E28"/>
    <w:rsid w:val="00497E2B"/>
    <w:rsid w:val="004A052D"/>
    <w:rsid w:val="004A0901"/>
    <w:rsid w:val="004A0F69"/>
    <w:rsid w:val="004A10DA"/>
    <w:rsid w:val="004A14DA"/>
    <w:rsid w:val="004A1671"/>
    <w:rsid w:val="004A1766"/>
    <w:rsid w:val="004A1CDC"/>
    <w:rsid w:val="004A20B1"/>
    <w:rsid w:val="004A2244"/>
    <w:rsid w:val="004A22EC"/>
    <w:rsid w:val="004A2E98"/>
    <w:rsid w:val="004A30B9"/>
    <w:rsid w:val="004A326B"/>
    <w:rsid w:val="004A32AD"/>
    <w:rsid w:val="004A33C7"/>
    <w:rsid w:val="004A43E9"/>
    <w:rsid w:val="004A4565"/>
    <w:rsid w:val="004A4646"/>
    <w:rsid w:val="004A471D"/>
    <w:rsid w:val="004A4814"/>
    <w:rsid w:val="004A4B3D"/>
    <w:rsid w:val="004A4C26"/>
    <w:rsid w:val="004A4C38"/>
    <w:rsid w:val="004A4C7F"/>
    <w:rsid w:val="004A4F42"/>
    <w:rsid w:val="004A55B3"/>
    <w:rsid w:val="004A59B5"/>
    <w:rsid w:val="004A5C36"/>
    <w:rsid w:val="004A5DAA"/>
    <w:rsid w:val="004A62F9"/>
    <w:rsid w:val="004A6786"/>
    <w:rsid w:val="004A6B6F"/>
    <w:rsid w:val="004A6CC1"/>
    <w:rsid w:val="004A6DF2"/>
    <w:rsid w:val="004A6E6C"/>
    <w:rsid w:val="004A7544"/>
    <w:rsid w:val="004A76EB"/>
    <w:rsid w:val="004A77B7"/>
    <w:rsid w:val="004A7855"/>
    <w:rsid w:val="004A7A21"/>
    <w:rsid w:val="004A7ACC"/>
    <w:rsid w:val="004A7E88"/>
    <w:rsid w:val="004B01F3"/>
    <w:rsid w:val="004B080B"/>
    <w:rsid w:val="004B09ED"/>
    <w:rsid w:val="004B0BF5"/>
    <w:rsid w:val="004B1225"/>
    <w:rsid w:val="004B1296"/>
    <w:rsid w:val="004B144B"/>
    <w:rsid w:val="004B1496"/>
    <w:rsid w:val="004B1B32"/>
    <w:rsid w:val="004B21A5"/>
    <w:rsid w:val="004B2744"/>
    <w:rsid w:val="004B2955"/>
    <w:rsid w:val="004B31B6"/>
    <w:rsid w:val="004B328D"/>
    <w:rsid w:val="004B339C"/>
    <w:rsid w:val="004B3671"/>
    <w:rsid w:val="004B39E5"/>
    <w:rsid w:val="004B3A1E"/>
    <w:rsid w:val="004B3B07"/>
    <w:rsid w:val="004B3FF5"/>
    <w:rsid w:val="004B410D"/>
    <w:rsid w:val="004B424B"/>
    <w:rsid w:val="004B4599"/>
    <w:rsid w:val="004B45F7"/>
    <w:rsid w:val="004B4742"/>
    <w:rsid w:val="004B4876"/>
    <w:rsid w:val="004B4928"/>
    <w:rsid w:val="004B499E"/>
    <w:rsid w:val="004B4C2E"/>
    <w:rsid w:val="004B4C3A"/>
    <w:rsid w:val="004B4C66"/>
    <w:rsid w:val="004B4CD6"/>
    <w:rsid w:val="004B4E54"/>
    <w:rsid w:val="004B4F9B"/>
    <w:rsid w:val="004B51D0"/>
    <w:rsid w:val="004B521D"/>
    <w:rsid w:val="004B5538"/>
    <w:rsid w:val="004B556F"/>
    <w:rsid w:val="004B5A82"/>
    <w:rsid w:val="004B5EAC"/>
    <w:rsid w:val="004B5F36"/>
    <w:rsid w:val="004B6454"/>
    <w:rsid w:val="004B66C9"/>
    <w:rsid w:val="004B6758"/>
    <w:rsid w:val="004B6887"/>
    <w:rsid w:val="004B6A56"/>
    <w:rsid w:val="004B7027"/>
    <w:rsid w:val="004B7145"/>
    <w:rsid w:val="004B73FC"/>
    <w:rsid w:val="004B740B"/>
    <w:rsid w:val="004B78AA"/>
    <w:rsid w:val="004B7917"/>
    <w:rsid w:val="004B7CEE"/>
    <w:rsid w:val="004C033A"/>
    <w:rsid w:val="004C0351"/>
    <w:rsid w:val="004C04A8"/>
    <w:rsid w:val="004C063F"/>
    <w:rsid w:val="004C0A47"/>
    <w:rsid w:val="004C0F99"/>
    <w:rsid w:val="004C124B"/>
    <w:rsid w:val="004C162B"/>
    <w:rsid w:val="004C1684"/>
    <w:rsid w:val="004C1A7F"/>
    <w:rsid w:val="004C1B5C"/>
    <w:rsid w:val="004C1E1B"/>
    <w:rsid w:val="004C21C2"/>
    <w:rsid w:val="004C2274"/>
    <w:rsid w:val="004C24B8"/>
    <w:rsid w:val="004C26BC"/>
    <w:rsid w:val="004C2748"/>
    <w:rsid w:val="004C29A5"/>
    <w:rsid w:val="004C29DF"/>
    <w:rsid w:val="004C2AF3"/>
    <w:rsid w:val="004C2DA4"/>
    <w:rsid w:val="004C2EB3"/>
    <w:rsid w:val="004C3431"/>
    <w:rsid w:val="004C3720"/>
    <w:rsid w:val="004C3787"/>
    <w:rsid w:val="004C4005"/>
    <w:rsid w:val="004C42A4"/>
    <w:rsid w:val="004C440E"/>
    <w:rsid w:val="004C4575"/>
    <w:rsid w:val="004C472F"/>
    <w:rsid w:val="004C4A75"/>
    <w:rsid w:val="004C4B4B"/>
    <w:rsid w:val="004C4C70"/>
    <w:rsid w:val="004C4D44"/>
    <w:rsid w:val="004C56C7"/>
    <w:rsid w:val="004C579F"/>
    <w:rsid w:val="004C5989"/>
    <w:rsid w:val="004C5EA3"/>
    <w:rsid w:val="004C6022"/>
    <w:rsid w:val="004C60E6"/>
    <w:rsid w:val="004C63C8"/>
    <w:rsid w:val="004C64B9"/>
    <w:rsid w:val="004C68B5"/>
    <w:rsid w:val="004C6A2C"/>
    <w:rsid w:val="004C6D82"/>
    <w:rsid w:val="004C730C"/>
    <w:rsid w:val="004C7334"/>
    <w:rsid w:val="004C74F9"/>
    <w:rsid w:val="004C7ED5"/>
    <w:rsid w:val="004D0172"/>
    <w:rsid w:val="004D0457"/>
    <w:rsid w:val="004D055A"/>
    <w:rsid w:val="004D06A2"/>
    <w:rsid w:val="004D09F6"/>
    <w:rsid w:val="004D0EB0"/>
    <w:rsid w:val="004D0F35"/>
    <w:rsid w:val="004D1035"/>
    <w:rsid w:val="004D1727"/>
    <w:rsid w:val="004D1C52"/>
    <w:rsid w:val="004D1D52"/>
    <w:rsid w:val="004D1E49"/>
    <w:rsid w:val="004D1E63"/>
    <w:rsid w:val="004D1F18"/>
    <w:rsid w:val="004D2241"/>
    <w:rsid w:val="004D24CA"/>
    <w:rsid w:val="004D30B7"/>
    <w:rsid w:val="004D35D3"/>
    <w:rsid w:val="004D3BEF"/>
    <w:rsid w:val="004D4198"/>
    <w:rsid w:val="004D41A2"/>
    <w:rsid w:val="004D451E"/>
    <w:rsid w:val="004D46CF"/>
    <w:rsid w:val="004D4772"/>
    <w:rsid w:val="004D4883"/>
    <w:rsid w:val="004D4894"/>
    <w:rsid w:val="004D491A"/>
    <w:rsid w:val="004D4DD4"/>
    <w:rsid w:val="004D4DFB"/>
    <w:rsid w:val="004D4F96"/>
    <w:rsid w:val="004D528D"/>
    <w:rsid w:val="004D52E7"/>
    <w:rsid w:val="004D53E1"/>
    <w:rsid w:val="004D541F"/>
    <w:rsid w:val="004D5491"/>
    <w:rsid w:val="004D5842"/>
    <w:rsid w:val="004D58B7"/>
    <w:rsid w:val="004D5AC6"/>
    <w:rsid w:val="004D5E84"/>
    <w:rsid w:val="004D600F"/>
    <w:rsid w:val="004D62E3"/>
    <w:rsid w:val="004D671B"/>
    <w:rsid w:val="004D6949"/>
    <w:rsid w:val="004D6B1F"/>
    <w:rsid w:val="004D6CB9"/>
    <w:rsid w:val="004D7010"/>
    <w:rsid w:val="004D75FD"/>
    <w:rsid w:val="004D7694"/>
    <w:rsid w:val="004D78FD"/>
    <w:rsid w:val="004D79DB"/>
    <w:rsid w:val="004D7AE2"/>
    <w:rsid w:val="004D7B41"/>
    <w:rsid w:val="004D7B42"/>
    <w:rsid w:val="004D7D59"/>
    <w:rsid w:val="004E00C2"/>
    <w:rsid w:val="004E0107"/>
    <w:rsid w:val="004E07FF"/>
    <w:rsid w:val="004E0F68"/>
    <w:rsid w:val="004E0F6E"/>
    <w:rsid w:val="004E1202"/>
    <w:rsid w:val="004E1258"/>
    <w:rsid w:val="004E12E5"/>
    <w:rsid w:val="004E138F"/>
    <w:rsid w:val="004E13B7"/>
    <w:rsid w:val="004E145D"/>
    <w:rsid w:val="004E1483"/>
    <w:rsid w:val="004E1494"/>
    <w:rsid w:val="004E1A89"/>
    <w:rsid w:val="004E1DD0"/>
    <w:rsid w:val="004E1E97"/>
    <w:rsid w:val="004E1F6D"/>
    <w:rsid w:val="004E22C8"/>
    <w:rsid w:val="004E22CE"/>
    <w:rsid w:val="004E2750"/>
    <w:rsid w:val="004E276C"/>
    <w:rsid w:val="004E2AB7"/>
    <w:rsid w:val="004E2BEC"/>
    <w:rsid w:val="004E2C96"/>
    <w:rsid w:val="004E2E1A"/>
    <w:rsid w:val="004E2E34"/>
    <w:rsid w:val="004E31F2"/>
    <w:rsid w:val="004E394E"/>
    <w:rsid w:val="004E3972"/>
    <w:rsid w:val="004E3C21"/>
    <w:rsid w:val="004E3C44"/>
    <w:rsid w:val="004E3CAF"/>
    <w:rsid w:val="004E3DEA"/>
    <w:rsid w:val="004E3EC8"/>
    <w:rsid w:val="004E41BF"/>
    <w:rsid w:val="004E4436"/>
    <w:rsid w:val="004E45A4"/>
    <w:rsid w:val="004E4ABE"/>
    <w:rsid w:val="004E4AF1"/>
    <w:rsid w:val="004E4CF1"/>
    <w:rsid w:val="004E4DE7"/>
    <w:rsid w:val="004E53E5"/>
    <w:rsid w:val="004E5652"/>
    <w:rsid w:val="004E58DE"/>
    <w:rsid w:val="004E5B09"/>
    <w:rsid w:val="004E5B60"/>
    <w:rsid w:val="004E5BD7"/>
    <w:rsid w:val="004E5D23"/>
    <w:rsid w:val="004E61A3"/>
    <w:rsid w:val="004E645A"/>
    <w:rsid w:val="004E647C"/>
    <w:rsid w:val="004E67EC"/>
    <w:rsid w:val="004E6824"/>
    <w:rsid w:val="004E6B15"/>
    <w:rsid w:val="004E6CF4"/>
    <w:rsid w:val="004E6E1D"/>
    <w:rsid w:val="004E70B3"/>
    <w:rsid w:val="004E71FC"/>
    <w:rsid w:val="004E74FA"/>
    <w:rsid w:val="004E759B"/>
    <w:rsid w:val="004E7A90"/>
    <w:rsid w:val="004E7B87"/>
    <w:rsid w:val="004E7E58"/>
    <w:rsid w:val="004F026D"/>
    <w:rsid w:val="004F074A"/>
    <w:rsid w:val="004F095D"/>
    <w:rsid w:val="004F0DF0"/>
    <w:rsid w:val="004F1424"/>
    <w:rsid w:val="004F14A7"/>
    <w:rsid w:val="004F2212"/>
    <w:rsid w:val="004F2424"/>
    <w:rsid w:val="004F2487"/>
    <w:rsid w:val="004F281C"/>
    <w:rsid w:val="004F2CFE"/>
    <w:rsid w:val="004F2FAC"/>
    <w:rsid w:val="004F30F5"/>
    <w:rsid w:val="004F32BF"/>
    <w:rsid w:val="004F35C9"/>
    <w:rsid w:val="004F3AEF"/>
    <w:rsid w:val="004F3CBF"/>
    <w:rsid w:val="004F3F62"/>
    <w:rsid w:val="004F428E"/>
    <w:rsid w:val="004F4490"/>
    <w:rsid w:val="004F4740"/>
    <w:rsid w:val="004F49DE"/>
    <w:rsid w:val="004F49FF"/>
    <w:rsid w:val="004F4A90"/>
    <w:rsid w:val="004F4EFB"/>
    <w:rsid w:val="004F5166"/>
    <w:rsid w:val="004F545F"/>
    <w:rsid w:val="004F5684"/>
    <w:rsid w:val="004F634B"/>
    <w:rsid w:val="004F6352"/>
    <w:rsid w:val="004F662A"/>
    <w:rsid w:val="004F6B58"/>
    <w:rsid w:val="004F6E80"/>
    <w:rsid w:val="004F717F"/>
    <w:rsid w:val="004F7219"/>
    <w:rsid w:val="004F7264"/>
    <w:rsid w:val="004F7370"/>
    <w:rsid w:val="004F7762"/>
    <w:rsid w:val="004F7CDC"/>
    <w:rsid w:val="00500220"/>
    <w:rsid w:val="00500939"/>
    <w:rsid w:val="00500C95"/>
    <w:rsid w:val="00501169"/>
    <w:rsid w:val="0050118B"/>
    <w:rsid w:val="005018C7"/>
    <w:rsid w:val="00501DA8"/>
    <w:rsid w:val="00502250"/>
    <w:rsid w:val="005023E5"/>
    <w:rsid w:val="00502458"/>
    <w:rsid w:val="0050262A"/>
    <w:rsid w:val="00502660"/>
    <w:rsid w:val="005028DB"/>
    <w:rsid w:val="00502A69"/>
    <w:rsid w:val="00502A6C"/>
    <w:rsid w:val="00502DA5"/>
    <w:rsid w:val="00502E22"/>
    <w:rsid w:val="0050319D"/>
    <w:rsid w:val="005031F0"/>
    <w:rsid w:val="00503201"/>
    <w:rsid w:val="00503479"/>
    <w:rsid w:val="005034B2"/>
    <w:rsid w:val="005036F8"/>
    <w:rsid w:val="00503AE4"/>
    <w:rsid w:val="00503D89"/>
    <w:rsid w:val="00503DF0"/>
    <w:rsid w:val="00503EF3"/>
    <w:rsid w:val="005041D1"/>
    <w:rsid w:val="0050420D"/>
    <w:rsid w:val="005045E9"/>
    <w:rsid w:val="00504884"/>
    <w:rsid w:val="00504B7E"/>
    <w:rsid w:val="005056DD"/>
    <w:rsid w:val="0050575C"/>
    <w:rsid w:val="00505931"/>
    <w:rsid w:val="005061C1"/>
    <w:rsid w:val="00506248"/>
    <w:rsid w:val="005065B2"/>
    <w:rsid w:val="005065EA"/>
    <w:rsid w:val="0050674F"/>
    <w:rsid w:val="0050679C"/>
    <w:rsid w:val="00506B38"/>
    <w:rsid w:val="00506B8A"/>
    <w:rsid w:val="00506C1C"/>
    <w:rsid w:val="00506ED7"/>
    <w:rsid w:val="00506FF3"/>
    <w:rsid w:val="00507062"/>
    <w:rsid w:val="005071B1"/>
    <w:rsid w:val="00507703"/>
    <w:rsid w:val="0050771A"/>
    <w:rsid w:val="005079FE"/>
    <w:rsid w:val="00507F5E"/>
    <w:rsid w:val="00507F69"/>
    <w:rsid w:val="005101FC"/>
    <w:rsid w:val="0051024E"/>
    <w:rsid w:val="0051053D"/>
    <w:rsid w:val="00511319"/>
    <w:rsid w:val="0051161B"/>
    <w:rsid w:val="00511A3A"/>
    <w:rsid w:val="00511BB7"/>
    <w:rsid w:val="00511BCD"/>
    <w:rsid w:val="00511BF7"/>
    <w:rsid w:val="00511DC7"/>
    <w:rsid w:val="00512100"/>
    <w:rsid w:val="00512A4E"/>
    <w:rsid w:val="00512B4D"/>
    <w:rsid w:val="00512D47"/>
    <w:rsid w:val="00512D5D"/>
    <w:rsid w:val="00512D76"/>
    <w:rsid w:val="005134E9"/>
    <w:rsid w:val="00513905"/>
    <w:rsid w:val="00513E2E"/>
    <w:rsid w:val="00514428"/>
    <w:rsid w:val="005145D8"/>
    <w:rsid w:val="0051472D"/>
    <w:rsid w:val="00514750"/>
    <w:rsid w:val="005147D1"/>
    <w:rsid w:val="00514A0E"/>
    <w:rsid w:val="00514C15"/>
    <w:rsid w:val="00514E9B"/>
    <w:rsid w:val="005158D4"/>
    <w:rsid w:val="00515A61"/>
    <w:rsid w:val="00515C3D"/>
    <w:rsid w:val="00515F59"/>
    <w:rsid w:val="005160F7"/>
    <w:rsid w:val="00516314"/>
    <w:rsid w:val="0051650E"/>
    <w:rsid w:val="005167A5"/>
    <w:rsid w:val="00516ADF"/>
    <w:rsid w:val="00516B73"/>
    <w:rsid w:val="00516FAA"/>
    <w:rsid w:val="00516FCB"/>
    <w:rsid w:val="005170DE"/>
    <w:rsid w:val="00517AF4"/>
    <w:rsid w:val="00517B5F"/>
    <w:rsid w:val="00517CCD"/>
    <w:rsid w:val="00517E36"/>
    <w:rsid w:val="00517EAD"/>
    <w:rsid w:val="0052010F"/>
    <w:rsid w:val="0052011E"/>
    <w:rsid w:val="0052023A"/>
    <w:rsid w:val="00520296"/>
    <w:rsid w:val="00520B5F"/>
    <w:rsid w:val="00520B6E"/>
    <w:rsid w:val="00520FD3"/>
    <w:rsid w:val="00521D19"/>
    <w:rsid w:val="00521D9A"/>
    <w:rsid w:val="00521F89"/>
    <w:rsid w:val="00522402"/>
    <w:rsid w:val="005228B6"/>
    <w:rsid w:val="00522B3C"/>
    <w:rsid w:val="00522CAE"/>
    <w:rsid w:val="005235CC"/>
    <w:rsid w:val="00523606"/>
    <w:rsid w:val="005238C8"/>
    <w:rsid w:val="00523982"/>
    <w:rsid w:val="00523D61"/>
    <w:rsid w:val="00523FA3"/>
    <w:rsid w:val="005244F8"/>
    <w:rsid w:val="005246F0"/>
    <w:rsid w:val="00524921"/>
    <w:rsid w:val="00524A88"/>
    <w:rsid w:val="00524CD7"/>
    <w:rsid w:val="00524D25"/>
    <w:rsid w:val="00524E09"/>
    <w:rsid w:val="005254E6"/>
    <w:rsid w:val="005254EF"/>
    <w:rsid w:val="0052558F"/>
    <w:rsid w:val="00525DE9"/>
    <w:rsid w:val="00526294"/>
    <w:rsid w:val="0052661B"/>
    <w:rsid w:val="00526677"/>
    <w:rsid w:val="00526711"/>
    <w:rsid w:val="0052675E"/>
    <w:rsid w:val="00526A1D"/>
    <w:rsid w:val="00526BE1"/>
    <w:rsid w:val="00526C6A"/>
    <w:rsid w:val="00526E06"/>
    <w:rsid w:val="0052703C"/>
    <w:rsid w:val="0052750C"/>
    <w:rsid w:val="0052755E"/>
    <w:rsid w:val="00527722"/>
    <w:rsid w:val="00527AFF"/>
    <w:rsid w:val="00527FCE"/>
    <w:rsid w:val="005302D1"/>
    <w:rsid w:val="00530481"/>
    <w:rsid w:val="00530583"/>
    <w:rsid w:val="00530593"/>
    <w:rsid w:val="00530E28"/>
    <w:rsid w:val="00530ED5"/>
    <w:rsid w:val="00531156"/>
    <w:rsid w:val="005314CB"/>
    <w:rsid w:val="00531C3B"/>
    <w:rsid w:val="005324CB"/>
    <w:rsid w:val="005325C2"/>
    <w:rsid w:val="00532616"/>
    <w:rsid w:val="0053285E"/>
    <w:rsid w:val="00532D6C"/>
    <w:rsid w:val="00533E32"/>
    <w:rsid w:val="00533F59"/>
    <w:rsid w:val="00534528"/>
    <w:rsid w:val="005349C9"/>
    <w:rsid w:val="00534A2D"/>
    <w:rsid w:val="00534C3A"/>
    <w:rsid w:val="00534D5B"/>
    <w:rsid w:val="00534E46"/>
    <w:rsid w:val="005354D3"/>
    <w:rsid w:val="005354E6"/>
    <w:rsid w:val="00535597"/>
    <w:rsid w:val="00535732"/>
    <w:rsid w:val="00535975"/>
    <w:rsid w:val="005359E7"/>
    <w:rsid w:val="00535B6C"/>
    <w:rsid w:val="00535F1E"/>
    <w:rsid w:val="0053616A"/>
    <w:rsid w:val="005364B9"/>
    <w:rsid w:val="0053658E"/>
    <w:rsid w:val="005365BB"/>
    <w:rsid w:val="005366C5"/>
    <w:rsid w:val="00536966"/>
    <w:rsid w:val="00536A77"/>
    <w:rsid w:val="00536BEB"/>
    <w:rsid w:val="00536CDA"/>
    <w:rsid w:val="00536CE2"/>
    <w:rsid w:val="00536D3A"/>
    <w:rsid w:val="00536D89"/>
    <w:rsid w:val="00537040"/>
    <w:rsid w:val="005370FD"/>
    <w:rsid w:val="005372D8"/>
    <w:rsid w:val="00537368"/>
    <w:rsid w:val="005378AF"/>
    <w:rsid w:val="00537BD5"/>
    <w:rsid w:val="00537FB8"/>
    <w:rsid w:val="00540852"/>
    <w:rsid w:val="00540949"/>
    <w:rsid w:val="00540B0B"/>
    <w:rsid w:val="00540B3F"/>
    <w:rsid w:val="00540F45"/>
    <w:rsid w:val="00540F6D"/>
    <w:rsid w:val="005411ED"/>
    <w:rsid w:val="00541559"/>
    <w:rsid w:val="00541900"/>
    <w:rsid w:val="0054198B"/>
    <w:rsid w:val="00541A3B"/>
    <w:rsid w:val="00541A53"/>
    <w:rsid w:val="00541AB5"/>
    <w:rsid w:val="00541B8B"/>
    <w:rsid w:val="00541D6B"/>
    <w:rsid w:val="00542163"/>
    <w:rsid w:val="005421E8"/>
    <w:rsid w:val="005421FA"/>
    <w:rsid w:val="00542875"/>
    <w:rsid w:val="0054292D"/>
    <w:rsid w:val="00542A7C"/>
    <w:rsid w:val="00542BF9"/>
    <w:rsid w:val="00542D45"/>
    <w:rsid w:val="0054383B"/>
    <w:rsid w:val="005439EB"/>
    <w:rsid w:val="00543E38"/>
    <w:rsid w:val="00543ECD"/>
    <w:rsid w:val="00543F08"/>
    <w:rsid w:val="0054510D"/>
    <w:rsid w:val="00545620"/>
    <w:rsid w:val="00545787"/>
    <w:rsid w:val="00545A67"/>
    <w:rsid w:val="00545C94"/>
    <w:rsid w:val="00545ECB"/>
    <w:rsid w:val="00546030"/>
    <w:rsid w:val="005462C9"/>
    <w:rsid w:val="0054673A"/>
    <w:rsid w:val="00546864"/>
    <w:rsid w:val="0054688C"/>
    <w:rsid w:val="005469C4"/>
    <w:rsid w:val="00546FD3"/>
    <w:rsid w:val="00547412"/>
    <w:rsid w:val="0054754A"/>
    <w:rsid w:val="005477D2"/>
    <w:rsid w:val="00547A56"/>
    <w:rsid w:val="00547D98"/>
    <w:rsid w:val="00547E7E"/>
    <w:rsid w:val="00550199"/>
    <w:rsid w:val="005501C1"/>
    <w:rsid w:val="00550433"/>
    <w:rsid w:val="00550958"/>
    <w:rsid w:val="00550AD6"/>
    <w:rsid w:val="00550B90"/>
    <w:rsid w:val="00551191"/>
    <w:rsid w:val="00551242"/>
    <w:rsid w:val="00551328"/>
    <w:rsid w:val="005513BF"/>
    <w:rsid w:val="005515A6"/>
    <w:rsid w:val="00551A34"/>
    <w:rsid w:val="00551B07"/>
    <w:rsid w:val="00551B20"/>
    <w:rsid w:val="00551C3B"/>
    <w:rsid w:val="00551C8F"/>
    <w:rsid w:val="00551EEF"/>
    <w:rsid w:val="00552201"/>
    <w:rsid w:val="00552261"/>
    <w:rsid w:val="0055247D"/>
    <w:rsid w:val="0055271A"/>
    <w:rsid w:val="00552DA5"/>
    <w:rsid w:val="00552DE5"/>
    <w:rsid w:val="00552E9A"/>
    <w:rsid w:val="00552EB7"/>
    <w:rsid w:val="0055308D"/>
    <w:rsid w:val="005532A0"/>
    <w:rsid w:val="0055332B"/>
    <w:rsid w:val="00553836"/>
    <w:rsid w:val="00553882"/>
    <w:rsid w:val="00553C8D"/>
    <w:rsid w:val="00553CA5"/>
    <w:rsid w:val="00553F1F"/>
    <w:rsid w:val="00554345"/>
    <w:rsid w:val="00554593"/>
    <w:rsid w:val="005546E0"/>
    <w:rsid w:val="005548EF"/>
    <w:rsid w:val="00554A3E"/>
    <w:rsid w:val="00554B12"/>
    <w:rsid w:val="00555652"/>
    <w:rsid w:val="005556E7"/>
    <w:rsid w:val="005558CF"/>
    <w:rsid w:val="005559F4"/>
    <w:rsid w:val="005559F8"/>
    <w:rsid w:val="00555D4A"/>
    <w:rsid w:val="00555E2C"/>
    <w:rsid w:val="00556227"/>
    <w:rsid w:val="00556319"/>
    <w:rsid w:val="005568E7"/>
    <w:rsid w:val="00556CAA"/>
    <w:rsid w:val="00556EEA"/>
    <w:rsid w:val="00557085"/>
    <w:rsid w:val="005570D6"/>
    <w:rsid w:val="005573CA"/>
    <w:rsid w:val="00557831"/>
    <w:rsid w:val="005578BD"/>
    <w:rsid w:val="00557B4B"/>
    <w:rsid w:val="00557F8C"/>
    <w:rsid w:val="00557FEE"/>
    <w:rsid w:val="005601AF"/>
    <w:rsid w:val="00560426"/>
    <w:rsid w:val="00561342"/>
    <w:rsid w:val="005614B2"/>
    <w:rsid w:val="005618F1"/>
    <w:rsid w:val="00561AE5"/>
    <w:rsid w:val="00561C70"/>
    <w:rsid w:val="00561F4A"/>
    <w:rsid w:val="0056231F"/>
    <w:rsid w:val="0056237A"/>
    <w:rsid w:val="00562619"/>
    <w:rsid w:val="005628C5"/>
    <w:rsid w:val="005629A1"/>
    <w:rsid w:val="00562A39"/>
    <w:rsid w:val="00562B70"/>
    <w:rsid w:val="005631D8"/>
    <w:rsid w:val="00563278"/>
    <w:rsid w:val="0056330F"/>
    <w:rsid w:val="00563941"/>
    <w:rsid w:val="00563DEA"/>
    <w:rsid w:val="00563F62"/>
    <w:rsid w:val="00563F7E"/>
    <w:rsid w:val="005640F8"/>
    <w:rsid w:val="0056448F"/>
    <w:rsid w:val="005648C4"/>
    <w:rsid w:val="0056497B"/>
    <w:rsid w:val="00564C17"/>
    <w:rsid w:val="00564C67"/>
    <w:rsid w:val="00565870"/>
    <w:rsid w:val="00565AFD"/>
    <w:rsid w:val="0056647E"/>
    <w:rsid w:val="00566772"/>
    <w:rsid w:val="005667D0"/>
    <w:rsid w:val="00566E7B"/>
    <w:rsid w:val="00567153"/>
    <w:rsid w:val="00567196"/>
    <w:rsid w:val="005671D2"/>
    <w:rsid w:val="00567366"/>
    <w:rsid w:val="00567431"/>
    <w:rsid w:val="005678CA"/>
    <w:rsid w:val="00567A6D"/>
    <w:rsid w:val="00567D45"/>
    <w:rsid w:val="00567E0D"/>
    <w:rsid w:val="005701F0"/>
    <w:rsid w:val="00570244"/>
    <w:rsid w:val="00570306"/>
    <w:rsid w:val="00570334"/>
    <w:rsid w:val="00570429"/>
    <w:rsid w:val="00570432"/>
    <w:rsid w:val="005704D8"/>
    <w:rsid w:val="005706FD"/>
    <w:rsid w:val="00570913"/>
    <w:rsid w:val="00570DC3"/>
    <w:rsid w:val="00570E89"/>
    <w:rsid w:val="00570ECB"/>
    <w:rsid w:val="005710CE"/>
    <w:rsid w:val="005713F0"/>
    <w:rsid w:val="005716AE"/>
    <w:rsid w:val="00571B18"/>
    <w:rsid w:val="00571EBF"/>
    <w:rsid w:val="00572016"/>
    <w:rsid w:val="0057201E"/>
    <w:rsid w:val="00572143"/>
    <w:rsid w:val="005721F5"/>
    <w:rsid w:val="00572265"/>
    <w:rsid w:val="005722D4"/>
    <w:rsid w:val="00572592"/>
    <w:rsid w:val="005725F3"/>
    <w:rsid w:val="00572A9E"/>
    <w:rsid w:val="00572B0E"/>
    <w:rsid w:val="00572E35"/>
    <w:rsid w:val="00572E82"/>
    <w:rsid w:val="00572F60"/>
    <w:rsid w:val="0057314D"/>
    <w:rsid w:val="00573479"/>
    <w:rsid w:val="0057374B"/>
    <w:rsid w:val="00573785"/>
    <w:rsid w:val="005739DA"/>
    <w:rsid w:val="00573C6A"/>
    <w:rsid w:val="00573CC5"/>
    <w:rsid w:val="005740FA"/>
    <w:rsid w:val="00574144"/>
    <w:rsid w:val="005741D4"/>
    <w:rsid w:val="005747C8"/>
    <w:rsid w:val="005749A0"/>
    <w:rsid w:val="00574A3F"/>
    <w:rsid w:val="00574D27"/>
    <w:rsid w:val="00574F9B"/>
    <w:rsid w:val="00575381"/>
    <w:rsid w:val="005753D1"/>
    <w:rsid w:val="00575465"/>
    <w:rsid w:val="00575996"/>
    <w:rsid w:val="00575C2E"/>
    <w:rsid w:val="00575CE8"/>
    <w:rsid w:val="00575DBC"/>
    <w:rsid w:val="0057620D"/>
    <w:rsid w:val="00576323"/>
    <w:rsid w:val="0057651E"/>
    <w:rsid w:val="00576544"/>
    <w:rsid w:val="00577213"/>
    <w:rsid w:val="0057765A"/>
    <w:rsid w:val="0057765F"/>
    <w:rsid w:val="00577C88"/>
    <w:rsid w:val="00577D51"/>
    <w:rsid w:val="00577D65"/>
    <w:rsid w:val="00577FDE"/>
    <w:rsid w:val="00580059"/>
    <w:rsid w:val="0058008D"/>
    <w:rsid w:val="005801BA"/>
    <w:rsid w:val="00580329"/>
    <w:rsid w:val="005803B0"/>
    <w:rsid w:val="005806A5"/>
    <w:rsid w:val="00580724"/>
    <w:rsid w:val="00580881"/>
    <w:rsid w:val="00580A9F"/>
    <w:rsid w:val="00580B4C"/>
    <w:rsid w:val="005817E2"/>
    <w:rsid w:val="0058187C"/>
    <w:rsid w:val="00581A10"/>
    <w:rsid w:val="00581A6C"/>
    <w:rsid w:val="00581C94"/>
    <w:rsid w:val="00581E5B"/>
    <w:rsid w:val="005822DF"/>
    <w:rsid w:val="005828ED"/>
    <w:rsid w:val="00582DC3"/>
    <w:rsid w:val="0058362F"/>
    <w:rsid w:val="00583A50"/>
    <w:rsid w:val="00583C58"/>
    <w:rsid w:val="00583D52"/>
    <w:rsid w:val="00584170"/>
    <w:rsid w:val="00584378"/>
    <w:rsid w:val="00584394"/>
    <w:rsid w:val="005843C7"/>
    <w:rsid w:val="005843FF"/>
    <w:rsid w:val="0058464E"/>
    <w:rsid w:val="005846D7"/>
    <w:rsid w:val="00584858"/>
    <w:rsid w:val="00584BF5"/>
    <w:rsid w:val="00584EAE"/>
    <w:rsid w:val="00584EED"/>
    <w:rsid w:val="005850FF"/>
    <w:rsid w:val="005851DD"/>
    <w:rsid w:val="00585543"/>
    <w:rsid w:val="005858BC"/>
    <w:rsid w:val="00585AC4"/>
    <w:rsid w:val="00585B98"/>
    <w:rsid w:val="005869E7"/>
    <w:rsid w:val="00586A4D"/>
    <w:rsid w:val="00586B70"/>
    <w:rsid w:val="00586C46"/>
    <w:rsid w:val="00586CB0"/>
    <w:rsid w:val="00586F73"/>
    <w:rsid w:val="00586FCA"/>
    <w:rsid w:val="0058763C"/>
    <w:rsid w:val="00587BEF"/>
    <w:rsid w:val="005919B4"/>
    <w:rsid w:val="00591D6C"/>
    <w:rsid w:val="00592006"/>
    <w:rsid w:val="0059218F"/>
    <w:rsid w:val="00592310"/>
    <w:rsid w:val="00592340"/>
    <w:rsid w:val="00592558"/>
    <w:rsid w:val="00592C06"/>
    <w:rsid w:val="00593001"/>
    <w:rsid w:val="0059305C"/>
    <w:rsid w:val="00593274"/>
    <w:rsid w:val="005934DB"/>
    <w:rsid w:val="005936CD"/>
    <w:rsid w:val="00593A2B"/>
    <w:rsid w:val="00593BF0"/>
    <w:rsid w:val="00593C52"/>
    <w:rsid w:val="00593D47"/>
    <w:rsid w:val="0059405B"/>
    <w:rsid w:val="00594209"/>
    <w:rsid w:val="005943C7"/>
    <w:rsid w:val="0059442F"/>
    <w:rsid w:val="005953CA"/>
    <w:rsid w:val="005954D8"/>
    <w:rsid w:val="0059569B"/>
    <w:rsid w:val="005956F1"/>
    <w:rsid w:val="00595BB6"/>
    <w:rsid w:val="00595D92"/>
    <w:rsid w:val="00595F51"/>
    <w:rsid w:val="005964A5"/>
    <w:rsid w:val="005968CB"/>
    <w:rsid w:val="00596A80"/>
    <w:rsid w:val="00596C02"/>
    <w:rsid w:val="0059705C"/>
    <w:rsid w:val="00597173"/>
    <w:rsid w:val="005971E8"/>
    <w:rsid w:val="00597565"/>
    <w:rsid w:val="005978DF"/>
    <w:rsid w:val="00597A17"/>
    <w:rsid w:val="005A05B0"/>
    <w:rsid w:val="005A0759"/>
    <w:rsid w:val="005A0926"/>
    <w:rsid w:val="005A0B17"/>
    <w:rsid w:val="005A0E84"/>
    <w:rsid w:val="005A126B"/>
    <w:rsid w:val="005A18B6"/>
    <w:rsid w:val="005A1932"/>
    <w:rsid w:val="005A1B50"/>
    <w:rsid w:val="005A1FFF"/>
    <w:rsid w:val="005A22D7"/>
    <w:rsid w:val="005A23FC"/>
    <w:rsid w:val="005A2764"/>
    <w:rsid w:val="005A277F"/>
    <w:rsid w:val="005A28F7"/>
    <w:rsid w:val="005A29AB"/>
    <w:rsid w:val="005A2A46"/>
    <w:rsid w:val="005A2FA3"/>
    <w:rsid w:val="005A334A"/>
    <w:rsid w:val="005A33BE"/>
    <w:rsid w:val="005A347E"/>
    <w:rsid w:val="005A361D"/>
    <w:rsid w:val="005A3993"/>
    <w:rsid w:val="005A3D9B"/>
    <w:rsid w:val="005A4CCA"/>
    <w:rsid w:val="005A4D62"/>
    <w:rsid w:val="005A4D7C"/>
    <w:rsid w:val="005A4E34"/>
    <w:rsid w:val="005A4E47"/>
    <w:rsid w:val="005A5424"/>
    <w:rsid w:val="005A5D64"/>
    <w:rsid w:val="005A6268"/>
    <w:rsid w:val="005A638B"/>
    <w:rsid w:val="005A64B7"/>
    <w:rsid w:val="005A658D"/>
    <w:rsid w:val="005A667D"/>
    <w:rsid w:val="005A683C"/>
    <w:rsid w:val="005A7173"/>
    <w:rsid w:val="005A72BC"/>
    <w:rsid w:val="005A72E3"/>
    <w:rsid w:val="005A7368"/>
    <w:rsid w:val="005A7722"/>
    <w:rsid w:val="005A7E8A"/>
    <w:rsid w:val="005B03B4"/>
    <w:rsid w:val="005B0686"/>
    <w:rsid w:val="005B07EF"/>
    <w:rsid w:val="005B0813"/>
    <w:rsid w:val="005B1048"/>
    <w:rsid w:val="005B1205"/>
    <w:rsid w:val="005B12D0"/>
    <w:rsid w:val="005B1504"/>
    <w:rsid w:val="005B1806"/>
    <w:rsid w:val="005B1B4C"/>
    <w:rsid w:val="005B1D42"/>
    <w:rsid w:val="005B1F32"/>
    <w:rsid w:val="005B1F38"/>
    <w:rsid w:val="005B1F49"/>
    <w:rsid w:val="005B2378"/>
    <w:rsid w:val="005B23A8"/>
    <w:rsid w:val="005B2412"/>
    <w:rsid w:val="005B2479"/>
    <w:rsid w:val="005B2520"/>
    <w:rsid w:val="005B25F9"/>
    <w:rsid w:val="005B2B0E"/>
    <w:rsid w:val="005B2B69"/>
    <w:rsid w:val="005B2B9E"/>
    <w:rsid w:val="005B2BED"/>
    <w:rsid w:val="005B2CC9"/>
    <w:rsid w:val="005B2D90"/>
    <w:rsid w:val="005B2DB6"/>
    <w:rsid w:val="005B2DE4"/>
    <w:rsid w:val="005B32CF"/>
    <w:rsid w:val="005B37A6"/>
    <w:rsid w:val="005B3CB0"/>
    <w:rsid w:val="005B3DA3"/>
    <w:rsid w:val="005B3E0F"/>
    <w:rsid w:val="005B4438"/>
    <w:rsid w:val="005B4468"/>
    <w:rsid w:val="005B5358"/>
    <w:rsid w:val="005B5481"/>
    <w:rsid w:val="005B55E8"/>
    <w:rsid w:val="005B56B5"/>
    <w:rsid w:val="005B5779"/>
    <w:rsid w:val="005B58E6"/>
    <w:rsid w:val="005B5C97"/>
    <w:rsid w:val="005B5CDA"/>
    <w:rsid w:val="005B60DD"/>
    <w:rsid w:val="005B61A8"/>
    <w:rsid w:val="005B64CE"/>
    <w:rsid w:val="005B69AC"/>
    <w:rsid w:val="005B69C1"/>
    <w:rsid w:val="005B6D5C"/>
    <w:rsid w:val="005B6DFD"/>
    <w:rsid w:val="005B6E5F"/>
    <w:rsid w:val="005B7113"/>
    <w:rsid w:val="005B7148"/>
    <w:rsid w:val="005B7378"/>
    <w:rsid w:val="005B77CF"/>
    <w:rsid w:val="005B7AFE"/>
    <w:rsid w:val="005B7CBE"/>
    <w:rsid w:val="005B7CFA"/>
    <w:rsid w:val="005C048D"/>
    <w:rsid w:val="005C0BA1"/>
    <w:rsid w:val="005C0F13"/>
    <w:rsid w:val="005C1409"/>
    <w:rsid w:val="005C1463"/>
    <w:rsid w:val="005C156C"/>
    <w:rsid w:val="005C16BB"/>
    <w:rsid w:val="005C1C0C"/>
    <w:rsid w:val="005C1CB6"/>
    <w:rsid w:val="005C1D44"/>
    <w:rsid w:val="005C2309"/>
    <w:rsid w:val="005C28DB"/>
    <w:rsid w:val="005C29D1"/>
    <w:rsid w:val="005C2A5D"/>
    <w:rsid w:val="005C2ACF"/>
    <w:rsid w:val="005C2D1A"/>
    <w:rsid w:val="005C3139"/>
    <w:rsid w:val="005C36FF"/>
    <w:rsid w:val="005C391B"/>
    <w:rsid w:val="005C3A69"/>
    <w:rsid w:val="005C3DCA"/>
    <w:rsid w:val="005C3DFD"/>
    <w:rsid w:val="005C3E01"/>
    <w:rsid w:val="005C3F70"/>
    <w:rsid w:val="005C4171"/>
    <w:rsid w:val="005C435D"/>
    <w:rsid w:val="005C43C0"/>
    <w:rsid w:val="005C4506"/>
    <w:rsid w:val="005C4A8B"/>
    <w:rsid w:val="005C4B19"/>
    <w:rsid w:val="005C4D31"/>
    <w:rsid w:val="005C50B8"/>
    <w:rsid w:val="005C56EE"/>
    <w:rsid w:val="005C5966"/>
    <w:rsid w:val="005C5F7D"/>
    <w:rsid w:val="005C67AC"/>
    <w:rsid w:val="005C6A7C"/>
    <w:rsid w:val="005C6B6B"/>
    <w:rsid w:val="005C7953"/>
    <w:rsid w:val="005C7A96"/>
    <w:rsid w:val="005D0089"/>
    <w:rsid w:val="005D0140"/>
    <w:rsid w:val="005D036C"/>
    <w:rsid w:val="005D0406"/>
    <w:rsid w:val="005D0477"/>
    <w:rsid w:val="005D0A74"/>
    <w:rsid w:val="005D0AE4"/>
    <w:rsid w:val="005D12F6"/>
    <w:rsid w:val="005D15B4"/>
    <w:rsid w:val="005D17DA"/>
    <w:rsid w:val="005D2015"/>
    <w:rsid w:val="005D203D"/>
    <w:rsid w:val="005D263D"/>
    <w:rsid w:val="005D2C79"/>
    <w:rsid w:val="005D335C"/>
    <w:rsid w:val="005D350B"/>
    <w:rsid w:val="005D379D"/>
    <w:rsid w:val="005D3D27"/>
    <w:rsid w:val="005D3EF8"/>
    <w:rsid w:val="005D3F8B"/>
    <w:rsid w:val="005D41BC"/>
    <w:rsid w:val="005D42D2"/>
    <w:rsid w:val="005D4462"/>
    <w:rsid w:val="005D45A8"/>
    <w:rsid w:val="005D481A"/>
    <w:rsid w:val="005D49C8"/>
    <w:rsid w:val="005D49CD"/>
    <w:rsid w:val="005D4A5A"/>
    <w:rsid w:val="005D4DB7"/>
    <w:rsid w:val="005D4E18"/>
    <w:rsid w:val="005D5077"/>
    <w:rsid w:val="005D51DE"/>
    <w:rsid w:val="005D5956"/>
    <w:rsid w:val="005D5C17"/>
    <w:rsid w:val="005D5D6D"/>
    <w:rsid w:val="005D5FD3"/>
    <w:rsid w:val="005D62E4"/>
    <w:rsid w:val="005D64AB"/>
    <w:rsid w:val="005D6C80"/>
    <w:rsid w:val="005D7063"/>
    <w:rsid w:val="005D7719"/>
    <w:rsid w:val="005D7D45"/>
    <w:rsid w:val="005E00A2"/>
    <w:rsid w:val="005E00A9"/>
    <w:rsid w:val="005E0539"/>
    <w:rsid w:val="005E0581"/>
    <w:rsid w:val="005E0852"/>
    <w:rsid w:val="005E0945"/>
    <w:rsid w:val="005E09BA"/>
    <w:rsid w:val="005E0E04"/>
    <w:rsid w:val="005E0E3D"/>
    <w:rsid w:val="005E1152"/>
    <w:rsid w:val="005E138E"/>
    <w:rsid w:val="005E1503"/>
    <w:rsid w:val="005E177D"/>
    <w:rsid w:val="005E1B5D"/>
    <w:rsid w:val="005E1EF8"/>
    <w:rsid w:val="005E207B"/>
    <w:rsid w:val="005E23C8"/>
    <w:rsid w:val="005E296F"/>
    <w:rsid w:val="005E298E"/>
    <w:rsid w:val="005E2AF0"/>
    <w:rsid w:val="005E2B72"/>
    <w:rsid w:val="005E2C31"/>
    <w:rsid w:val="005E31C8"/>
    <w:rsid w:val="005E33D2"/>
    <w:rsid w:val="005E34C1"/>
    <w:rsid w:val="005E38DE"/>
    <w:rsid w:val="005E3A58"/>
    <w:rsid w:val="005E3B77"/>
    <w:rsid w:val="005E43D9"/>
    <w:rsid w:val="005E4905"/>
    <w:rsid w:val="005E4A95"/>
    <w:rsid w:val="005E4AAB"/>
    <w:rsid w:val="005E4B47"/>
    <w:rsid w:val="005E4D11"/>
    <w:rsid w:val="005E4D3E"/>
    <w:rsid w:val="005E4E2E"/>
    <w:rsid w:val="005E4EDC"/>
    <w:rsid w:val="005E5220"/>
    <w:rsid w:val="005E5246"/>
    <w:rsid w:val="005E5490"/>
    <w:rsid w:val="005E54A3"/>
    <w:rsid w:val="005E5585"/>
    <w:rsid w:val="005E56CB"/>
    <w:rsid w:val="005E57EB"/>
    <w:rsid w:val="005E57F8"/>
    <w:rsid w:val="005E601D"/>
    <w:rsid w:val="005E64C3"/>
    <w:rsid w:val="005E6704"/>
    <w:rsid w:val="005E6DCD"/>
    <w:rsid w:val="005E6FE1"/>
    <w:rsid w:val="005E7012"/>
    <w:rsid w:val="005E7178"/>
    <w:rsid w:val="005E729C"/>
    <w:rsid w:val="005E72C4"/>
    <w:rsid w:val="005E7394"/>
    <w:rsid w:val="005E7439"/>
    <w:rsid w:val="005E7AFA"/>
    <w:rsid w:val="005E7D96"/>
    <w:rsid w:val="005E7F22"/>
    <w:rsid w:val="005E7F9A"/>
    <w:rsid w:val="005E7FD1"/>
    <w:rsid w:val="005F0061"/>
    <w:rsid w:val="005F0153"/>
    <w:rsid w:val="005F01EE"/>
    <w:rsid w:val="005F02B5"/>
    <w:rsid w:val="005F0556"/>
    <w:rsid w:val="005F06D7"/>
    <w:rsid w:val="005F07AC"/>
    <w:rsid w:val="005F09A2"/>
    <w:rsid w:val="005F0A15"/>
    <w:rsid w:val="005F0AD2"/>
    <w:rsid w:val="005F13B5"/>
    <w:rsid w:val="005F1647"/>
    <w:rsid w:val="005F1684"/>
    <w:rsid w:val="005F1907"/>
    <w:rsid w:val="005F1A7E"/>
    <w:rsid w:val="005F1E15"/>
    <w:rsid w:val="005F1EBB"/>
    <w:rsid w:val="005F22FB"/>
    <w:rsid w:val="005F2668"/>
    <w:rsid w:val="005F2A68"/>
    <w:rsid w:val="005F2A71"/>
    <w:rsid w:val="005F2B9C"/>
    <w:rsid w:val="005F2E05"/>
    <w:rsid w:val="005F2EA3"/>
    <w:rsid w:val="005F3628"/>
    <w:rsid w:val="005F3883"/>
    <w:rsid w:val="005F3A18"/>
    <w:rsid w:val="005F3E0E"/>
    <w:rsid w:val="005F3E65"/>
    <w:rsid w:val="005F4295"/>
    <w:rsid w:val="005F44A8"/>
    <w:rsid w:val="005F450B"/>
    <w:rsid w:val="005F457B"/>
    <w:rsid w:val="005F4686"/>
    <w:rsid w:val="005F4B98"/>
    <w:rsid w:val="005F4D2B"/>
    <w:rsid w:val="005F5038"/>
    <w:rsid w:val="005F508D"/>
    <w:rsid w:val="005F58A9"/>
    <w:rsid w:val="005F6041"/>
    <w:rsid w:val="005F6312"/>
    <w:rsid w:val="005F6814"/>
    <w:rsid w:val="005F69FD"/>
    <w:rsid w:val="005F6FE1"/>
    <w:rsid w:val="005F70CB"/>
    <w:rsid w:val="005F73C6"/>
    <w:rsid w:val="005F7488"/>
    <w:rsid w:val="005F75D7"/>
    <w:rsid w:val="005F7735"/>
    <w:rsid w:val="005F793C"/>
    <w:rsid w:val="005F7D0B"/>
    <w:rsid w:val="005F7DA4"/>
    <w:rsid w:val="00600012"/>
    <w:rsid w:val="006000C8"/>
    <w:rsid w:val="00600348"/>
    <w:rsid w:val="0060043E"/>
    <w:rsid w:val="006004A0"/>
    <w:rsid w:val="006004EE"/>
    <w:rsid w:val="0060059F"/>
    <w:rsid w:val="006009FC"/>
    <w:rsid w:val="00600B4C"/>
    <w:rsid w:val="00600CCC"/>
    <w:rsid w:val="00600E58"/>
    <w:rsid w:val="0060123A"/>
    <w:rsid w:val="006013D6"/>
    <w:rsid w:val="006017A0"/>
    <w:rsid w:val="00601865"/>
    <w:rsid w:val="00601914"/>
    <w:rsid w:val="00601B77"/>
    <w:rsid w:val="00601E75"/>
    <w:rsid w:val="0060225C"/>
    <w:rsid w:val="006022A4"/>
    <w:rsid w:val="00602D5B"/>
    <w:rsid w:val="006031FD"/>
    <w:rsid w:val="00603248"/>
    <w:rsid w:val="00603534"/>
    <w:rsid w:val="00603676"/>
    <w:rsid w:val="00603AB9"/>
    <w:rsid w:val="00603B94"/>
    <w:rsid w:val="00603BD1"/>
    <w:rsid w:val="00603ECC"/>
    <w:rsid w:val="00603F27"/>
    <w:rsid w:val="0060415A"/>
    <w:rsid w:val="006041EB"/>
    <w:rsid w:val="0060430C"/>
    <w:rsid w:val="00604C5D"/>
    <w:rsid w:val="00605423"/>
    <w:rsid w:val="00605525"/>
    <w:rsid w:val="00605872"/>
    <w:rsid w:val="00605B48"/>
    <w:rsid w:val="00605D6B"/>
    <w:rsid w:val="00606159"/>
    <w:rsid w:val="0060623B"/>
    <w:rsid w:val="00606243"/>
    <w:rsid w:val="00606256"/>
    <w:rsid w:val="00606284"/>
    <w:rsid w:val="0060644F"/>
    <w:rsid w:val="00606517"/>
    <w:rsid w:val="00606519"/>
    <w:rsid w:val="00606C23"/>
    <w:rsid w:val="00606F6E"/>
    <w:rsid w:val="0060711F"/>
    <w:rsid w:val="0060734B"/>
    <w:rsid w:val="0060741A"/>
    <w:rsid w:val="00607442"/>
    <w:rsid w:val="006075D7"/>
    <w:rsid w:val="00607701"/>
    <w:rsid w:val="00607841"/>
    <w:rsid w:val="006078AD"/>
    <w:rsid w:val="006101F8"/>
    <w:rsid w:val="006103DA"/>
    <w:rsid w:val="006104D7"/>
    <w:rsid w:val="00610612"/>
    <w:rsid w:val="0061115E"/>
    <w:rsid w:val="0061120D"/>
    <w:rsid w:val="0061156A"/>
    <w:rsid w:val="0061156D"/>
    <w:rsid w:val="006117A9"/>
    <w:rsid w:val="0061185C"/>
    <w:rsid w:val="006119EA"/>
    <w:rsid w:val="00611C90"/>
    <w:rsid w:val="00611D27"/>
    <w:rsid w:val="00611E4F"/>
    <w:rsid w:val="00612089"/>
    <w:rsid w:val="006126E7"/>
    <w:rsid w:val="0061344E"/>
    <w:rsid w:val="0061397B"/>
    <w:rsid w:val="00613980"/>
    <w:rsid w:val="00613BEC"/>
    <w:rsid w:val="00613D46"/>
    <w:rsid w:val="00613DEC"/>
    <w:rsid w:val="006141E7"/>
    <w:rsid w:val="006148BA"/>
    <w:rsid w:val="00615123"/>
    <w:rsid w:val="006151AC"/>
    <w:rsid w:val="0061550F"/>
    <w:rsid w:val="0061558C"/>
    <w:rsid w:val="00615649"/>
    <w:rsid w:val="00615738"/>
    <w:rsid w:val="006158DB"/>
    <w:rsid w:val="00615A25"/>
    <w:rsid w:val="00615A26"/>
    <w:rsid w:val="00615EE7"/>
    <w:rsid w:val="00615FE5"/>
    <w:rsid w:val="00616017"/>
    <w:rsid w:val="0061655F"/>
    <w:rsid w:val="0061669E"/>
    <w:rsid w:val="00616760"/>
    <w:rsid w:val="00616937"/>
    <w:rsid w:val="00616B53"/>
    <w:rsid w:val="0061711F"/>
    <w:rsid w:val="00617571"/>
    <w:rsid w:val="00617838"/>
    <w:rsid w:val="00617A15"/>
    <w:rsid w:val="00617ABA"/>
    <w:rsid w:val="00617DD5"/>
    <w:rsid w:val="0062012F"/>
    <w:rsid w:val="00620420"/>
    <w:rsid w:val="00620D11"/>
    <w:rsid w:val="00620F30"/>
    <w:rsid w:val="00620F92"/>
    <w:rsid w:val="00620FE2"/>
    <w:rsid w:val="00621290"/>
    <w:rsid w:val="00621309"/>
    <w:rsid w:val="00621AF9"/>
    <w:rsid w:val="00621CA7"/>
    <w:rsid w:val="00621D06"/>
    <w:rsid w:val="006221A0"/>
    <w:rsid w:val="006221DB"/>
    <w:rsid w:val="00622428"/>
    <w:rsid w:val="00622512"/>
    <w:rsid w:val="0062278F"/>
    <w:rsid w:val="00622862"/>
    <w:rsid w:val="00622B60"/>
    <w:rsid w:val="00622D96"/>
    <w:rsid w:val="00623033"/>
    <w:rsid w:val="006232A1"/>
    <w:rsid w:val="00623611"/>
    <w:rsid w:val="0062363D"/>
    <w:rsid w:val="00623767"/>
    <w:rsid w:val="0062377F"/>
    <w:rsid w:val="006238D9"/>
    <w:rsid w:val="006239BA"/>
    <w:rsid w:val="00623E58"/>
    <w:rsid w:val="006246DC"/>
    <w:rsid w:val="0062477A"/>
    <w:rsid w:val="00624AA3"/>
    <w:rsid w:val="00624AA9"/>
    <w:rsid w:val="00624E0E"/>
    <w:rsid w:val="00624E54"/>
    <w:rsid w:val="00624EE5"/>
    <w:rsid w:val="006251C4"/>
    <w:rsid w:val="00625227"/>
    <w:rsid w:val="0062552C"/>
    <w:rsid w:val="006257BC"/>
    <w:rsid w:val="00625828"/>
    <w:rsid w:val="00625918"/>
    <w:rsid w:val="00625AC7"/>
    <w:rsid w:val="00625E46"/>
    <w:rsid w:val="00625F92"/>
    <w:rsid w:val="006262DC"/>
    <w:rsid w:val="0062643E"/>
    <w:rsid w:val="0062658C"/>
    <w:rsid w:val="0062677A"/>
    <w:rsid w:val="00626FD8"/>
    <w:rsid w:val="0062764D"/>
    <w:rsid w:val="00627B14"/>
    <w:rsid w:val="00627C82"/>
    <w:rsid w:val="00627E48"/>
    <w:rsid w:val="00627E8F"/>
    <w:rsid w:val="00627F0A"/>
    <w:rsid w:val="00630522"/>
    <w:rsid w:val="0063056B"/>
    <w:rsid w:val="0063061A"/>
    <w:rsid w:val="0063089C"/>
    <w:rsid w:val="006308D4"/>
    <w:rsid w:val="00631073"/>
    <w:rsid w:val="0063122C"/>
    <w:rsid w:val="00631240"/>
    <w:rsid w:val="0063156C"/>
    <w:rsid w:val="00631A4D"/>
    <w:rsid w:val="00631BCA"/>
    <w:rsid w:val="00631C27"/>
    <w:rsid w:val="00631CFE"/>
    <w:rsid w:val="00632656"/>
    <w:rsid w:val="00632AB9"/>
    <w:rsid w:val="00632E35"/>
    <w:rsid w:val="00632EC3"/>
    <w:rsid w:val="00633578"/>
    <w:rsid w:val="0063383B"/>
    <w:rsid w:val="006339E3"/>
    <w:rsid w:val="00633B51"/>
    <w:rsid w:val="00633BB0"/>
    <w:rsid w:val="00633D89"/>
    <w:rsid w:val="00633DD3"/>
    <w:rsid w:val="0063413A"/>
    <w:rsid w:val="0063429F"/>
    <w:rsid w:val="00634875"/>
    <w:rsid w:val="006352D5"/>
    <w:rsid w:val="0063560B"/>
    <w:rsid w:val="006357C3"/>
    <w:rsid w:val="00635962"/>
    <w:rsid w:val="006359B2"/>
    <w:rsid w:val="006359C7"/>
    <w:rsid w:val="00635A6A"/>
    <w:rsid w:val="00635C52"/>
    <w:rsid w:val="00636210"/>
    <w:rsid w:val="00636228"/>
    <w:rsid w:val="0063642E"/>
    <w:rsid w:val="006364C1"/>
    <w:rsid w:val="006364EA"/>
    <w:rsid w:val="006369FE"/>
    <w:rsid w:val="00636B50"/>
    <w:rsid w:val="00636BD1"/>
    <w:rsid w:val="00636CF3"/>
    <w:rsid w:val="00636E72"/>
    <w:rsid w:val="00636F77"/>
    <w:rsid w:val="0063720D"/>
    <w:rsid w:val="0063791E"/>
    <w:rsid w:val="00637B9C"/>
    <w:rsid w:val="00637CB8"/>
    <w:rsid w:val="00637D5E"/>
    <w:rsid w:val="00637E2E"/>
    <w:rsid w:val="00637F58"/>
    <w:rsid w:val="00640058"/>
    <w:rsid w:val="00640073"/>
    <w:rsid w:val="006401DE"/>
    <w:rsid w:val="0064026A"/>
    <w:rsid w:val="006406AF"/>
    <w:rsid w:val="006408CB"/>
    <w:rsid w:val="0064107F"/>
    <w:rsid w:val="00641747"/>
    <w:rsid w:val="00641A31"/>
    <w:rsid w:val="00641C0E"/>
    <w:rsid w:val="00642041"/>
    <w:rsid w:val="00642125"/>
    <w:rsid w:val="006421B8"/>
    <w:rsid w:val="00642220"/>
    <w:rsid w:val="0064225B"/>
    <w:rsid w:val="00642700"/>
    <w:rsid w:val="00642963"/>
    <w:rsid w:val="006429BF"/>
    <w:rsid w:val="00642B47"/>
    <w:rsid w:val="00642DAD"/>
    <w:rsid w:val="00643015"/>
    <w:rsid w:val="006430DE"/>
    <w:rsid w:val="00643538"/>
    <w:rsid w:val="00643798"/>
    <w:rsid w:val="00644340"/>
    <w:rsid w:val="00644507"/>
    <w:rsid w:val="0064451B"/>
    <w:rsid w:val="0064455B"/>
    <w:rsid w:val="00644945"/>
    <w:rsid w:val="00644B25"/>
    <w:rsid w:val="00644BEF"/>
    <w:rsid w:val="00644CBF"/>
    <w:rsid w:val="00644FB2"/>
    <w:rsid w:val="006452D4"/>
    <w:rsid w:val="00645738"/>
    <w:rsid w:val="00645E4F"/>
    <w:rsid w:val="006460F6"/>
    <w:rsid w:val="006463C5"/>
    <w:rsid w:val="006464A6"/>
    <w:rsid w:val="00646B63"/>
    <w:rsid w:val="00646BEF"/>
    <w:rsid w:val="00646CF1"/>
    <w:rsid w:val="00646FED"/>
    <w:rsid w:val="0064748D"/>
    <w:rsid w:val="00647618"/>
    <w:rsid w:val="006478B0"/>
    <w:rsid w:val="00647A75"/>
    <w:rsid w:val="00647A8E"/>
    <w:rsid w:val="00647ACC"/>
    <w:rsid w:val="00647D89"/>
    <w:rsid w:val="00647E90"/>
    <w:rsid w:val="00647EFB"/>
    <w:rsid w:val="00647FB3"/>
    <w:rsid w:val="0065000E"/>
    <w:rsid w:val="0065021A"/>
    <w:rsid w:val="00650254"/>
    <w:rsid w:val="0065034D"/>
    <w:rsid w:val="00650983"/>
    <w:rsid w:val="00650B3E"/>
    <w:rsid w:val="00650CF5"/>
    <w:rsid w:val="00650F3B"/>
    <w:rsid w:val="00650FB2"/>
    <w:rsid w:val="006511DD"/>
    <w:rsid w:val="00651410"/>
    <w:rsid w:val="00651FF9"/>
    <w:rsid w:val="00652037"/>
    <w:rsid w:val="00652384"/>
    <w:rsid w:val="0065245D"/>
    <w:rsid w:val="006524E9"/>
    <w:rsid w:val="006525C6"/>
    <w:rsid w:val="00652D7D"/>
    <w:rsid w:val="00652F40"/>
    <w:rsid w:val="00652FCA"/>
    <w:rsid w:val="006534E2"/>
    <w:rsid w:val="00653501"/>
    <w:rsid w:val="00653D5F"/>
    <w:rsid w:val="00653EE7"/>
    <w:rsid w:val="00653F86"/>
    <w:rsid w:val="00653FC1"/>
    <w:rsid w:val="006542C7"/>
    <w:rsid w:val="0065480F"/>
    <w:rsid w:val="00654A21"/>
    <w:rsid w:val="00654B0C"/>
    <w:rsid w:val="00654BC3"/>
    <w:rsid w:val="00654DA6"/>
    <w:rsid w:val="0065504F"/>
    <w:rsid w:val="0065540E"/>
    <w:rsid w:val="006556F4"/>
    <w:rsid w:val="0065571B"/>
    <w:rsid w:val="00655FA3"/>
    <w:rsid w:val="00656156"/>
    <w:rsid w:val="006561F0"/>
    <w:rsid w:val="006566ED"/>
    <w:rsid w:val="0065679B"/>
    <w:rsid w:val="00656893"/>
    <w:rsid w:val="006568CF"/>
    <w:rsid w:val="006569FD"/>
    <w:rsid w:val="00656CDC"/>
    <w:rsid w:val="00656DB8"/>
    <w:rsid w:val="006570B6"/>
    <w:rsid w:val="00657528"/>
    <w:rsid w:val="0065760E"/>
    <w:rsid w:val="00657907"/>
    <w:rsid w:val="00657A28"/>
    <w:rsid w:val="00657AA0"/>
    <w:rsid w:val="00657E62"/>
    <w:rsid w:val="00657FD0"/>
    <w:rsid w:val="0066005D"/>
    <w:rsid w:val="0066089A"/>
    <w:rsid w:val="0066109B"/>
    <w:rsid w:val="006611CC"/>
    <w:rsid w:val="0066123B"/>
    <w:rsid w:val="00661302"/>
    <w:rsid w:val="00661734"/>
    <w:rsid w:val="00661792"/>
    <w:rsid w:val="006619C4"/>
    <w:rsid w:val="00661A5E"/>
    <w:rsid w:val="00661FF7"/>
    <w:rsid w:val="006628BB"/>
    <w:rsid w:val="006628EC"/>
    <w:rsid w:val="00662C8A"/>
    <w:rsid w:val="00663FB8"/>
    <w:rsid w:val="00664091"/>
    <w:rsid w:val="00664227"/>
    <w:rsid w:val="006643F0"/>
    <w:rsid w:val="00664AC5"/>
    <w:rsid w:val="00664D24"/>
    <w:rsid w:val="0066508B"/>
    <w:rsid w:val="006652A9"/>
    <w:rsid w:val="006652C0"/>
    <w:rsid w:val="006652EA"/>
    <w:rsid w:val="00665766"/>
    <w:rsid w:val="00665BAD"/>
    <w:rsid w:val="00665C76"/>
    <w:rsid w:val="00665D08"/>
    <w:rsid w:val="00665D20"/>
    <w:rsid w:val="00665D45"/>
    <w:rsid w:val="00665DBE"/>
    <w:rsid w:val="00665E32"/>
    <w:rsid w:val="00665E90"/>
    <w:rsid w:val="0066616C"/>
    <w:rsid w:val="006662B8"/>
    <w:rsid w:val="006666D5"/>
    <w:rsid w:val="006667E4"/>
    <w:rsid w:val="006668B6"/>
    <w:rsid w:val="00666D41"/>
    <w:rsid w:val="00666DF9"/>
    <w:rsid w:val="00666ECB"/>
    <w:rsid w:val="00667023"/>
    <w:rsid w:val="006670A3"/>
    <w:rsid w:val="006671B9"/>
    <w:rsid w:val="00667269"/>
    <w:rsid w:val="006674CD"/>
    <w:rsid w:val="00667695"/>
    <w:rsid w:val="006676DC"/>
    <w:rsid w:val="00667947"/>
    <w:rsid w:val="00667B75"/>
    <w:rsid w:val="00667BED"/>
    <w:rsid w:val="00667EB8"/>
    <w:rsid w:val="00667EEB"/>
    <w:rsid w:val="00667FC0"/>
    <w:rsid w:val="0067003D"/>
    <w:rsid w:val="00670984"/>
    <w:rsid w:val="006709E8"/>
    <w:rsid w:val="00670A77"/>
    <w:rsid w:val="006711BA"/>
    <w:rsid w:val="0067168D"/>
    <w:rsid w:val="0067183D"/>
    <w:rsid w:val="006722DD"/>
    <w:rsid w:val="0067257E"/>
    <w:rsid w:val="00672922"/>
    <w:rsid w:val="00672C04"/>
    <w:rsid w:val="006732FB"/>
    <w:rsid w:val="00673751"/>
    <w:rsid w:val="0067383E"/>
    <w:rsid w:val="0067385D"/>
    <w:rsid w:val="00673A12"/>
    <w:rsid w:val="00673A2A"/>
    <w:rsid w:val="00673A8C"/>
    <w:rsid w:val="00673A90"/>
    <w:rsid w:val="0067402F"/>
    <w:rsid w:val="006741D1"/>
    <w:rsid w:val="00674596"/>
    <w:rsid w:val="0067470E"/>
    <w:rsid w:val="00674738"/>
    <w:rsid w:val="00674B29"/>
    <w:rsid w:val="00675391"/>
    <w:rsid w:val="006755A1"/>
    <w:rsid w:val="006759C9"/>
    <w:rsid w:val="00675D00"/>
    <w:rsid w:val="00675D1F"/>
    <w:rsid w:val="006768D5"/>
    <w:rsid w:val="0067691D"/>
    <w:rsid w:val="00676C1B"/>
    <w:rsid w:val="00676C8E"/>
    <w:rsid w:val="00676E0A"/>
    <w:rsid w:val="00677228"/>
    <w:rsid w:val="0067765D"/>
    <w:rsid w:val="0067774C"/>
    <w:rsid w:val="00677BD8"/>
    <w:rsid w:val="00677C71"/>
    <w:rsid w:val="00677EE4"/>
    <w:rsid w:val="00677F14"/>
    <w:rsid w:val="00677F96"/>
    <w:rsid w:val="006803C7"/>
    <w:rsid w:val="006810F6"/>
    <w:rsid w:val="00681183"/>
    <w:rsid w:val="0068122D"/>
    <w:rsid w:val="00681C34"/>
    <w:rsid w:val="00681DC2"/>
    <w:rsid w:val="00681EB6"/>
    <w:rsid w:val="00682081"/>
    <w:rsid w:val="006823D6"/>
    <w:rsid w:val="00682A42"/>
    <w:rsid w:val="0068319F"/>
    <w:rsid w:val="00683AA7"/>
    <w:rsid w:val="00683B3D"/>
    <w:rsid w:val="00683E41"/>
    <w:rsid w:val="00683F8D"/>
    <w:rsid w:val="00683FE3"/>
    <w:rsid w:val="00684013"/>
    <w:rsid w:val="00684139"/>
    <w:rsid w:val="00684308"/>
    <w:rsid w:val="006844A2"/>
    <w:rsid w:val="00684D2E"/>
    <w:rsid w:val="00684DA0"/>
    <w:rsid w:val="0068526C"/>
    <w:rsid w:val="00685C63"/>
    <w:rsid w:val="00685D35"/>
    <w:rsid w:val="00685EB6"/>
    <w:rsid w:val="00685F3B"/>
    <w:rsid w:val="00685F62"/>
    <w:rsid w:val="00685F66"/>
    <w:rsid w:val="006860CF"/>
    <w:rsid w:val="0068619F"/>
    <w:rsid w:val="006863B1"/>
    <w:rsid w:val="00686A44"/>
    <w:rsid w:val="00686C18"/>
    <w:rsid w:val="00686FFD"/>
    <w:rsid w:val="006870FD"/>
    <w:rsid w:val="00687190"/>
    <w:rsid w:val="006871CF"/>
    <w:rsid w:val="006873BC"/>
    <w:rsid w:val="00687685"/>
    <w:rsid w:val="006876A5"/>
    <w:rsid w:val="00687E37"/>
    <w:rsid w:val="00687EB9"/>
    <w:rsid w:val="006907F1"/>
    <w:rsid w:val="006909BD"/>
    <w:rsid w:val="00690D8C"/>
    <w:rsid w:val="006914AA"/>
    <w:rsid w:val="006915B9"/>
    <w:rsid w:val="0069162A"/>
    <w:rsid w:val="006917A6"/>
    <w:rsid w:val="0069185E"/>
    <w:rsid w:val="00691917"/>
    <w:rsid w:val="00691A94"/>
    <w:rsid w:val="00691FCA"/>
    <w:rsid w:val="0069217E"/>
    <w:rsid w:val="0069227A"/>
    <w:rsid w:val="0069242E"/>
    <w:rsid w:val="006924D3"/>
    <w:rsid w:val="0069261E"/>
    <w:rsid w:val="00692897"/>
    <w:rsid w:val="00692F7B"/>
    <w:rsid w:val="00693229"/>
    <w:rsid w:val="0069338F"/>
    <w:rsid w:val="0069339D"/>
    <w:rsid w:val="006933E9"/>
    <w:rsid w:val="00693829"/>
    <w:rsid w:val="006939A5"/>
    <w:rsid w:val="00693E07"/>
    <w:rsid w:val="00693EC2"/>
    <w:rsid w:val="006941B7"/>
    <w:rsid w:val="00694774"/>
    <w:rsid w:val="00694CD5"/>
    <w:rsid w:val="00694ECC"/>
    <w:rsid w:val="006951D9"/>
    <w:rsid w:val="006955F9"/>
    <w:rsid w:val="00695820"/>
    <w:rsid w:val="00695EBC"/>
    <w:rsid w:val="006960F7"/>
    <w:rsid w:val="006963F4"/>
    <w:rsid w:val="006963FE"/>
    <w:rsid w:val="00696439"/>
    <w:rsid w:val="00696717"/>
    <w:rsid w:val="00696874"/>
    <w:rsid w:val="006968BC"/>
    <w:rsid w:val="00696D39"/>
    <w:rsid w:val="00696EC9"/>
    <w:rsid w:val="00696F77"/>
    <w:rsid w:val="006972C9"/>
    <w:rsid w:val="00697543"/>
    <w:rsid w:val="006976C9"/>
    <w:rsid w:val="00697B5F"/>
    <w:rsid w:val="00697F4F"/>
    <w:rsid w:val="006A05FF"/>
    <w:rsid w:val="006A0621"/>
    <w:rsid w:val="006A06D6"/>
    <w:rsid w:val="006A0A2A"/>
    <w:rsid w:val="006A0C0C"/>
    <w:rsid w:val="006A1450"/>
    <w:rsid w:val="006A1512"/>
    <w:rsid w:val="006A1E65"/>
    <w:rsid w:val="006A2009"/>
    <w:rsid w:val="006A249E"/>
    <w:rsid w:val="006A281F"/>
    <w:rsid w:val="006A2DBE"/>
    <w:rsid w:val="006A3138"/>
    <w:rsid w:val="006A3521"/>
    <w:rsid w:val="006A3770"/>
    <w:rsid w:val="006A3BA3"/>
    <w:rsid w:val="006A4499"/>
    <w:rsid w:val="006A4541"/>
    <w:rsid w:val="006A4557"/>
    <w:rsid w:val="006A4648"/>
    <w:rsid w:val="006A49B0"/>
    <w:rsid w:val="006A4DA2"/>
    <w:rsid w:val="006A4F7A"/>
    <w:rsid w:val="006A4F9A"/>
    <w:rsid w:val="006A54B6"/>
    <w:rsid w:val="006A5754"/>
    <w:rsid w:val="006A57D6"/>
    <w:rsid w:val="006A599B"/>
    <w:rsid w:val="006A5E29"/>
    <w:rsid w:val="006A60EF"/>
    <w:rsid w:val="006A6173"/>
    <w:rsid w:val="006A6947"/>
    <w:rsid w:val="006A6B4B"/>
    <w:rsid w:val="006A6CB5"/>
    <w:rsid w:val="006A6E73"/>
    <w:rsid w:val="006A71DC"/>
    <w:rsid w:val="006A7446"/>
    <w:rsid w:val="006A76A3"/>
    <w:rsid w:val="006A7D4A"/>
    <w:rsid w:val="006A7F6C"/>
    <w:rsid w:val="006B028E"/>
    <w:rsid w:val="006B09C0"/>
    <w:rsid w:val="006B0A54"/>
    <w:rsid w:val="006B0CA5"/>
    <w:rsid w:val="006B0F4D"/>
    <w:rsid w:val="006B1214"/>
    <w:rsid w:val="006B1299"/>
    <w:rsid w:val="006B12D5"/>
    <w:rsid w:val="006B144A"/>
    <w:rsid w:val="006B1822"/>
    <w:rsid w:val="006B1926"/>
    <w:rsid w:val="006B1A38"/>
    <w:rsid w:val="006B1EDA"/>
    <w:rsid w:val="006B2126"/>
    <w:rsid w:val="006B23C3"/>
    <w:rsid w:val="006B2B5A"/>
    <w:rsid w:val="006B2B76"/>
    <w:rsid w:val="006B311D"/>
    <w:rsid w:val="006B32C6"/>
    <w:rsid w:val="006B33F8"/>
    <w:rsid w:val="006B33FB"/>
    <w:rsid w:val="006B3A0C"/>
    <w:rsid w:val="006B3B09"/>
    <w:rsid w:val="006B3B83"/>
    <w:rsid w:val="006B3CA9"/>
    <w:rsid w:val="006B3CAC"/>
    <w:rsid w:val="006B41FD"/>
    <w:rsid w:val="006B43DD"/>
    <w:rsid w:val="006B45B6"/>
    <w:rsid w:val="006B4617"/>
    <w:rsid w:val="006B46EC"/>
    <w:rsid w:val="006B4AE2"/>
    <w:rsid w:val="006B4B83"/>
    <w:rsid w:val="006B4CDA"/>
    <w:rsid w:val="006B4DFE"/>
    <w:rsid w:val="006B4F4F"/>
    <w:rsid w:val="006B540C"/>
    <w:rsid w:val="006B5973"/>
    <w:rsid w:val="006B6154"/>
    <w:rsid w:val="006B61F7"/>
    <w:rsid w:val="006B643C"/>
    <w:rsid w:val="006B6584"/>
    <w:rsid w:val="006B6BB2"/>
    <w:rsid w:val="006B6C6C"/>
    <w:rsid w:val="006B6DF0"/>
    <w:rsid w:val="006B78DB"/>
    <w:rsid w:val="006B78EC"/>
    <w:rsid w:val="006B7B42"/>
    <w:rsid w:val="006B7EE5"/>
    <w:rsid w:val="006C0116"/>
    <w:rsid w:val="006C044E"/>
    <w:rsid w:val="006C04F4"/>
    <w:rsid w:val="006C0555"/>
    <w:rsid w:val="006C07A7"/>
    <w:rsid w:val="006C07AC"/>
    <w:rsid w:val="006C0868"/>
    <w:rsid w:val="006C11AC"/>
    <w:rsid w:val="006C142B"/>
    <w:rsid w:val="006C159F"/>
    <w:rsid w:val="006C1687"/>
    <w:rsid w:val="006C182B"/>
    <w:rsid w:val="006C194C"/>
    <w:rsid w:val="006C199F"/>
    <w:rsid w:val="006C1B02"/>
    <w:rsid w:val="006C1E77"/>
    <w:rsid w:val="006C2133"/>
    <w:rsid w:val="006C225C"/>
    <w:rsid w:val="006C240B"/>
    <w:rsid w:val="006C2674"/>
    <w:rsid w:val="006C2906"/>
    <w:rsid w:val="006C2A22"/>
    <w:rsid w:val="006C2BFE"/>
    <w:rsid w:val="006C2C8D"/>
    <w:rsid w:val="006C2E58"/>
    <w:rsid w:val="006C2EA9"/>
    <w:rsid w:val="006C32CE"/>
    <w:rsid w:val="006C355A"/>
    <w:rsid w:val="006C358B"/>
    <w:rsid w:val="006C3802"/>
    <w:rsid w:val="006C3833"/>
    <w:rsid w:val="006C386E"/>
    <w:rsid w:val="006C3909"/>
    <w:rsid w:val="006C3BB8"/>
    <w:rsid w:val="006C4157"/>
    <w:rsid w:val="006C4818"/>
    <w:rsid w:val="006C5059"/>
    <w:rsid w:val="006C5120"/>
    <w:rsid w:val="006C52E3"/>
    <w:rsid w:val="006C549E"/>
    <w:rsid w:val="006C55FC"/>
    <w:rsid w:val="006C56B7"/>
    <w:rsid w:val="006C596F"/>
    <w:rsid w:val="006C59B4"/>
    <w:rsid w:val="006C5BCA"/>
    <w:rsid w:val="006C5BF0"/>
    <w:rsid w:val="006C6538"/>
    <w:rsid w:val="006C6B23"/>
    <w:rsid w:val="006C7156"/>
    <w:rsid w:val="006C77FD"/>
    <w:rsid w:val="006C7BC0"/>
    <w:rsid w:val="006C7CDE"/>
    <w:rsid w:val="006D01BF"/>
    <w:rsid w:val="006D0690"/>
    <w:rsid w:val="006D06C0"/>
    <w:rsid w:val="006D0767"/>
    <w:rsid w:val="006D0919"/>
    <w:rsid w:val="006D091A"/>
    <w:rsid w:val="006D0D26"/>
    <w:rsid w:val="006D1668"/>
    <w:rsid w:val="006D17A0"/>
    <w:rsid w:val="006D17ED"/>
    <w:rsid w:val="006D1811"/>
    <w:rsid w:val="006D1D42"/>
    <w:rsid w:val="006D1ED2"/>
    <w:rsid w:val="006D27DC"/>
    <w:rsid w:val="006D2923"/>
    <w:rsid w:val="006D2A72"/>
    <w:rsid w:val="006D2ABF"/>
    <w:rsid w:val="006D2DDE"/>
    <w:rsid w:val="006D2E80"/>
    <w:rsid w:val="006D3461"/>
    <w:rsid w:val="006D3690"/>
    <w:rsid w:val="006D37F8"/>
    <w:rsid w:val="006D3821"/>
    <w:rsid w:val="006D3A7C"/>
    <w:rsid w:val="006D3C99"/>
    <w:rsid w:val="006D3D98"/>
    <w:rsid w:val="006D3F50"/>
    <w:rsid w:val="006D3FEE"/>
    <w:rsid w:val="006D42C7"/>
    <w:rsid w:val="006D4463"/>
    <w:rsid w:val="006D447D"/>
    <w:rsid w:val="006D469B"/>
    <w:rsid w:val="006D4745"/>
    <w:rsid w:val="006D47C8"/>
    <w:rsid w:val="006D492E"/>
    <w:rsid w:val="006D4B2C"/>
    <w:rsid w:val="006D4C6C"/>
    <w:rsid w:val="006D53C7"/>
    <w:rsid w:val="006D576E"/>
    <w:rsid w:val="006D5799"/>
    <w:rsid w:val="006D5D10"/>
    <w:rsid w:val="006D5E1D"/>
    <w:rsid w:val="006D6013"/>
    <w:rsid w:val="006D6032"/>
    <w:rsid w:val="006D6234"/>
    <w:rsid w:val="006D64F0"/>
    <w:rsid w:val="006D6517"/>
    <w:rsid w:val="006D6774"/>
    <w:rsid w:val="006D67DC"/>
    <w:rsid w:val="006D68DC"/>
    <w:rsid w:val="006D6902"/>
    <w:rsid w:val="006D6D76"/>
    <w:rsid w:val="006D6E5A"/>
    <w:rsid w:val="006D7492"/>
    <w:rsid w:val="006D750F"/>
    <w:rsid w:val="006D75E1"/>
    <w:rsid w:val="006D7686"/>
    <w:rsid w:val="006D7785"/>
    <w:rsid w:val="006D7A5E"/>
    <w:rsid w:val="006D7B13"/>
    <w:rsid w:val="006D7B5A"/>
    <w:rsid w:val="006D7B60"/>
    <w:rsid w:val="006E0113"/>
    <w:rsid w:val="006E01DF"/>
    <w:rsid w:val="006E0219"/>
    <w:rsid w:val="006E0257"/>
    <w:rsid w:val="006E0700"/>
    <w:rsid w:val="006E089B"/>
    <w:rsid w:val="006E11EA"/>
    <w:rsid w:val="006E16F8"/>
    <w:rsid w:val="006E21E5"/>
    <w:rsid w:val="006E2255"/>
    <w:rsid w:val="006E28E0"/>
    <w:rsid w:val="006E29F5"/>
    <w:rsid w:val="006E2A32"/>
    <w:rsid w:val="006E30C2"/>
    <w:rsid w:val="006E312F"/>
    <w:rsid w:val="006E3297"/>
    <w:rsid w:val="006E3C51"/>
    <w:rsid w:val="006E3EA5"/>
    <w:rsid w:val="006E3F68"/>
    <w:rsid w:val="006E431D"/>
    <w:rsid w:val="006E4ED6"/>
    <w:rsid w:val="006E514D"/>
    <w:rsid w:val="006E518E"/>
    <w:rsid w:val="006E52AF"/>
    <w:rsid w:val="006E5466"/>
    <w:rsid w:val="006E564C"/>
    <w:rsid w:val="006E5712"/>
    <w:rsid w:val="006E57E8"/>
    <w:rsid w:val="006E5A18"/>
    <w:rsid w:val="006E5A43"/>
    <w:rsid w:val="006E65EB"/>
    <w:rsid w:val="006E660D"/>
    <w:rsid w:val="006E676A"/>
    <w:rsid w:val="006E691F"/>
    <w:rsid w:val="006E6A00"/>
    <w:rsid w:val="006E71CC"/>
    <w:rsid w:val="006E7290"/>
    <w:rsid w:val="006E73EF"/>
    <w:rsid w:val="006E7559"/>
    <w:rsid w:val="006E76DE"/>
    <w:rsid w:val="006E788E"/>
    <w:rsid w:val="006E7B3D"/>
    <w:rsid w:val="006E7ED3"/>
    <w:rsid w:val="006E7EE7"/>
    <w:rsid w:val="006F0023"/>
    <w:rsid w:val="006F07CE"/>
    <w:rsid w:val="006F0C61"/>
    <w:rsid w:val="006F0C90"/>
    <w:rsid w:val="006F0F50"/>
    <w:rsid w:val="006F0FA3"/>
    <w:rsid w:val="006F108D"/>
    <w:rsid w:val="006F16E4"/>
    <w:rsid w:val="006F19EB"/>
    <w:rsid w:val="006F1B12"/>
    <w:rsid w:val="006F1E65"/>
    <w:rsid w:val="006F208F"/>
    <w:rsid w:val="006F20B2"/>
    <w:rsid w:val="006F2319"/>
    <w:rsid w:val="006F2627"/>
    <w:rsid w:val="006F26B3"/>
    <w:rsid w:val="006F272D"/>
    <w:rsid w:val="006F2767"/>
    <w:rsid w:val="006F2D74"/>
    <w:rsid w:val="006F2FC4"/>
    <w:rsid w:val="006F3077"/>
    <w:rsid w:val="006F33CA"/>
    <w:rsid w:val="006F3488"/>
    <w:rsid w:val="006F387A"/>
    <w:rsid w:val="006F3CD8"/>
    <w:rsid w:val="006F3F94"/>
    <w:rsid w:val="006F4796"/>
    <w:rsid w:val="006F47C9"/>
    <w:rsid w:val="006F48F9"/>
    <w:rsid w:val="006F4B48"/>
    <w:rsid w:val="006F4C14"/>
    <w:rsid w:val="006F4E72"/>
    <w:rsid w:val="006F5048"/>
    <w:rsid w:val="006F52E0"/>
    <w:rsid w:val="006F5442"/>
    <w:rsid w:val="006F5524"/>
    <w:rsid w:val="006F56F8"/>
    <w:rsid w:val="006F5A9C"/>
    <w:rsid w:val="006F5AB0"/>
    <w:rsid w:val="006F5BD7"/>
    <w:rsid w:val="006F5F0A"/>
    <w:rsid w:val="006F6146"/>
    <w:rsid w:val="006F6221"/>
    <w:rsid w:val="006F6558"/>
    <w:rsid w:val="006F6574"/>
    <w:rsid w:val="006F6643"/>
    <w:rsid w:val="006F6CCB"/>
    <w:rsid w:val="006F7629"/>
    <w:rsid w:val="006F7B90"/>
    <w:rsid w:val="00700271"/>
    <w:rsid w:val="00700724"/>
    <w:rsid w:val="00700794"/>
    <w:rsid w:val="007007E1"/>
    <w:rsid w:val="0070095D"/>
    <w:rsid w:val="00700A9D"/>
    <w:rsid w:val="00701C43"/>
    <w:rsid w:val="00701DF1"/>
    <w:rsid w:val="00701E74"/>
    <w:rsid w:val="00701F16"/>
    <w:rsid w:val="00701F85"/>
    <w:rsid w:val="007023D5"/>
    <w:rsid w:val="0070276C"/>
    <w:rsid w:val="007027D0"/>
    <w:rsid w:val="00702A4C"/>
    <w:rsid w:val="00702BA9"/>
    <w:rsid w:val="00702D9B"/>
    <w:rsid w:val="00703089"/>
    <w:rsid w:val="0070309F"/>
    <w:rsid w:val="007032CF"/>
    <w:rsid w:val="00703303"/>
    <w:rsid w:val="007034AD"/>
    <w:rsid w:val="007034FF"/>
    <w:rsid w:val="007040A7"/>
    <w:rsid w:val="007045B1"/>
    <w:rsid w:val="0070463B"/>
    <w:rsid w:val="00704863"/>
    <w:rsid w:val="007049CF"/>
    <w:rsid w:val="00704A0B"/>
    <w:rsid w:val="00704A13"/>
    <w:rsid w:val="00704A30"/>
    <w:rsid w:val="0070523E"/>
    <w:rsid w:val="007053EB"/>
    <w:rsid w:val="0070570F"/>
    <w:rsid w:val="007063D9"/>
    <w:rsid w:val="007068F0"/>
    <w:rsid w:val="007069BC"/>
    <w:rsid w:val="00706BC9"/>
    <w:rsid w:val="0070718B"/>
    <w:rsid w:val="00707A9B"/>
    <w:rsid w:val="00707AF8"/>
    <w:rsid w:val="00710052"/>
    <w:rsid w:val="00710317"/>
    <w:rsid w:val="007104B2"/>
    <w:rsid w:val="00710870"/>
    <w:rsid w:val="00710B9D"/>
    <w:rsid w:val="00710BDA"/>
    <w:rsid w:val="00710CBA"/>
    <w:rsid w:val="00710DE2"/>
    <w:rsid w:val="007113BD"/>
    <w:rsid w:val="007114CE"/>
    <w:rsid w:val="007115B5"/>
    <w:rsid w:val="007118AB"/>
    <w:rsid w:val="00711A20"/>
    <w:rsid w:val="00711B10"/>
    <w:rsid w:val="00711F3A"/>
    <w:rsid w:val="00712092"/>
    <w:rsid w:val="00712280"/>
    <w:rsid w:val="00712314"/>
    <w:rsid w:val="00712412"/>
    <w:rsid w:val="007127F4"/>
    <w:rsid w:val="00712D05"/>
    <w:rsid w:val="007131F9"/>
    <w:rsid w:val="0071323F"/>
    <w:rsid w:val="007136BD"/>
    <w:rsid w:val="00713C0C"/>
    <w:rsid w:val="0071483A"/>
    <w:rsid w:val="0071550F"/>
    <w:rsid w:val="00715CCE"/>
    <w:rsid w:val="007162A4"/>
    <w:rsid w:val="00716536"/>
    <w:rsid w:val="0071656D"/>
    <w:rsid w:val="0071679E"/>
    <w:rsid w:val="00716D61"/>
    <w:rsid w:val="00716E50"/>
    <w:rsid w:val="00717563"/>
    <w:rsid w:val="00717764"/>
    <w:rsid w:val="007178D9"/>
    <w:rsid w:val="00717A36"/>
    <w:rsid w:val="00717E92"/>
    <w:rsid w:val="00720019"/>
    <w:rsid w:val="00720308"/>
    <w:rsid w:val="00720348"/>
    <w:rsid w:val="007203E6"/>
    <w:rsid w:val="00720A28"/>
    <w:rsid w:val="00720A62"/>
    <w:rsid w:val="00720C02"/>
    <w:rsid w:val="00720C81"/>
    <w:rsid w:val="00720DF5"/>
    <w:rsid w:val="00720E0B"/>
    <w:rsid w:val="00720EBE"/>
    <w:rsid w:val="00720EE1"/>
    <w:rsid w:val="00721337"/>
    <w:rsid w:val="0072136F"/>
    <w:rsid w:val="007217F7"/>
    <w:rsid w:val="00721B7D"/>
    <w:rsid w:val="007223F4"/>
    <w:rsid w:val="0072244D"/>
    <w:rsid w:val="00722564"/>
    <w:rsid w:val="00722B5B"/>
    <w:rsid w:val="00722F1B"/>
    <w:rsid w:val="0072323F"/>
    <w:rsid w:val="00723649"/>
    <w:rsid w:val="00723769"/>
    <w:rsid w:val="007237C0"/>
    <w:rsid w:val="0072390E"/>
    <w:rsid w:val="00723A95"/>
    <w:rsid w:val="00723B1A"/>
    <w:rsid w:val="00723BB0"/>
    <w:rsid w:val="00723CC1"/>
    <w:rsid w:val="00723D80"/>
    <w:rsid w:val="00723DE0"/>
    <w:rsid w:val="007240EF"/>
    <w:rsid w:val="007246A6"/>
    <w:rsid w:val="007246C0"/>
    <w:rsid w:val="00724745"/>
    <w:rsid w:val="00724856"/>
    <w:rsid w:val="007248D1"/>
    <w:rsid w:val="00724A1D"/>
    <w:rsid w:val="00724D98"/>
    <w:rsid w:val="00725483"/>
    <w:rsid w:val="007255C1"/>
    <w:rsid w:val="00725941"/>
    <w:rsid w:val="00725A95"/>
    <w:rsid w:val="00725D24"/>
    <w:rsid w:val="007263B5"/>
    <w:rsid w:val="007266C2"/>
    <w:rsid w:val="007268EB"/>
    <w:rsid w:val="00726ADD"/>
    <w:rsid w:val="00726F28"/>
    <w:rsid w:val="00726FE7"/>
    <w:rsid w:val="0072715A"/>
    <w:rsid w:val="0072732A"/>
    <w:rsid w:val="0072732D"/>
    <w:rsid w:val="007276E5"/>
    <w:rsid w:val="007276FD"/>
    <w:rsid w:val="00727887"/>
    <w:rsid w:val="007278F9"/>
    <w:rsid w:val="00727F95"/>
    <w:rsid w:val="007300EF"/>
    <w:rsid w:val="00730E41"/>
    <w:rsid w:val="0073140D"/>
    <w:rsid w:val="0073155B"/>
    <w:rsid w:val="007315A2"/>
    <w:rsid w:val="007315EF"/>
    <w:rsid w:val="00731F1F"/>
    <w:rsid w:val="00731FF2"/>
    <w:rsid w:val="007320E7"/>
    <w:rsid w:val="0073218F"/>
    <w:rsid w:val="0073225E"/>
    <w:rsid w:val="007323BC"/>
    <w:rsid w:val="0073253F"/>
    <w:rsid w:val="00732771"/>
    <w:rsid w:val="007327F8"/>
    <w:rsid w:val="00732BF2"/>
    <w:rsid w:val="00732CEA"/>
    <w:rsid w:val="00732F9F"/>
    <w:rsid w:val="007334A6"/>
    <w:rsid w:val="007335E1"/>
    <w:rsid w:val="0073394C"/>
    <w:rsid w:val="00733988"/>
    <w:rsid w:val="00733A35"/>
    <w:rsid w:val="00733C44"/>
    <w:rsid w:val="00733E00"/>
    <w:rsid w:val="007343D7"/>
    <w:rsid w:val="007346CC"/>
    <w:rsid w:val="00734F01"/>
    <w:rsid w:val="007350F5"/>
    <w:rsid w:val="0073527B"/>
    <w:rsid w:val="0073565B"/>
    <w:rsid w:val="007357AF"/>
    <w:rsid w:val="00735A1D"/>
    <w:rsid w:val="007360CE"/>
    <w:rsid w:val="00736588"/>
    <w:rsid w:val="007366BC"/>
    <w:rsid w:val="00736747"/>
    <w:rsid w:val="007369D8"/>
    <w:rsid w:val="00736C9F"/>
    <w:rsid w:val="00736D02"/>
    <w:rsid w:val="00736E9C"/>
    <w:rsid w:val="0073719F"/>
    <w:rsid w:val="00737558"/>
    <w:rsid w:val="007376E1"/>
    <w:rsid w:val="00737B89"/>
    <w:rsid w:val="007409B2"/>
    <w:rsid w:val="0074102D"/>
    <w:rsid w:val="00741055"/>
    <w:rsid w:val="0074169E"/>
    <w:rsid w:val="007416EA"/>
    <w:rsid w:val="00741815"/>
    <w:rsid w:val="007418B1"/>
    <w:rsid w:val="00741901"/>
    <w:rsid w:val="00741A01"/>
    <w:rsid w:val="00741F76"/>
    <w:rsid w:val="00741FFE"/>
    <w:rsid w:val="0074225B"/>
    <w:rsid w:val="0074231E"/>
    <w:rsid w:val="007427EB"/>
    <w:rsid w:val="00742A09"/>
    <w:rsid w:val="00742C1A"/>
    <w:rsid w:val="00742CD0"/>
    <w:rsid w:val="00743194"/>
    <w:rsid w:val="007433C7"/>
    <w:rsid w:val="00743A34"/>
    <w:rsid w:val="00743BFF"/>
    <w:rsid w:val="00743C51"/>
    <w:rsid w:val="007443C1"/>
    <w:rsid w:val="00744412"/>
    <w:rsid w:val="00744413"/>
    <w:rsid w:val="007445B9"/>
    <w:rsid w:val="007447EA"/>
    <w:rsid w:val="0074499B"/>
    <w:rsid w:val="00744CC5"/>
    <w:rsid w:val="00744CE2"/>
    <w:rsid w:val="00744EE3"/>
    <w:rsid w:val="00744F0D"/>
    <w:rsid w:val="00744FC2"/>
    <w:rsid w:val="0074501D"/>
    <w:rsid w:val="007450EB"/>
    <w:rsid w:val="007450ED"/>
    <w:rsid w:val="0074538A"/>
    <w:rsid w:val="007453DB"/>
    <w:rsid w:val="0074575D"/>
    <w:rsid w:val="00745803"/>
    <w:rsid w:val="00745960"/>
    <w:rsid w:val="00745A5B"/>
    <w:rsid w:val="00745BE2"/>
    <w:rsid w:val="00745BEA"/>
    <w:rsid w:val="00745C27"/>
    <w:rsid w:val="00745C3B"/>
    <w:rsid w:val="00745D4E"/>
    <w:rsid w:val="00745F0A"/>
    <w:rsid w:val="007460EF"/>
    <w:rsid w:val="007466C0"/>
    <w:rsid w:val="007469B7"/>
    <w:rsid w:val="007469E8"/>
    <w:rsid w:val="00746C73"/>
    <w:rsid w:val="00746CA8"/>
    <w:rsid w:val="00746D13"/>
    <w:rsid w:val="007470CF"/>
    <w:rsid w:val="0074727C"/>
    <w:rsid w:val="00747462"/>
    <w:rsid w:val="007475E2"/>
    <w:rsid w:val="00747991"/>
    <w:rsid w:val="00747F0A"/>
    <w:rsid w:val="00747FB7"/>
    <w:rsid w:val="0075006F"/>
    <w:rsid w:val="0075016D"/>
    <w:rsid w:val="007504B7"/>
    <w:rsid w:val="0075055D"/>
    <w:rsid w:val="0075062B"/>
    <w:rsid w:val="00750B61"/>
    <w:rsid w:val="00750CC2"/>
    <w:rsid w:val="00751012"/>
    <w:rsid w:val="0075116F"/>
    <w:rsid w:val="007511E1"/>
    <w:rsid w:val="00751B66"/>
    <w:rsid w:val="00751E69"/>
    <w:rsid w:val="00752039"/>
    <w:rsid w:val="00752111"/>
    <w:rsid w:val="007521BA"/>
    <w:rsid w:val="007522DB"/>
    <w:rsid w:val="007529E7"/>
    <w:rsid w:val="007531BA"/>
    <w:rsid w:val="007532ED"/>
    <w:rsid w:val="00753954"/>
    <w:rsid w:val="00753CAB"/>
    <w:rsid w:val="00753DD0"/>
    <w:rsid w:val="007544F6"/>
    <w:rsid w:val="00754991"/>
    <w:rsid w:val="00754B12"/>
    <w:rsid w:val="00754DC3"/>
    <w:rsid w:val="0075517C"/>
    <w:rsid w:val="0075533D"/>
    <w:rsid w:val="00755343"/>
    <w:rsid w:val="007555C5"/>
    <w:rsid w:val="00755603"/>
    <w:rsid w:val="00755B09"/>
    <w:rsid w:val="00755DA8"/>
    <w:rsid w:val="00755F5F"/>
    <w:rsid w:val="007563F3"/>
    <w:rsid w:val="0075657B"/>
    <w:rsid w:val="0075673E"/>
    <w:rsid w:val="00756863"/>
    <w:rsid w:val="00756FC6"/>
    <w:rsid w:val="00757138"/>
    <w:rsid w:val="0076038C"/>
    <w:rsid w:val="00760F9F"/>
    <w:rsid w:val="00761522"/>
    <w:rsid w:val="00761555"/>
    <w:rsid w:val="00761865"/>
    <w:rsid w:val="00761F5F"/>
    <w:rsid w:val="00762310"/>
    <w:rsid w:val="0076260B"/>
    <w:rsid w:val="007627A4"/>
    <w:rsid w:val="00762ED7"/>
    <w:rsid w:val="00762FA3"/>
    <w:rsid w:val="00763243"/>
    <w:rsid w:val="007634D6"/>
    <w:rsid w:val="00763510"/>
    <w:rsid w:val="0076375E"/>
    <w:rsid w:val="007639FA"/>
    <w:rsid w:val="00763AA9"/>
    <w:rsid w:val="00763AB7"/>
    <w:rsid w:val="00763B6B"/>
    <w:rsid w:val="00764290"/>
    <w:rsid w:val="007643CE"/>
    <w:rsid w:val="007647FB"/>
    <w:rsid w:val="00764994"/>
    <w:rsid w:val="00764B4A"/>
    <w:rsid w:val="00765020"/>
    <w:rsid w:val="0076513B"/>
    <w:rsid w:val="00765321"/>
    <w:rsid w:val="0076538E"/>
    <w:rsid w:val="00765657"/>
    <w:rsid w:val="007656F5"/>
    <w:rsid w:val="00765877"/>
    <w:rsid w:val="00765A3B"/>
    <w:rsid w:val="00765AB9"/>
    <w:rsid w:val="00766083"/>
    <w:rsid w:val="007660ED"/>
    <w:rsid w:val="00766205"/>
    <w:rsid w:val="00766B7F"/>
    <w:rsid w:val="00766CA9"/>
    <w:rsid w:val="00767039"/>
    <w:rsid w:val="00767113"/>
    <w:rsid w:val="00767376"/>
    <w:rsid w:val="00767380"/>
    <w:rsid w:val="007673F8"/>
    <w:rsid w:val="007675EF"/>
    <w:rsid w:val="00767834"/>
    <w:rsid w:val="007678B3"/>
    <w:rsid w:val="00767992"/>
    <w:rsid w:val="00770061"/>
    <w:rsid w:val="00770157"/>
    <w:rsid w:val="00770369"/>
    <w:rsid w:val="00770922"/>
    <w:rsid w:val="00770BFA"/>
    <w:rsid w:val="007711CA"/>
    <w:rsid w:val="00771202"/>
    <w:rsid w:val="0077127D"/>
    <w:rsid w:val="0077141F"/>
    <w:rsid w:val="00771960"/>
    <w:rsid w:val="00771B57"/>
    <w:rsid w:val="00771CF5"/>
    <w:rsid w:val="00772131"/>
    <w:rsid w:val="00772595"/>
    <w:rsid w:val="00772664"/>
    <w:rsid w:val="00772754"/>
    <w:rsid w:val="007727D9"/>
    <w:rsid w:val="00772A3E"/>
    <w:rsid w:val="00772B56"/>
    <w:rsid w:val="00772E5F"/>
    <w:rsid w:val="00773351"/>
    <w:rsid w:val="007733A1"/>
    <w:rsid w:val="00773483"/>
    <w:rsid w:val="007734EB"/>
    <w:rsid w:val="0077357E"/>
    <w:rsid w:val="00773969"/>
    <w:rsid w:val="00773AA6"/>
    <w:rsid w:val="00773BAB"/>
    <w:rsid w:val="00773FF9"/>
    <w:rsid w:val="007740BD"/>
    <w:rsid w:val="00774520"/>
    <w:rsid w:val="0077473E"/>
    <w:rsid w:val="00774D9F"/>
    <w:rsid w:val="00775454"/>
    <w:rsid w:val="007757E6"/>
    <w:rsid w:val="007757F8"/>
    <w:rsid w:val="00775E31"/>
    <w:rsid w:val="0077614D"/>
    <w:rsid w:val="007769D2"/>
    <w:rsid w:val="00776B83"/>
    <w:rsid w:val="00776CCE"/>
    <w:rsid w:val="00776D59"/>
    <w:rsid w:val="00776E7B"/>
    <w:rsid w:val="007770C8"/>
    <w:rsid w:val="0077725F"/>
    <w:rsid w:val="007772BB"/>
    <w:rsid w:val="00777365"/>
    <w:rsid w:val="00777698"/>
    <w:rsid w:val="0077775C"/>
    <w:rsid w:val="0077779D"/>
    <w:rsid w:val="007778C3"/>
    <w:rsid w:val="00777CAD"/>
    <w:rsid w:val="00780069"/>
    <w:rsid w:val="00780165"/>
    <w:rsid w:val="0078047D"/>
    <w:rsid w:val="00780916"/>
    <w:rsid w:val="007809F4"/>
    <w:rsid w:val="00780AFA"/>
    <w:rsid w:val="007811D7"/>
    <w:rsid w:val="00781263"/>
    <w:rsid w:val="007815EC"/>
    <w:rsid w:val="00781C39"/>
    <w:rsid w:val="00781E85"/>
    <w:rsid w:val="00781F11"/>
    <w:rsid w:val="0078226F"/>
    <w:rsid w:val="00782499"/>
    <w:rsid w:val="00782556"/>
    <w:rsid w:val="00782AE1"/>
    <w:rsid w:val="00782C63"/>
    <w:rsid w:val="00782E1D"/>
    <w:rsid w:val="00782EBC"/>
    <w:rsid w:val="00782F37"/>
    <w:rsid w:val="00783262"/>
    <w:rsid w:val="00783722"/>
    <w:rsid w:val="00783759"/>
    <w:rsid w:val="00784399"/>
    <w:rsid w:val="007844CD"/>
    <w:rsid w:val="00784848"/>
    <w:rsid w:val="00784922"/>
    <w:rsid w:val="00784B57"/>
    <w:rsid w:val="00784F33"/>
    <w:rsid w:val="00784F66"/>
    <w:rsid w:val="00784FD5"/>
    <w:rsid w:val="007854DB"/>
    <w:rsid w:val="007856A1"/>
    <w:rsid w:val="007856BC"/>
    <w:rsid w:val="00785A51"/>
    <w:rsid w:val="00785CA5"/>
    <w:rsid w:val="00785CF8"/>
    <w:rsid w:val="007863AD"/>
    <w:rsid w:val="007868F4"/>
    <w:rsid w:val="0078736B"/>
    <w:rsid w:val="007874A8"/>
    <w:rsid w:val="007874BC"/>
    <w:rsid w:val="0078760C"/>
    <w:rsid w:val="007877AE"/>
    <w:rsid w:val="0078794C"/>
    <w:rsid w:val="00787970"/>
    <w:rsid w:val="007879C3"/>
    <w:rsid w:val="00787A1F"/>
    <w:rsid w:val="00787BEB"/>
    <w:rsid w:val="007902BC"/>
    <w:rsid w:val="0079039C"/>
    <w:rsid w:val="0079040F"/>
    <w:rsid w:val="00790543"/>
    <w:rsid w:val="007905EF"/>
    <w:rsid w:val="00790766"/>
    <w:rsid w:val="007909B3"/>
    <w:rsid w:val="00790BC0"/>
    <w:rsid w:val="00790D37"/>
    <w:rsid w:val="00790DF8"/>
    <w:rsid w:val="00790EE5"/>
    <w:rsid w:val="00790F45"/>
    <w:rsid w:val="00791364"/>
    <w:rsid w:val="007916FE"/>
    <w:rsid w:val="007917E4"/>
    <w:rsid w:val="00791C5F"/>
    <w:rsid w:val="00791D05"/>
    <w:rsid w:val="00791D68"/>
    <w:rsid w:val="00791F46"/>
    <w:rsid w:val="00791F50"/>
    <w:rsid w:val="00791FB9"/>
    <w:rsid w:val="007920F5"/>
    <w:rsid w:val="00792312"/>
    <w:rsid w:val="007925AA"/>
    <w:rsid w:val="007925DB"/>
    <w:rsid w:val="0079264C"/>
    <w:rsid w:val="00792D46"/>
    <w:rsid w:val="00793216"/>
    <w:rsid w:val="007932AC"/>
    <w:rsid w:val="007932BD"/>
    <w:rsid w:val="007934E0"/>
    <w:rsid w:val="0079360F"/>
    <w:rsid w:val="00793828"/>
    <w:rsid w:val="00793A9A"/>
    <w:rsid w:val="00793FFC"/>
    <w:rsid w:val="007941E1"/>
    <w:rsid w:val="007948A8"/>
    <w:rsid w:val="0079496A"/>
    <w:rsid w:val="00794EBD"/>
    <w:rsid w:val="007952D3"/>
    <w:rsid w:val="007954ED"/>
    <w:rsid w:val="007958E6"/>
    <w:rsid w:val="00795CDA"/>
    <w:rsid w:val="00795E1F"/>
    <w:rsid w:val="00795EB1"/>
    <w:rsid w:val="00796108"/>
    <w:rsid w:val="00796415"/>
    <w:rsid w:val="007967F6"/>
    <w:rsid w:val="00796BF4"/>
    <w:rsid w:val="00796D42"/>
    <w:rsid w:val="007973E1"/>
    <w:rsid w:val="00797763"/>
    <w:rsid w:val="00797768"/>
    <w:rsid w:val="0079785E"/>
    <w:rsid w:val="00797C33"/>
    <w:rsid w:val="00797C63"/>
    <w:rsid w:val="00797F59"/>
    <w:rsid w:val="007A00DC"/>
    <w:rsid w:val="007A02EF"/>
    <w:rsid w:val="007A04A6"/>
    <w:rsid w:val="007A09A1"/>
    <w:rsid w:val="007A09FE"/>
    <w:rsid w:val="007A0BB6"/>
    <w:rsid w:val="007A0BCA"/>
    <w:rsid w:val="007A0F76"/>
    <w:rsid w:val="007A0F96"/>
    <w:rsid w:val="007A0FA7"/>
    <w:rsid w:val="007A131F"/>
    <w:rsid w:val="007A1411"/>
    <w:rsid w:val="007A146F"/>
    <w:rsid w:val="007A16E4"/>
    <w:rsid w:val="007A1818"/>
    <w:rsid w:val="007A1B2E"/>
    <w:rsid w:val="007A1F41"/>
    <w:rsid w:val="007A2B83"/>
    <w:rsid w:val="007A2D26"/>
    <w:rsid w:val="007A2D75"/>
    <w:rsid w:val="007A2E9C"/>
    <w:rsid w:val="007A2ECC"/>
    <w:rsid w:val="007A3075"/>
    <w:rsid w:val="007A32A7"/>
    <w:rsid w:val="007A3741"/>
    <w:rsid w:val="007A3BEE"/>
    <w:rsid w:val="007A3C36"/>
    <w:rsid w:val="007A47D5"/>
    <w:rsid w:val="007A4906"/>
    <w:rsid w:val="007A492B"/>
    <w:rsid w:val="007A4A59"/>
    <w:rsid w:val="007A4AD7"/>
    <w:rsid w:val="007A4EB5"/>
    <w:rsid w:val="007A5253"/>
    <w:rsid w:val="007A5D3F"/>
    <w:rsid w:val="007A5E42"/>
    <w:rsid w:val="007A62D2"/>
    <w:rsid w:val="007A66EF"/>
    <w:rsid w:val="007A6AB9"/>
    <w:rsid w:val="007A701E"/>
    <w:rsid w:val="007A72C2"/>
    <w:rsid w:val="007A7371"/>
    <w:rsid w:val="007A759F"/>
    <w:rsid w:val="007A7681"/>
    <w:rsid w:val="007A7F8E"/>
    <w:rsid w:val="007B006B"/>
    <w:rsid w:val="007B01C1"/>
    <w:rsid w:val="007B02D2"/>
    <w:rsid w:val="007B0722"/>
    <w:rsid w:val="007B0C1C"/>
    <w:rsid w:val="007B121E"/>
    <w:rsid w:val="007B1239"/>
    <w:rsid w:val="007B13E8"/>
    <w:rsid w:val="007B1617"/>
    <w:rsid w:val="007B1EFE"/>
    <w:rsid w:val="007B2007"/>
    <w:rsid w:val="007B25B5"/>
    <w:rsid w:val="007B281E"/>
    <w:rsid w:val="007B292B"/>
    <w:rsid w:val="007B293D"/>
    <w:rsid w:val="007B29E8"/>
    <w:rsid w:val="007B2CFB"/>
    <w:rsid w:val="007B2DD6"/>
    <w:rsid w:val="007B2ED4"/>
    <w:rsid w:val="007B2EFF"/>
    <w:rsid w:val="007B31CC"/>
    <w:rsid w:val="007B33D3"/>
    <w:rsid w:val="007B3AA5"/>
    <w:rsid w:val="007B3C40"/>
    <w:rsid w:val="007B3EA9"/>
    <w:rsid w:val="007B40A4"/>
    <w:rsid w:val="007B410D"/>
    <w:rsid w:val="007B4293"/>
    <w:rsid w:val="007B42D7"/>
    <w:rsid w:val="007B4C60"/>
    <w:rsid w:val="007B4D02"/>
    <w:rsid w:val="007B5029"/>
    <w:rsid w:val="007B5162"/>
    <w:rsid w:val="007B582F"/>
    <w:rsid w:val="007B592F"/>
    <w:rsid w:val="007B5A3D"/>
    <w:rsid w:val="007B5F25"/>
    <w:rsid w:val="007B636C"/>
    <w:rsid w:val="007B6666"/>
    <w:rsid w:val="007B675D"/>
    <w:rsid w:val="007B67DA"/>
    <w:rsid w:val="007B6AB5"/>
    <w:rsid w:val="007B6D17"/>
    <w:rsid w:val="007B72AF"/>
    <w:rsid w:val="007B7436"/>
    <w:rsid w:val="007B74C5"/>
    <w:rsid w:val="007B75BF"/>
    <w:rsid w:val="007B7845"/>
    <w:rsid w:val="007B7B11"/>
    <w:rsid w:val="007B7C0F"/>
    <w:rsid w:val="007B7C7B"/>
    <w:rsid w:val="007B7D7B"/>
    <w:rsid w:val="007B7D81"/>
    <w:rsid w:val="007B7D82"/>
    <w:rsid w:val="007B7E79"/>
    <w:rsid w:val="007C01A2"/>
    <w:rsid w:val="007C0D36"/>
    <w:rsid w:val="007C1060"/>
    <w:rsid w:val="007C140B"/>
    <w:rsid w:val="007C147C"/>
    <w:rsid w:val="007C16DE"/>
    <w:rsid w:val="007C1B79"/>
    <w:rsid w:val="007C1C24"/>
    <w:rsid w:val="007C1D79"/>
    <w:rsid w:val="007C1FB2"/>
    <w:rsid w:val="007C21BB"/>
    <w:rsid w:val="007C25CB"/>
    <w:rsid w:val="007C26E8"/>
    <w:rsid w:val="007C26FA"/>
    <w:rsid w:val="007C2B77"/>
    <w:rsid w:val="007C331B"/>
    <w:rsid w:val="007C3593"/>
    <w:rsid w:val="007C388C"/>
    <w:rsid w:val="007C3BBD"/>
    <w:rsid w:val="007C429D"/>
    <w:rsid w:val="007C44D3"/>
    <w:rsid w:val="007C476B"/>
    <w:rsid w:val="007C4DBF"/>
    <w:rsid w:val="007C4EB6"/>
    <w:rsid w:val="007C51AA"/>
    <w:rsid w:val="007C566D"/>
    <w:rsid w:val="007C588F"/>
    <w:rsid w:val="007C5A99"/>
    <w:rsid w:val="007C5ECE"/>
    <w:rsid w:val="007C60F9"/>
    <w:rsid w:val="007C6140"/>
    <w:rsid w:val="007C634B"/>
    <w:rsid w:val="007C6C54"/>
    <w:rsid w:val="007C757F"/>
    <w:rsid w:val="007C75A2"/>
    <w:rsid w:val="007C779E"/>
    <w:rsid w:val="007C77A3"/>
    <w:rsid w:val="007C77B2"/>
    <w:rsid w:val="007C793E"/>
    <w:rsid w:val="007C79B6"/>
    <w:rsid w:val="007C7CAA"/>
    <w:rsid w:val="007C7DBA"/>
    <w:rsid w:val="007C7E4B"/>
    <w:rsid w:val="007D006E"/>
    <w:rsid w:val="007D0533"/>
    <w:rsid w:val="007D068F"/>
    <w:rsid w:val="007D083C"/>
    <w:rsid w:val="007D08E4"/>
    <w:rsid w:val="007D0AA2"/>
    <w:rsid w:val="007D0ACB"/>
    <w:rsid w:val="007D0B35"/>
    <w:rsid w:val="007D0D86"/>
    <w:rsid w:val="007D1159"/>
    <w:rsid w:val="007D13B0"/>
    <w:rsid w:val="007D14F2"/>
    <w:rsid w:val="007D1825"/>
    <w:rsid w:val="007D18D2"/>
    <w:rsid w:val="007D1955"/>
    <w:rsid w:val="007D1A57"/>
    <w:rsid w:val="007D1D5D"/>
    <w:rsid w:val="007D21AD"/>
    <w:rsid w:val="007D2305"/>
    <w:rsid w:val="007D24F2"/>
    <w:rsid w:val="007D2522"/>
    <w:rsid w:val="007D28E2"/>
    <w:rsid w:val="007D2C16"/>
    <w:rsid w:val="007D2D4F"/>
    <w:rsid w:val="007D30C1"/>
    <w:rsid w:val="007D339F"/>
    <w:rsid w:val="007D354B"/>
    <w:rsid w:val="007D39B8"/>
    <w:rsid w:val="007D3F24"/>
    <w:rsid w:val="007D45B1"/>
    <w:rsid w:val="007D4617"/>
    <w:rsid w:val="007D4713"/>
    <w:rsid w:val="007D4714"/>
    <w:rsid w:val="007D4A04"/>
    <w:rsid w:val="007D4D36"/>
    <w:rsid w:val="007D4DC7"/>
    <w:rsid w:val="007D4E18"/>
    <w:rsid w:val="007D5495"/>
    <w:rsid w:val="007D5680"/>
    <w:rsid w:val="007D5942"/>
    <w:rsid w:val="007D596E"/>
    <w:rsid w:val="007D5AB6"/>
    <w:rsid w:val="007D5C76"/>
    <w:rsid w:val="007D657F"/>
    <w:rsid w:val="007D65E0"/>
    <w:rsid w:val="007D6654"/>
    <w:rsid w:val="007D67C9"/>
    <w:rsid w:val="007D6EEB"/>
    <w:rsid w:val="007D6FB7"/>
    <w:rsid w:val="007E01A8"/>
    <w:rsid w:val="007E037E"/>
    <w:rsid w:val="007E048A"/>
    <w:rsid w:val="007E0707"/>
    <w:rsid w:val="007E072E"/>
    <w:rsid w:val="007E0845"/>
    <w:rsid w:val="007E09A8"/>
    <w:rsid w:val="007E0C3E"/>
    <w:rsid w:val="007E0C5C"/>
    <w:rsid w:val="007E1048"/>
    <w:rsid w:val="007E13C2"/>
    <w:rsid w:val="007E15AB"/>
    <w:rsid w:val="007E1819"/>
    <w:rsid w:val="007E1E76"/>
    <w:rsid w:val="007E1EB9"/>
    <w:rsid w:val="007E2231"/>
    <w:rsid w:val="007E24DA"/>
    <w:rsid w:val="007E28CC"/>
    <w:rsid w:val="007E29F8"/>
    <w:rsid w:val="007E2A3E"/>
    <w:rsid w:val="007E2C16"/>
    <w:rsid w:val="007E2D78"/>
    <w:rsid w:val="007E3193"/>
    <w:rsid w:val="007E3876"/>
    <w:rsid w:val="007E39FC"/>
    <w:rsid w:val="007E3A7B"/>
    <w:rsid w:val="007E3BB9"/>
    <w:rsid w:val="007E42DE"/>
    <w:rsid w:val="007E4791"/>
    <w:rsid w:val="007E4BB0"/>
    <w:rsid w:val="007E4C47"/>
    <w:rsid w:val="007E4DE8"/>
    <w:rsid w:val="007E5372"/>
    <w:rsid w:val="007E5FB3"/>
    <w:rsid w:val="007E6004"/>
    <w:rsid w:val="007E6055"/>
    <w:rsid w:val="007E62D6"/>
    <w:rsid w:val="007E6461"/>
    <w:rsid w:val="007E6685"/>
    <w:rsid w:val="007E6852"/>
    <w:rsid w:val="007E69C5"/>
    <w:rsid w:val="007E6B27"/>
    <w:rsid w:val="007E6B84"/>
    <w:rsid w:val="007E6B92"/>
    <w:rsid w:val="007E6F57"/>
    <w:rsid w:val="007E718F"/>
    <w:rsid w:val="007E77F4"/>
    <w:rsid w:val="007E784B"/>
    <w:rsid w:val="007E7B1C"/>
    <w:rsid w:val="007E7BDE"/>
    <w:rsid w:val="007E7D16"/>
    <w:rsid w:val="007E7DF4"/>
    <w:rsid w:val="007E7F32"/>
    <w:rsid w:val="007E7F69"/>
    <w:rsid w:val="007F0289"/>
    <w:rsid w:val="007F032B"/>
    <w:rsid w:val="007F08B6"/>
    <w:rsid w:val="007F0B44"/>
    <w:rsid w:val="007F0BBE"/>
    <w:rsid w:val="007F0E77"/>
    <w:rsid w:val="007F15EA"/>
    <w:rsid w:val="007F1895"/>
    <w:rsid w:val="007F1C4E"/>
    <w:rsid w:val="007F1CC4"/>
    <w:rsid w:val="007F1CF3"/>
    <w:rsid w:val="007F1E67"/>
    <w:rsid w:val="007F20C8"/>
    <w:rsid w:val="007F2350"/>
    <w:rsid w:val="007F2440"/>
    <w:rsid w:val="007F2A90"/>
    <w:rsid w:val="007F2E13"/>
    <w:rsid w:val="007F3119"/>
    <w:rsid w:val="007F33C2"/>
    <w:rsid w:val="007F3584"/>
    <w:rsid w:val="007F3A41"/>
    <w:rsid w:val="007F3ADA"/>
    <w:rsid w:val="007F3E5E"/>
    <w:rsid w:val="007F41A7"/>
    <w:rsid w:val="007F461C"/>
    <w:rsid w:val="007F4A51"/>
    <w:rsid w:val="007F4E3D"/>
    <w:rsid w:val="007F4FCF"/>
    <w:rsid w:val="007F5680"/>
    <w:rsid w:val="007F569D"/>
    <w:rsid w:val="007F5A7F"/>
    <w:rsid w:val="007F5C47"/>
    <w:rsid w:val="007F5F43"/>
    <w:rsid w:val="007F611C"/>
    <w:rsid w:val="007F61CE"/>
    <w:rsid w:val="007F6261"/>
    <w:rsid w:val="007F6535"/>
    <w:rsid w:val="007F69AD"/>
    <w:rsid w:val="007F6DE5"/>
    <w:rsid w:val="007F6DE7"/>
    <w:rsid w:val="007F70BF"/>
    <w:rsid w:val="007F7219"/>
    <w:rsid w:val="007F737A"/>
    <w:rsid w:val="007F796F"/>
    <w:rsid w:val="007F7EC2"/>
    <w:rsid w:val="008001E4"/>
    <w:rsid w:val="008003CC"/>
    <w:rsid w:val="00800563"/>
    <w:rsid w:val="008005FF"/>
    <w:rsid w:val="00801120"/>
    <w:rsid w:val="008011E3"/>
    <w:rsid w:val="00801293"/>
    <w:rsid w:val="00801486"/>
    <w:rsid w:val="0080149F"/>
    <w:rsid w:val="008015E2"/>
    <w:rsid w:val="00801648"/>
    <w:rsid w:val="008018DE"/>
    <w:rsid w:val="008019FF"/>
    <w:rsid w:val="00801CE9"/>
    <w:rsid w:val="0080202F"/>
    <w:rsid w:val="00802118"/>
    <w:rsid w:val="0080234A"/>
    <w:rsid w:val="008023AA"/>
    <w:rsid w:val="00802557"/>
    <w:rsid w:val="008025DB"/>
    <w:rsid w:val="008026F6"/>
    <w:rsid w:val="008027D0"/>
    <w:rsid w:val="00802B06"/>
    <w:rsid w:val="008037E5"/>
    <w:rsid w:val="00803809"/>
    <w:rsid w:val="0080384C"/>
    <w:rsid w:val="0080483F"/>
    <w:rsid w:val="0080491F"/>
    <w:rsid w:val="00804B7F"/>
    <w:rsid w:val="00804BA1"/>
    <w:rsid w:val="00804CC0"/>
    <w:rsid w:val="00804D45"/>
    <w:rsid w:val="00804F7D"/>
    <w:rsid w:val="00804FC1"/>
    <w:rsid w:val="008050DE"/>
    <w:rsid w:val="008053FB"/>
    <w:rsid w:val="00805AA9"/>
    <w:rsid w:val="00805BC5"/>
    <w:rsid w:val="00805E6A"/>
    <w:rsid w:val="00805FE6"/>
    <w:rsid w:val="008065B1"/>
    <w:rsid w:val="008065C6"/>
    <w:rsid w:val="00806A85"/>
    <w:rsid w:val="00806A8D"/>
    <w:rsid w:val="00806E45"/>
    <w:rsid w:val="00806FAC"/>
    <w:rsid w:val="008074D4"/>
    <w:rsid w:val="008075FC"/>
    <w:rsid w:val="00807711"/>
    <w:rsid w:val="00807865"/>
    <w:rsid w:val="00807CAB"/>
    <w:rsid w:val="00810153"/>
    <w:rsid w:val="00810199"/>
    <w:rsid w:val="008102BA"/>
    <w:rsid w:val="008103A3"/>
    <w:rsid w:val="0081042B"/>
    <w:rsid w:val="008107ED"/>
    <w:rsid w:val="00810D1C"/>
    <w:rsid w:val="00810EDB"/>
    <w:rsid w:val="00810EE5"/>
    <w:rsid w:val="00811279"/>
    <w:rsid w:val="008116A5"/>
    <w:rsid w:val="00811935"/>
    <w:rsid w:val="00811B9C"/>
    <w:rsid w:val="00811C3A"/>
    <w:rsid w:val="00811DE4"/>
    <w:rsid w:val="008124D9"/>
    <w:rsid w:val="00812523"/>
    <w:rsid w:val="00812A19"/>
    <w:rsid w:val="00812B5D"/>
    <w:rsid w:val="00812ED4"/>
    <w:rsid w:val="00812FD3"/>
    <w:rsid w:val="00813146"/>
    <w:rsid w:val="00813945"/>
    <w:rsid w:val="008139FE"/>
    <w:rsid w:val="00813F17"/>
    <w:rsid w:val="0081423F"/>
    <w:rsid w:val="008142AA"/>
    <w:rsid w:val="008142D3"/>
    <w:rsid w:val="00814C24"/>
    <w:rsid w:val="00814D1A"/>
    <w:rsid w:val="0081557D"/>
    <w:rsid w:val="00815763"/>
    <w:rsid w:val="008158A5"/>
    <w:rsid w:val="008158DD"/>
    <w:rsid w:val="0081649D"/>
    <w:rsid w:val="00816A6E"/>
    <w:rsid w:val="00817D8D"/>
    <w:rsid w:val="00817D8E"/>
    <w:rsid w:val="00820067"/>
    <w:rsid w:val="0082033B"/>
    <w:rsid w:val="00820771"/>
    <w:rsid w:val="008207C2"/>
    <w:rsid w:val="00820A0C"/>
    <w:rsid w:val="00820D55"/>
    <w:rsid w:val="00820DE8"/>
    <w:rsid w:val="008210B8"/>
    <w:rsid w:val="008210C1"/>
    <w:rsid w:val="008212D0"/>
    <w:rsid w:val="0082130C"/>
    <w:rsid w:val="00821C6F"/>
    <w:rsid w:val="00821CF5"/>
    <w:rsid w:val="00821D2D"/>
    <w:rsid w:val="00821EED"/>
    <w:rsid w:val="008223A1"/>
    <w:rsid w:val="00822994"/>
    <w:rsid w:val="00822C26"/>
    <w:rsid w:val="00822D7E"/>
    <w:rsid w:val="00822FB5"/>
    <w:rsid w:val="00823039"/>
    <w:rsid w:val="008236DD"/>
    <w:rsid w:val="0082375B"/>
    <w:rsid w:val="00823823"/>
    <w:rsid w:val="00823E97"/>
    <w:rsid w:val="0082441B"/>
    <w:rsid w:val="008245C3"/>
    <w:rsid w:val="008245C5"/>
    <w:rsid w:val="00824799"/>
    <w:rsid w:val="008247EC"/>
    <w:rsid w:val="00824C0B"/>
    <w:rsid w:val="00824C58"/>
    <w:rsid w:val="00824EB5"/>
    <w:rsid w:val="008251BA"/>
    <w:rsid w:val="008251E0"/>
    <w:rsid w:val="008252C0"/>
    <w:rsid w:val="00825358"/>
    <w:rsid w:val="008255A3"/>
    <w:rsid w:val="00825621"/>
    <w:rsid w:val="0082581C"/>
    <w:rsid w:val="008258A0"/>
    <w:rsid w:val="00825A22"/>
    <w:rsid w:val="00825B22"/>
    <w:rsid w:val="00825B29"/>
    <w:rsid w:val="00825C25"/>
    <w:rsid w:val="00825D5B"/>
    <w:rsid w:val="00825FF8"/>
    <w:rsid w:val="0082662B"/>
    <w:rsid w:val="0082663B"/>
    <w:rsid w:val="008266EC"/>
    <w:rsid w:val="008269CA"/>
    <w:rsid w:val="00826FC4"/>
    <w:rsid w:val="0082726B"/>
    <w:rsid w:val="008274C0"/>
    <w:rsid w:val="008277CF"/>
    <w:rsid w:val="0082794D"/>
    <w:rsid w:val="00827BA5"/>
    <w:rsid w:val="00827C0E"/>
    <w:rsid w:val="00827E20"/>
    <w:rsid w:val="00830558"/>
    <w:rsid w:val="0083095B"/>
    <w:rsid w:val="00830C30"/>
    <w:rsid w:val="00830C7C"/>
    <w:rsid w:val="00830D73"/>
    <w:rsid w:val="00830F0E"/>
    <w:rsid w:val="00831A6B"/>
    <w:rsid w:val="00831AC5"/>
    <w:rsid w:val="00831BA0"/>
    <w:rsid w:val="00831CC3"/>
    <w:rsid w:val="00831EB7"/>
    <w:rsid w:val="00832203"/>
    <w:rsid w:val="008322BB"/>
    <w:rsid w:val="008322D7"/>
    <w:rsid w:val="0083235D"/>
    <w:rsid w:val="00832A58"/>
    <w:rsid w:val="00832C80"/>
    <w:rsid w:val="00832CD8"/>
    <w:rsid w:val="00832DDA"/>
    <w:rsid w:val="0083308B"/>
    <w:rsid w:val="00833159"/>
    <w:rsid w:val="00833250"/>
    <w:rsid w:val="0083340A"/>
    <w:rsid w:val="00833472"/>
    <w:rsid w:val="0083374B"/>
    <w:rsid w:val="00833789"/>
    <w:rsid w:val="00833A4C"/>
    <w:rsid w:val="00833C86"/>
    <w:rsid w:val="00833C99"/>
    <w:rsid w:val="00833D07"/>
    <w:rsid w:val="00833DB3"/>
    <w:rsid w:val="00833F00"/>
    <w:rsid w:val="00833F71"/>
    <w:rsid w:val="00834549"/>
    <w:rsid w:val="008345EC"/>
    <w:rsid w:val="00834ABF"/>
    <w:rsid w:val="00834EA2"/>
    <w:rsid w:val="0083516C"/>
    <w:rsid w:val="008354DD"/>
    <w:rsid w:val="0083566D"/>
    <w:rsid w:val="008356B4"/>
    <w:rsid w:val="008357C3"/>
    <w:rsid w:val="00835948"/>
    <w:rsid w:val="008359C9"/>
    <w:rsid w:val="00835A18"/>
    <w:rsid w:val="00835A2A"/>
    <w:rsid w:val="0083608A"/>
    <w:rsid w:val="008361CD"/>
    <w:rsid w:val="00836564"/>
    <w:rsid w:val="0083662E"/>
    <w:rsid w:val="00836710"/>
    <w:rsid w:val="0083674F"/>
    <w:rsid w:val="008367D3"/>
    <w:rsid w:val="008368A0"/>
    <w:rsid w:val="00836956"/>
    <w:rsid w:val="00837295"/>
    <w:rsid w:val="0083751F"/>
    <w:rsid w:val="008377B7"/>
    <w:rsid w:val="00837915"/>
    <w:rsid w:val="00837A23"/>
    <w:rsid w:val="00837B25"/>
    <w:rsid w:val="00837C44"/>
    <w:rsid w:val="008400A0"/>
    <w:rsid w:val="008400BF"/>
    <w:rsid w:val="0084012B"/>
    <w:rsid w:val="00840442"/>
    <w:rsid w:val="00840599"/>
    <w:rsid w:val="00841087"/>
    <w:rsid w:val="008417CB"/>
    <w:rsid w:val="008419C8"/>
    <w:rsid w:val="00841C23"/>
    <w:rsid w:val="00841D03"/>
    <w:rsid w:val="00841E90"/>
    <w:rsid w:val="008420B5"/>
    <w:rsid w:val="008421F3"/>
    <w:rsid w:val="008423EA"/>
    <w:rsid w:val="00842554"/>
    <w:rsid w:val="008425A6"/>
    <w:rsid w:val="00842836"/>
    <w:rsid w:val="00842914"/>
    <w:rsid w:val="00842B48"/>
    <w:rsid w:val="00842FC0"/>
    <w:rsid w:val="00843164"/>
    <w:rsid w:val="008434E7"/>
    <w:rsid w:val="00843894"/>
    <w:rsid w:val="00843EC0"/>
    <w:rsid w:val="00844022"/>
    <w:rsid w:val="00844110"/>
    <w:rsid w:val="00844C1B"/>
    <w:rsid w:val="00844CC8"/>
    <w:rsid w:val="00844CDE"/>
    <w:rsid w:val="008453D9"/>
    <w:rsid w:val="008457CD"/>
    <w:rsid w:val="008457D9"/>
    <w:rsid w:val="00845D6E"/>
    <w:rsid w:val="008460FA"/>
    <w:rsid w:val="00846181"/>
    <w:rsid w:val="00846459"/>
    <w:rsid w:val="0084648F"/>
    <w:rsid w:val="00846A9A"/>
    <w:rsid w:val="00846C58"/>
    <w:rsid w:val="00846E21"/>
    <w:rsid w:val="00846F33"/>
    <w:rsid w:val="00846F53"/>
    <w:rsid w:val="008477C1"/>
    <w:rsid w:val="00847E96"/>
    <w:rsid w:val="0085058F"/>
    <w:rsid w:val="00850777"/>
    <w:rsid w:val="00850837"/>
    <w:rsid w:val="00850961"/>
    <w:rsid w:val="008509AA"/>
    <w:rsid w:val="008509B0"/>
    <w:rsid w:val="00850B10"/>
    <w:rsid w:val="00850E41"/>
    <w:rsid w:val="00851399"/>
    <w:rsid w:val="008513CC"/>
    <w:rsid w:val="0085161A"/>
    <w:rsid w:val="008516FE"/>
    <w:rsid w:val="00851932"/>
    <w:rsid w:val="00851D14"/>
    <w:rsid w:val="00851F23"/>
    <w:rsid w:val="00852341"/>
    <w:rsid w:val="00852565"/>
    <w:rsid w:val="00852764"/>
    <w:rsid w:val="00852D8E"/>
    <w:rsid w:val="0085326D"/>
    <w:rsid w:val="008535A8"/>
    <w:rsid w:val="008537E8"/>
    <w:rsid w:val="00853898"/>
    <w:rsid w:val="00853E96"/>
    <w:rsid w:val="00853F19"/>
    <w:rsid w:val="00853F73"/>
    <w:rsid w:val="00853FD8"/>
    <w:rsid w:val="008540B3"/>
    <w:rsid w:val="00854272"/>
    <w:rsid w:val="00854330"/>
    <w:rsid w:val="00854603"/>
    <w:rsid w:val="0085490A"/>
    <w:rsid w:val="00855272"/>
    <w:rsid w:val="00855AB6"/>
    <w:rsid w:val="00855D5E"/>
    <w:rsid w:val="00855F2B"/>
    <w:rsid w:val="0085644B"/>
    <w:rsid w:val="008565E6"/>
    <w:rsid w:val="00856638"/>
    <w:rsid w:val="00856720"/>
    <w:rsid w:val="00856770"/>
    <w:rsid w:val="00856851"/>
    <w:rsid w:val="008569F2"/>
    <w:rsid w:val="00856A72"/>
    <w:rsid w:val="00856B0D"/>
    <w:rsid w:val="008574B9"/>
    <w:rsid w:val="0085754A"/>
    <w:rsid w:val="008575D2"/>
    <w:rsid w:val="00857642"/>
    <w:rsid w:val="00857935"/>
    <w:rsid w:val="00857A08"/>
    <w:rsid w:val="00857E2E"/>
    <w:rsid w:val="00857F38"/>
    <w:rsid w:val="008601D4"/>
    <w:rsid w:val="008602B4"/>
    <w:rsid w:val="00860868"/>
    <w:rsid w:val="00860902"/>
    <w:rsid w:val="00860B07"/>
    <w:rsid w:val="00860D3E"/>
    <w:rsid w:val="0086105C"/>
    <w:rsid w:val="008613B6"/>
    <w:rsid w:val="00861497"/>
    <w:rsid w:val="0086172E"/>
    <w:rsid w:val="00861B2C"/>
    <w:rsid w:val="00861B42"/>
    <w:rsid w:val="00861D6A"/>
    <w:rsid w:val="00861E9B"/>
    <w:rsid w:val="00862203"/>
    <w:rsid w:val="00862412"/>
    <w:rsid w:val="008627D1"/>
    <w:rsid w:val="008629AF"/>
    <w:rsid w:val="00862BB5"/>
    <w:rsid w:val="00862C73"/>
    <w:rsid w:val="00862D44"/>
    <w:rsid w:val="00862D60"/>
    <w:rsid w:val="00862F34"/>
    <w:rsid w:val="008630F1"/>
    <w:rsid w:val="008632E4"/>
    <w:rsid w:val="00863899"/>
    <w:rsid w:val="008642B4"/>
    <w:rsid w:val="008646CB"/>
    <w:rsid w:val="008648A2"/>
    <w:rsid w:val="00864999"/>
    <w:rsid w:val="00864BDB"/>
    <w:rsid w:val="008653B8"/>
    <w:rsid w:val="0086540F"/>
    <w:rsid w:val="00865F18"/>
    <w:rsid w:val="00865FE4"/>
    <w:rsid w:val="00866100"/>
    <w:rsid w:val="0086658A"/>
    <w:rsid w:val="00866D23"/>
    <w:rsid w:val="00866E72"/>
    <w:rsid w:val="008670BB"/>
    <w:rsid w:val="00867146"/>
    <w:rsid w:val="00867449"/>
    <w:rsid w:val="00867670"/>
    <w:rsid w:val="00867F70"/>
    <w:rsid w:val="0087020F"/>
    <w:rsid w:val="00870211"/>
    <w:rsid w:val="0087061E"/>
    <w:rsid w:val="00870A38"/>
    <w:rsid w:val="00870D96"/>
    <w:rsid w:val="00871114"/>
    <w:rsid w:val="0087142C"/>
    <w:rsid w:val="00871927"/>
    <w:rsid w:val="00871CDB"/>
    <w:rsid w:val="00872085"/>
    <w:rsid w:val="008722BF"/>
    <w:rsid w:val="0087256D"/>
    <w:rsid w:val="008725D9"/>
    <w:rsid w:val="008727D5"/>
    <w:rsid w:val="00872B45"/>
    <w:rsid w:val="0087317E"/>
    <w:rsid w:val="008733F1"/>
    <w:rsid w:val="0087368B"/>
    <w:rsid w:val="008737EF"/>
    <w:rsid w:val="00873870"/>
    <w:rsid w:val="00873CA8"/>
    <w:rsid w:val="00873CD4"/>
    <w:rsid w:val="00874241"/>
    <w:rsid w:val="0087427A"/>
    <w:rsid w:val="0087433F"/>
    <w:rsid w:val="0087435C"/>
    <w:rsid w:val="00874401"/>
    <w:rsid w:val="00874728"/>
    <w:rsid w:val="008748DD"/>
    <w:rsid w:val="00874B18"/>
    <w:rsid w:val="00875114"/>
    <w:rsid w:val="00875195"/>
    <w:rsid w:val="0087520D"/>
    <w:rsid w:val="008756BB"/>
    <w:rsid w:val="00875A6A"/>
    <w:rsid w:val="00875BF3"/>
    <w:rsid w:val="00875CF2"/>
    <w:rsid w:val="00875D28"/>
    <w:rsid w:val="00875F42"/>
    <w:rsid w:val="00875F53"/>
    <w:rsid w:val="008761C6"/>
    <w:rsid w:val="008764CE"/>
    <w:rsid w:val="00876721"/>
    <w:rsid w:val="00876B2A"/>
    <w:rsid w:val="00876F65"/>
    <w:rsid w:val="00877291"/>
    <w:rsid w:val="008773E9"/>
    <w:rsid w:val="00877783"/>
    <w:rsid w:val="008777D2"/>
    <w:rsid w:val="008802E7"/>
    <w:rsid w:val="00880AA9"/>
    <w:rsid w:val="00881688"/>
    <w:rsid w:val="00881812"/>
    <w:rsid w:val="00881822"/>
    <w:rsid w:val="00881A6F"/>
    <w:rsid w:val="00881AB9"/>
    <w:rsid w:val="00881E81"/>
    <w:rsid w:val="00881E92"/>
    <w:rsid w:val="00881EBA"/>
    <w:rsid w:val="00881F3C"/>
    <w:rsid w:val="0088219B"/>
    <w:rsid w:val="0088241B"/>
    <w:rsid w:val="00882879"/>
    <w:rsid w:val="00882990"/>
    <w:rsid w:val="00882E5C"/>
    <w:rsid w:val="00882FE7"/>
    <w:rsid w:val="00883171"/>
    <w:rsid w:val="008834B2"/>
    <w:rsid w:val="00883C60"/>
    <w:rsid w:val="00884342"/>
    <w:rsid w:val="008843F8"/>
    <w:rsid w:val="008847E5"/>
    <w:rsid w:val="00884DC1"/>
    <w:rsid w:val="0088566D"/>
    <w:rsid w:val="0088573A"/>
    <w:rsid w:val="0088586E"/>
    <w:rsid w:val="00885BBF"/>
    <w:rsid w:val="00885E68"/>
    <w:rsid w:val="00885F50"/>
    <w:rsid w:val="008860FF"/>
    <w:rsid w:val="008867A5"/>
    <w:rsid w:val="0088697C"/>
    <w:rsid w:val="00886ABA"/>
    <w:rsid w:val="00886E84"/>
    <w:rsid w:val="008871D7"/>
    <w:rsid w:val="00887373"/>
    <w:rsid w:val="00887465"/>
    <w:rsid w:val="008874A9"/>
    <w:rsid w:val="00887500"/>
    <w:rsid w:val="008875EA"/>
    <w:rsid w:val="00887A5E"/>
    <w:rsid w:val="00890738"/>
    <w:rsid w:val="00890920"/>
    <w:rsid w:val="00890B4A"/>
    <w:rsid w:val="00890F74"/>
    <w:rsid w:val="008916BD"/>
    <w:rsid w:val="008918BD"/>
    <w:rsid w:val="00891EDD"/>
    <w:rsid w:val="00892331"/>
    <w:rsid w:val="00892535"/>
    <w:rsid w:val="008926B1"/>
    <w:rsid w:val="00892BF2"/>
    <w:rsid w:val="00892E6B"/>
    <w:rsid w:val="00892FAC"/>
    <w:rsid w:val="00892FF9"/>
    <w:rsid w:val="008935A6"/>
    <w:rsid w:val="00893738"/>
    <w:rsid w:val="0089375F"/>
    <w:rsid w:val="0089383B"/>
    <w:rsid w:val="008938B7"/>
    <w:rsid w:val="00893C04"/>
    <w:rsid w:val="00893C1E"/>
    <w:rsid w:val="00893DAA"/>
    <w:rsid w:val="00893E52"/>
    <w:rsid w:val="00893E71"/>
    <w:rsid w:val="00893FE7"/>
    <w:rsid w:val="00894080"/>
    <w:rsid w:val="00894121"/>
    <w:rsid w:val="008947C5"/>
    <w:rsid w:val="008952A4"/>
    <w:rsid w:val="0089560A"/>
    <w:rsid w:val="00895718"/>
    <w:rsid w:val="008957F2"/>
    <w:rsid w:val="00895806"/>
    <w:rsid w:val="0089580F"/>
    <w:rsid w:val="0089583B"/>
    <w:rsid w:val="00895976"/>
    <w:rsid w:val="00896073"/>
    <w:rsid w:val="0089628E"/>
    <w:rsid w:val="00896562"/>
    <w:rsid w:val="00896662"/>
    <w:rsid w:val="008968AE"/>
    <w:rsid w:val="00896947"/>
    <w:rsid w:val="008969B0"/>
    <w:rsid w:val="00896B02"/>
    <w:rsid w:val="00896B2C"/>
    <w:rsid w:val="00896E13"/>
    <w:rsid w:val="008972A2"/>
    <w:rsid w:val="00897417"/>
    <w:rsid w:val="00897437"/>
    <w:rsid w:val="00897588"/>
    <w:rsid w:val="008975A0"/>
    <w:rsid w:val="008976BB"/>
    <w:rsid w:val="00897B98"/>
    <w:rsid w:val="00897CBD"/>
    <w:rsid w:val="00897E16"/>
    <w:rsid w:val="008A019C"/>
    <w:rsid w:val="008A0C0D"/>
    <w:rsid w:val="008A0D08"/>
    <w:rsid w:val="008A0DD6"/>
    <w:rsid w:val="008A1334"/>
    <w:rsid w:val="008A13E1"/>
    <w:rsid w:val="008A19E7"/>
    <w:rsid w:val="008A1E23"/>
    <w:rsid w:val="008A20FE"/>
    <w:rsid w:val="008A2250"/>
    <w:rsid w:val="008A281D"/>
    <w:rsid w:val="008A2D48"/>
    <w:rsid w:val="008A2E1E"/>
    <w:rsid w:val="008A2EC1"/>
    <w:rsid w:val="008A303F"/>
    <w:rsid w:val="008A329D"/>
    <w:rsid w:val="008A34C0"/>
    <w:rsid w:val="008A34EB"/>
    <w:rsid w:val="008A35FD"/>
    <w:rsid w:val="008A36FC"/>
    <w:rsid w:val="008A3970"/>
    <w:rsid w:val="008A3B4A"/>
    <w:rsid w:val="008A44F4"/>
    <w:rsid w:val="008A44F6"/>
    <w:rsid w:val="008A476F"/>
    <w:rsid w:val="008A47DB"/>
    <w:rsid w:val="008A496B"/>
    <w:rsid w:val="008A4D05"/>
    <w:rsid w:val="008A4F3E"/>
    <w:rsid w:val="008A510E"/>
    <w:rsid w:val="008A52E3"/>
    <w:rsid w:val="008A5305"/>
    <w:rsid w:val="008A5384"/>
    <w:rsid w:val="008A57FF"/>
    <w:rsid w:val="008A5A55"/>
    <w:rsid w:val="008A5E04"/>
    <w:rsid w:val="008A5EC3"/>
    <w:rsid w:val="008A67F7"/>
    <w:rsid w:val="008A68EC"/>
    <w:rsid w:val="008A6A14"/>
    <w:rsid w:val="008A6AAF"/>
    <w:rsid w:val="008A6AC4"/>
    <w:rsid w:val="008A6D95"/>
    <w:rsid w:val="008A7310"/>
    <w:rsid w:val="008A74BD"/>
    <w:rsid w:val="008A7552"/>
    <w:rsid w:val="008A7C2F"/>
    <w:rsid w:val="008A7EAD"/>
    <w:rsid w:val="008A7EC8"/>
    <w:rsid w:val="008B020C"/>
    <w:rsid w:val="008B025A"/>
    <w:rsid w:val="008B0317"/>
    <w:rsid w:val="008B0953"/>
    <w:rsid w:val="008B09E5"/>
    <w:rsid w:val="008B0A9C"/>
    <w:rsid w:val="008B0CE3"/>
    <w:rsid w:val="008B0E34"/>
    <w:rsid w:val="008B100B"/>
    <w:rsid w:val="008B1628"/>
    <w:rsid w:val="008B193B"/>
    <w:rsid w:val="008B19F1"/>
    <w:rsid w:val="008B1BFF"/>
    <w:rsid w:val="008B1DB6"/>
    <w:rsid w:val="008B1E1B"/>
    <w:rsid w:val="008B2257"/>
    <w:rsid w:val="008B22A9"/>
    <w:rsid w:val="008B22CA"/>
    <w:rsid w:val="008B23FD"/>
    <w:rsid w:val="008B262F"/>
    <w:rsid w:val="008B28E6"/>
    <w:rsid w:val="008B2B3F"/>
    <w:rsid w:val="008B2D87"/>
    <w:rsid w:val="008B309B"/>
    <w:rsid w:val="008B3161"/>
    <w:rsid w:val="008B32D6"/>
    <w:rsid w:val="008B3564"/>
    <w:rsid w:val="008B37A2"/>
    <w:rsid w:val="008B38A3"/>
    <w:rsid w:val="008B3948"/>
    <w:rsid w:val="008B3D9B"/>
    <w:rsid w:val="008B41B6"/>
    <w:rsid w:val="008B462F"/>
    <w:rsid w:val="008B4AE6"/>
    <w:rsid w:val="008B4BD7"/>
    <w:rsid w:val="008B4CA0"/>
    <w:rsid w:val="008B4F0C"/>
    <w:rsid w:val="008B4F40"/>
    <w:rsid w:val="008B5516"/>
    <w:rsid w:val="008B5909"/>
    <w:rsid w:val="008B5D16"/>
    <w:rsid w:val="008B5E94"/>
    <w:rsid w:val="008B608F"/>
    <w:rsid w:val="008B61F1"/>
    <w:rsid w:val="008B65CF"/>
    <w:rsid w:val="008B675D"/>
    <w:rsid w:val="008B6A06"/>
    <w:rsid w:val="008B6BE3"/>
    <w:rsid w:val="008B6D72"/>
    <w:rsid w:val="008B6EC0"/>
    <w:rsid w:val="008B7777"/>
    <w:rsid w:val="008B7963"/>
    <w:rsid w:val="008B79C8"/>
    <w:rsid w:val="008B7AC8"/>
    <w:rsid w:val="008B7E64"/>
    <w:rsid w:val="008C0073"/>
    <w:rsid w:val="008C0545"/>
    <w:rsid w:val="008C079B"/>
    <w:rsid w:val="008C0BEA"/>
    <w:rsid w:val="008C0C5F"/>
    <w:rsid w:val="008C11A5"/>
    <w:rsid w:val="008C1294"/>
    <w:rsid w:val="008C1361"/>
    <w:rsid w:val="008C14A2"/>
    <w:rsid w:val="008C14DE"/>
    <w:rsid w:val="008C14FD"/>
    <w:rsid w:val="008C1586"/>
    <w:rsid w:val="008C15E8"/>
    <w:rsid w:val="008C1691"/>
    <w:rsid w:val="008C18A8"/>
    <w:rsid w:val="008C1A88"/>
    <w:rsid w:val="008C1BE0"/>
    <w:rsid w:val="008C1F30"/>
    <w:rsid w:val="008C21AA"/>
    <w:rsid w:val="008C234A"/>
    <w:rsid w:val="008C24AF"/>
    <w:rsid w:val="008C2720"/>
    <w:rsid w:val="008C2873"/>
    <w:rsid w:val="008C28AD"/>
    <w:rsid w:val="008C29B7"/>
    <w:rsid w:val="008C29C7"/>
    <w:rsid w:val="008C2C66"/>
    <w:rsid w:val="008C2D4E"/>
    <w:rsid w:val="008C2E1F"/>
    <w:rsid w:val="008C2F1A"/>
    <w:rsid w:val="008C30CE"/>
    <w:rsid w:val="008C3343"/>
    <w:rsid w:val="008C33C2"/>
    <w:rsid w:val="008C350D"/>
    <w:rsid w:val="008C359F"/>
    <w:rsid w:val="008C3A4D"/>
    <w:rsid w:val="008C3A80"/>
    <w:rsid w:val="008C3F0F"/>
    <w:rsid w:val="008C3F47"/>
    <w:rsid w:val="008C433D"/>
    <w:rsid w:val="008C488A"/>
    <w:rsid w:val="008C4A71"/>
    <w:rsid w:val="008C4AB6"/>
    <w:rsid w:val="008C4BF3"/>
    <w:rsid w:val="008C4D3C"/>
    <w:rsid w:val="008C4E0E"/>
    <w:rsid w:val="008C5003"/>
    <w:rsid w:val="008C5023"/>
    <w:rsid w:val="008C5373"/>
    <w:rsid w:val="008C544E"/>
    <w:rsid w:val="008C5471"/>
    <w:rsid w:val="008C561A"/>
    <w:rsid w:val="008C56B1"/>
    <w:rsid w:val="008C57B6"/>
    <w:rsid w:val="008C5D12"/>
    <w:rsid w:val="008C6771"/>
    <w:rsid w:val="008C6C01"/>
    <w:rsid w:val="008C6C2B"/>
    <w:rsid w:val="008C6C44"/>
    <w:rsid w:val="008C6FF0"/>
    <w:rsid w:val="008C7470"/>
    <w:rsid w:val="008C76A3"/>
    <w:rsid w:val="008C78C0"/>
    <w:rsid w:val="008D00DB"/>
    <w:rsid w:val="008D00FA"/>
    <w:rsid w:val="008D024B"/>
    <w:rsid w:val="008D07B3"/>
    <w:rsid w:val="008D0822"/>
    <w:rsid w:val="008D0A03"/>
    <w:rsid w:val="008D0ADB"/>
    <w:rsid w:val="008D0C9F"/>
    <w:rsid w:val="008D11B5"/>
    <w:rsid w:val="008D121D"/>
    <w:rsid w:val="008D1401"/>
    <w:rsid w:val="008D1593"/>
    <w:rsid w:val="008D165E"/>
    <w:rsid w:val="008D16B0"/>
    <w:rsid w:val="008D1C5E"/>
    <w:rsid w:val="008D1DA1"/>
    <w:rsid w:val="008D2176"/>
    <w:rsid w:val="008D22A5"/>
    <w:rsid w:val="008D234B"/>
    <w:rsid w:val="008D263A"/>
    <w:rsid w:val="008D296D"/>
    <w:rsid w:val="008D2A86"/>
    <w:rsid w:val="008D2CFE"/>
    <w:rsid w:val="008D2E9C"/>
    <w:rsid w:val="008D3089"/>
    <w:rsid w:val="008D318F"/>
    <w:rsid w:val="008D3292"/>
    <w:rsid w:val="008D34A1"/>
    <w:rsid w:val="008D3568"/>
    <w:rsid w:val="008D3941"/>
    <w:rsid w:val="008D39D7"/>
    <w:rsid w:val="008D3DD5"/>
    <w:rsid w:val="008D4057"/>
    <w:rsid w:val="008D409F"/>
    <w:rsid w:val="008D424C"/>
    <w:rsid w:val="008D4660"/>
    <w:rsid w:val="008D48DF"/>
    <w:rsid w:val="008D4A94"/>
    <w:rsid w:val="008D4C0C"/>
    <w:rsid w:val="008D4C3B"/>
    <w:rsid w:val="008D4CE3"/>
    <w:rsid w:val="008D5073"/>
    <w:rsid w:val="008D5411"/>
    <w:rsid w:val="008D54AB"/>
    <w:rsid w:val="008D585D"/>
    <w:rsid w:val="008D5FC0"/>
    <w:rsid w:val="008D5FCA"/>
    <w:rsid w:val="008D600A"/>
    <w:rsid w:val="008D67BA"/>
    <w:rsid w:val="008D684D"/>
    <w:rsid w:val="008D6D24"/>
    <w:rsid w:val="008D736C"/>
    <w:rsid w:val="008D7563"/>
    <w:rsid w:val="008E050E"/>
    <w:rsid w:val="008E0A84"/>
    <w:rsid w:val="008E0AE3"/>
    <w:rsid w:val="008E0B6C"/>
    <w:rsid w:val="008E0C44"/>
    <w:rsid w:val="008E0CB7"/>
    <w:rsid w:val="008E0CD4"/>
    <w:rsid w:val="008E1131"/>
    <w:rsid w:val="008E12FF"/>
    <w:rsid w:val="008E14CB"/>
    <w:rsid w:val="008E1594"/>
    <w:rsid w:val="008E1640"/>
    <w:rsid w:val="008E1892"/>
    <w:rsid w:val="008E1CBD"/>
    <w:rsid w:val="008E1F88"/>
    <w:rsid w:val="008E223F"/>
    <w:rsid w:val="008E237B"/>
    <w:rsid w:val="008E2425"/>
    <w:rsid w:val="008E2499"/>
    <w:rsid w:val="008E2F9F"/>
    <w:rsid w:val="008E2FDA"/>
    <w:rsid w:val="008E309F"/>
    <w:rsid w:val="008E3325"/>
    <w:rsid w:val="008E344B"/>
    <w:rsid w:val="008E3715"/>
    <w:rsid w:val="008E3D5B"/>
    <w:rsid w:val="008E3F02"/>
    <w:rsid w:val="008E4051"/>
    <w:rsid w:val="008E40B3"/>
    <w:rsid w:val="008E478B"/>
    <w:rsid w:val="008E47D3"/>
    <w:rsid w:val="008E4A95"/>
    <w:rsid w:val="008E4CBD"/>
    <w:rsid w:val="008E4D1B"/>
    <w:rsid w:val="008E4E6D"/>
    <w:rsid w:val="008E4F1F"/>
    <w:rsid w:val="008E5338"/>
    <w:rsid w:val="008E53D0"/>
    <w:rsid w:val="008E54EB"/>
    <w:rsid w:val="008E5628"/>
    <w:rsid w:val="008E56B0"/>
    <w:rsid w:val="008E56E0"/>
    <w:rsid w:val="008E5734"/>
    <w:rsid w:val="008E5855"/>
    <w:rsid w:val="008E596B"/>
    <w:rsid w:val="008E5BEF"/>
    <w:rsid w:val="008E617B"/>
    <w:rsid w:val="008E65CA"/>
    <w:rsid w:val="008E678E"/>
    <w:rsid w:val="008E6AAD"/>
    <w:rsid w:val="008E6D5C"/>
    <w:rsid w:val="008E6EDB"/>
    <w:rsid w:val="008E70EE"/>
    <w:rsid w:val="008E7102"/>
    <w:rsid w:val="008E71FB"/>
    <w:rsid w:val="008F0108"/>
    <w:rsid w:val="008F0170"/>
    <w:rsid w:val="008F01A3"/>
    <w:rsid w:val="008F03C0"/>
    <w:rsid w:val="008F04DD"/>
    <w:rsid w:val="008F0599"/>
    <w:rsid w:val="008F06BD"/>
    <w:rsid w:val="008F074E"/>
    <w:rsid w:val="008F083D"/>
    <w:rsid w:val="008F08FE"/>
    <w:rsid w:val="008F09A0"/>
    <w:rsid w:val="008F09A2"/>
    <w:rsid w:val="008F0E53"/>
    <w:rsid w:val="008F135F"/>
    <w:rsid w:val="008F137E"/>
    <w:rsid w:val="008F150A"/>
    <w:rsid w:val="008F1ABB"/>
    <w:rsid w:val="008F1BB8"/>
    <w:rsid w:val="008F1BC5"/>
    <w:rsid w:val="008F1C1B"/>
    <w:rsid w:val="008F1E99"/>
    <w:rsid w:val="008F2675"/>
    <w:rsid w:val="008F2769"/>
    <w:rsid w:val="008F2869"/>
    <w:rsid w:val="008F2FA2"/>
    <w:rsid w:val="008F36CD"/>
    <w:rsid w:val="008F374F"/>
    <w:rsid w:val="008F3C59"/>
    <w:rsid w:val="008F420A"/>
    <w:rsid w:val="008F4638"/>
    <w:rsid w:val="008F4D22"/>
    <w:rsid w:val="008F4E3F"/>
    <w:rsid w:val="008F4E66"/>
    <w:rsid w:val="008F505E"/>
    <w:rsid w:val="008F571B"/>
    <w:rsid w:val="008F5775"/>
    <w:rsid w:val="008F5965"/>
    <w:rsid w:val="008F5AE8"/>
    <w:rsid w:val="008F5B0C"/>
    <w:rsid w:val="008F5BB3"/>
    <w:rsid w:val="008F5C05"/>
    <w:rsid w:val="008F5CB8"/>
    <w:rsid w:val="008F6074"/>
    <w:rsid w:val="008F64BB"/>
    <w:rsid w:val="008F65CC"/>
    <w:rsid w:val="008F68CF"/>
    <w:rsid w:val="008F6F83"/>
    <w:rsid w:val="008F6FD9"/>
    <w:rsid w:val="008F7775"/>
    <w:rsid w:val="008F7BBB"/>
    <w:rsid w:val="008F7BD7"/>
    <w:rsid w:val="008F7ECA"/>
    <w:rsid w:val="008F7FA7"/>
    <w:rsid w:val="009004AB"/>
    <w:rsid w:val="0090065C"/>
    <w:rsid w:val="009006DE"/>
    <w:rsid w:val="00900849"/>
    <w:rsid w:val="00900BA1"/>
    <w:rsid w:val="00900CD1"/>
    <w:rsid w:val="00900D24"/>
    <w:rsid w:val="00900D55"/>
    <w:rsid w:val="009010BC"/>
    <w:rsid w:val="009018FB"/>
    <w:rsid w:val="00901920"/>
    <w:rsid w:val="00901A14"/>
    <w:rsid w:val="00901A9E"/>
    <w:rsid w:val="00901AA1"/>
    <w:rsid w:val="00901FBC"/>
    <w:rsid w:val="0090217A"/>
    <w:rsid w:val="00902187"/>
    <w:rsid w:val="00902365"/>
    <w:rsid w:val="0090305B"/>
    <w:rsid w:val="00903427"/>
    <w:rsid w:val="0090353F"/>
    <w:rsid w:val="009035B8"/>
    <w:rsid w:val="009036B8"/>
    <w:rsid w:val="009038AB"/>
    <w:rsid w:val="009039D2"/>
    <w:rsid w:val="00903A23"/>
    <w:rsid w:val="00903B59"/>
    <w:rsid w:val="00903B6F"/>
    <w:rsid w:val="00903DDE"/>
    <w:rsid w:val="00903E68"/>
    <w:rsid w:val="00903F08"/>
    <w:rsid w:val="00903F35"/>
    <w:rsid w:val="00904076"/>
    <w:rsid w:val="0090413E"/>
    <w:rsid w:val="00904211"/>
    <w:rsid w:val="009043EE"/>
    <w:rsid w:val="0090483F"/>
    <w:rsid w:val="0090489F"/>
    <w:rsid w:val="009048DF"/>
    <w:rsid w:val="00904AEB"/>
    <w:rsid w:val="00904BFC"/>
    <w:rsid w:val="00904ED9"/>
    <w:rsid w:val="009055AF"/>
    <w:rsid w:val="009057AE"/>
    <w:rsid w:val="0090581F"/>
    <w:rsid w:val="00905928"/>
    <w:rsid w:val="00905D19"/>
    <w:rsid w:val="00905D2D"/>
    <w:rsid w:val="00905E52"/>
    <w:rsid w:val="0090610A"/>
    <w:rsid w:val="009064FC"/>
    <w:rsid w:val="00906D0D"/>
    <w:rsid w:val="00906E04"/>
    <w:rsid w:val="00907182"/>
    <w:rsid w:val="0090752F"/>
    <w:rsid w:val="009075EE"/>
    <w:rsid w:val="00907923"/>
    <w:rsid w:val="00907FC8"/>
    <w:rsid w:val="009101B4"/>
    <w:rsid w:val="009102F3"/>
    <w:rsid w:val="0091072F"/>
    <w:rsid w:val="0091091B"/>
    <w:rsid w:val="00910B32"/>
    <w:rsid w:val="00910DB6"/>
    <w:rsid w:val="00910E3B"/>
    <w:rsid w:val="00910F64"/>
    <w:rsid w:val="009112E6"/>
    <w:rsid w:val="0091132F"/>
    <w:rsid w:val="00911410"/>
    <w:rsid w:val="0091151C"/>
    <w:rsid w:val="009116E7"/>
    <w:rsid w:val="00911D23"/>
    <w:rsid w:val="00911E66"/>
    <w:rsid w:val="00912342"/>
    <w:rsid w:val="00912693"/>
    <w:rsid w:val="009126E7"/>
    <w:rsid w:val="00912821"/>
    <w:rsid w:val="009129D5"/>
    <w:rsid w:val="00913623"/>
    <w:rsid w:val="009138F3"/>
    <w:rsid w:val="009141CE"/>
    <w:rsid w:val="00914934"/>
    <w:rsid w:val="00914935"/>
    <w:rsid w:val="00914D57"/>
    <w:rsid w:val="00914E86"/>
    <w:rsid w:val="00914EC6"/>
    <w:rsid w:val="00914FB0"/>
    <w:rsid w:val="009150A3"/>
    <w:rsid w:val="0091519E"/>
    <w:rsid w:val="00915974"/>
    <w:rsid w:val="00915D9B"/>
    <w:rsid w:val="00915F2F"/>
    <w:rsid w:val="0091604F"/>
    <w:rsid w:val="009163EC"/>
    <w:rsid w:val="009165E5"/>
    <w:rsid w:val="00916B16"/>
    <w:rsid w:val="009171EA"/>
    <w:rsid w:val="009172C7"/>
    <w:rsid w:val="009172D8"/>
    <w:rsid w:val="00917307"/>
    <w:rsid w:val="0091740E"/>
    <w:rsid w:val="00917846"/>
    <w:rsid w:val="00917A86"/>
    <w:rsid w:val="00917E6C"/>
    <w:rsid w:val="00917F54"/>
    <w:rsid w:val="00920255"/>
    <w:rsid w:val="0092038F"/>
    <w:rsid w:val="009207F6"/>
    <w:rsid w:val="00920C55"/>
    <w:rsid w:val="00920D39"/>
    <w:rsid w:val="00920D82"/>
    <w:rsid w:val="00920EBC"/>
    <w:rsid w:val="00920F23"/>
    <w:rsid w:val="009215DF"/>
    <w:rsid w:val="00922415"/>
    <w:rsid w:val="00922A76"/>
    <w:rsid w:val="00922ADA"/>
    <w:rsid w:val="00922B47"/>
    <w:rsid w:val="00922B8F"/>
    <w:rsid w:val="00922FE7"/>
    <w:rsid w:val="009233CC"/>
    <w:rsid w:val="00923CE5"/>
    <w:rsid w:val="00923DD3"/>
    <w:rsid w:val="00923E17"/>
    <w:rsid w:val="00923FB5"/>
    <w:rsid w:val="0092416B"/>
    <w:rsid w:val="009241DC"/>
    <w:rsid w:val="009244BC"/>
    <w:rsid w:val="009245D2"/>
    <w:rsid w:val="009245F9"/>
    <w:rsid w:val="009247A8"/>
    <w:rsid w:val="00924B3E"/>
    <w:rsid w:val="00925223"/>
    <w:rsid w:val="0092528B"/>
    <w:rsid w:val="009254B6"/>
    <w:rsid w:val="00925AC4"/>
    <w:rsid w:val="00925B5F"/>
    <w:rsid w:val="00925F34"/>
    <w:rsid w:val="0092613F"/>
    <w:rsid w:val="0092619C"/>
    <w:rsid w:val="00926352"/>
    <w:rsid w:val="009266FD"/>
    <w:rsid w:val="0092671A"/>
    <w:rsid w:val="0092694E"/>
    <w:rsid w:val="00926CA6"/>
    <w:rsid w:val="00926CA7"/>
    <w:rsid w:val="00926F87"/>
    <w:rsid w:val="0092721F"/>
    <w:rsid w:val="00927343"/>
    <w:rsid w:val="00927C61"/>
    <w:rsid w:val="00927D33"/>
    <w:rsid w:val="00930167"/>
    <w:rsid w:val="009301D0"/>
    <w:rsid w:val="00930601"/>
    <w:rsid w:val="00930820"/>
    <w:rsid w:val="009309D0"/>
    <w:rsid w:val="00930CC7"/>
    <w:rsid w:val="00931233"/>
    <w:rsid w:val="00931544"/>
    <w:rsid w:val="009315BD"/>
    <w:rsid w:val="00931656"/>
    <w:rsid w:val="009316F6"/>
    <w:rsid w:val="00931911"/>
    <w:rsid w:val="0093193E"/>
    <w:rsid w:val="00931AA3"/>
    <w:rsid w:val="00931B82"/>
    <w:rsid w:val="00931FD3"/>
    <w:rsid w:val="0093204F"/>
    <w:rsid w:val="0093222E"/>
    <w:rsid w:val="009324FC"/>
    <w:rsid w:val="00932536"/>
    <w:rsid w:val="00932AA5"/>
    <w:rsid w:val="00932CC1"/>
    <w:rsid w:val="0093325E"/>
    <w:rsid w:val="0093331D"/>
    <w:rsid w:val="00933669"/>
    <w:rsid w:val="009339A5"/>
    <w:rsid w:val="0093470F"/>
    <w:rsid w:val="009347C7"/>
    <w:rsid w:val="0093496C"/>
    <w:rsid w:val="00934EA2"/>
    <w:rsid w:val="009351FF"/>
    <w:rsid w:val="0093533B"/>
    <w:rsid w:val="0093545A"/>
    <w:rsid w:val="00935782"/>
    <w:rsid w:val="00935C78"/>
    <w:rsid w:val="009367E4"/>
    <w:rsid w:val="00936A6F"/>
    <w:rsid w:val="00936D90"/>
    <w:rsid w:val="00936DFD"/>
    <w:rsid w:val="00937527"/>
    <w:rsid w:val="009378BE"/>
    <w:rsid w:val="009400F3"/>
    <w:rsid w:val="00940295"/>
    <w:rsid w:val="0094061A"/>
    <w:rsid w:val="0094085F"/>
    <w:rsid w:val="00940DA8"/>
    <w:rsid w:val="00940F3F"/>
    <w:rsid w:val="00940FB8"/>
    <w:rsid w:val="00941084"/>
    <w:rsid w:val="0094147C"/>
    <w:rsid w:val="009414B1"/>
    <w:rsid w:val="009414C5"/>
    <w:rsid w:val="00941817"/>
    <w:rsid w:val="00941899"/>
    <w:rsid w:val="00941A12"/>
    <w:rsid w:val="00941B62"/>
    <w:rsid w:val="009422C8"/>
    <w:rsid w:val="009424AE"/>
    <w:rsid w:val="00942A21"/>
    <w:rsid w:val="00942AC7"/>
    <w:rsid w:val="00942B62"/>
    <w:rsid w:val="00943226"/>
    <w:rsid w:val="009432F9"/>
    <w:rsid w:val="00943380"/>
    <w:rsid w:val="009433F5"/>
    <w:rsid w:val="0094367C"/>
    <w:rsid w:val="0094390C"/>
    <w:rsid w:val="00943A36"/>
    <w:rsid w:val="00943AA4"/>
    <w:rsid w:val="00943B24"/>
    <w:rsid w:val="00944026"/>
    <w:rsid w:val="00944139"/>
    <w:rsid w:val="009442C6"/>
    <w:rsid w:val="00944680"/>
    <w:rsid w:val="00944977"/>
    <w:rsid w:val="00944EB9"/>
    <w:rsid w:val="00944FDF"/>
    <w:rsid w:val="00945279"/>
    <w:rsid w:val="00945880"/>
    <w:rsid w:val="00946507"/>
    <w:rsid w:val="00946509"/>
    <w:rsid w:val="00946568"/>
    <w:rsid w:val="0094677C"/>
    <w:rsid w:val="009468AD"/>
    <w:rsid w:val="00946D87"/>
    <w:rsid w:val="00946FD4"/>
    <w:rsid w:val="00947121"/>
    <w:rsid w:val="009472B2"/>
    <w:rsid w:val="009472EB"/>
    <w:rsid w:val="009475E5"/>
    <w:rsid w:val="0094762E"/>
    <w:rsid w:val="00947665"/>
    <w:rsid w:val="00950000"/>
    <w:rsid w:val="009500B1"/>
    <w:rsid w:val="009500C7"/>
    <w:rsid w:val="00950125"/>
    <w:rsid w:val="00950642"/>
    <w:rsid w:val="00950C35"/>
    <w:rsid w:val="00950DAB"/>
    <w:rsid w:val="00950E44"/>
    <w:rsid w:val="009511EF"/>
    <w:rsid w:val="0095167B"/>
    <w:rsid w:val="009517B8"/>
    <w:rsid w:val="0095191B"/>
    <w:rsid w:val="0095195C"/>
    <w:rsid w:val="00951B1C"/>
    <w:rsid w:val="009525FF"/>
    <w:rsid w:val="009526A7"/>
    <w:rsid w:val="0095280F"/>
    <w:rsid w:val="00952977"/>
    <w:rsid w:val="00952D16"/>
    <w:rsid w:val="0095309F"/>
    <w:rsid w:val="009530F6"/>
    <w:rsid w:val="009533B9"/>
    <w:rsid w:val="00953CDC"/>
    <w:rsid w:val="00953DCC"/>
    <w:rsid w:val="009540AE"/>
    <w:rsid w:val="00954372"/>
    <w:rsid w:val="00954B6D"/>
    <w:rsid w:val="00954C94"/>
    <w:rsid w:val="00954D4E"/>
    <w:rsid w:val="009550CC"/>
    <w:rsid w:val="00955422"/>
    <w:rsid w:val="00955484"/>
    <w:rsid w:val="009556E5"/>
    <w:rsid w:val="0095589E"/>
    <w:rsid w:val="00955BB8"/>
    <w:rsid w:val="00955CF1"/>
    <w:rsid w:val="00955D1F"/>
    <w:rsid w:val="00955F82"/>
    <w:rsid w:val="009560EE"/>
    <w:rsid w:val="009561E0"/>
    <w:rsid w:val="009565B2"/>
    <w:rsid w:val="00956696"/>
    <w:rsid w:val="009567A7"/>
    <w:rsid w:val="009567EE"/>
    <w:rsid w:val="00956A08"/>
    <w:rsid w:val="00956AE4"/>
    <w:rsid w:val="00956C50"/>
    <w:rsid w:val="00956C80"/>
    <w:rsid w:val="00956FB4"/>
    <w:rsid w:val="00957604"/>
    <w:rsid w:val="009576C0"/>
    <w:rsid w:val="00957975"/>
    <w:rsid w:val="00957C46"/>
    <w:rsid w:val="00957D4D"/>
    <w:rsid w:val="00957DE3"/>
    <w:rsid w:val="009605FF"/>
    <w:rsid w:val="00960886"/>
    <w:rsid w:val="00960AFD"/>
    <w:rsid w:val="00960B07"/>
    <w:rsid w:val="00960B8E"/>
    <w:rsid w:val="00960BA6"/>
    <w:rsid w:val="0096100C"/>
    <w:rsid w:val="00961193"/>
    <w:rsid w:val="0096121F"/>
    <w:rsid w:val="009612EE"/>
    <w:rsid w:val="00961945"/>
    <w:rsid w:val="00961B04"/>
    <w:rsid w:val="0096283D"/>
    <w:rsid w:val="00962B11"/>
    <w:rsid w:val="00962F1F"/>
    <w:rsid w:val="00962F4A"/>
    <w:rsid w:val="009630A6"/>
    <w:rsid w:val="009638AD"/>
    <w:rsid w:val="00963AE1"/>
    <w:rsid w:val="00963B5A"/>
    <w:rsid w:val="00963B71"/>
    <w:rsid w:val="00963C11"/>
    <w:rsid w:val="00963EA4"/>
    <w:rsid w:val="00964156"/>
    <w:rsid w:val="00964206"/>
    <w:rsid w:val="00964281"/>
    <w:rsid w:val="0096462D"/>
    <w:rsid w:val="0096494C"/>
    <w:rsid w:val="009649AF"/>
    <w:rsid w:val="00964EE2"/>
    <w:rsid w:val="00965018"/>
    <w:rsid w:val="0096505D"/>
    <w:rsid w:val="009651B8"/>
    <w:rsid w:val="00965518"/>
    <w:rsid w:val="009657D6"/>
    <w:rsid w:val="00965BC7"/>
    <w:rsid w:val="00965D81"/>
    <w:rsid w:val="00965F87"/>
    <w:rsid w:val="00966AA4"/>
    <w:rsid w:val="00966C5D"/>
    <w:rsid w:val="00966E19"/>
    <w:rsid w:val="009675D1"/>
    <w:rsid w:val="009675F9"/>
    <w:rsid w:val="00967883"/>
    <w:rsid w:val="00967B23"/>
    <w:rsid w:val="00967B6B"/>
    <w:rsid w:val="00967D6D"/>
    <w:rsid w:val="009700FD"/>
    <w:rsid w:val="009702A6"/>
    <w:rsid w:val="00970344"/>
    <w:rsid w:val="00970382"/>
    <w:rsid w:val="00970432"/>
    <w:rsid w:val="00970560"/>
    <w:rsid w:val="009706B9"/>
    <w:rsid w:val="00970845"/>
    <w:rsid w:val="00970A20"/>
    <w:rsid w:val="00970BF9"/>
    <w:rsid w:val="00970C28"/>
    <w:rsid w:val="00970FFA"/>
    <w:rsid w:val="00971261"/>
    <w:rsid w:val="00971720"/>
    <w:rsid w:val="009719C9"/>
    <w:rsid w:val="00971E66"/>
    <w:rsid w:val="0097207A"/>
    <w:rsid w:val="00972090"/>
    <w:rsid w:val="00972461"/>
    <w:rsid w:val="009726EA"/>
    <w:rsid w:val="009726FA"/>
    <w:rsid w:val="0097276D"/>
    <w:rsid w:val="009729C1"/>
    <w:rsid w:val="009729F3"/>
    <w:rsid w:val="00972B8E"/>
    <w:rsid w:val="00972D76"/>
    <w:rsid w:val="00972DA9"/>
    <w:rsid w:val="00972E82"/>
    <w:rsid w:val="00972F6C"/>
    <w:rsid w:val="00973122"/>
    <w:rsid w:val="00973171"/>
    <w:rsid w:val="009733FF"/>
    <w:rsid w:val="009735F5"/>
    <w:rsid w:val="00974069"/>
    <w:rsid w:val="00974750"/>
    <w:rsid w:val="009748C0"/>
    <w:rsid w:val="00974C7B"/>
    <w:rsid w:val="00975167"/>
    <w:rsid w:val="009752FB"/>
    <w:rsid w:val="0097565C"/>
    <w:rsid w:val="0097599E"/>
    <w:rsid w:val="00975C30"/>
    <w:rsid w:val="00975D53"/>
    <w:rsid w:val="00975D90"/>
    <w:rsid w:val="009762E5"/>
    <w:rsid w:val="00976493"/>
    <w:rsid w:val="00976556"/>
    <w:rsid w:val="009769B2"/>
    <w:rsid w:val="00976CAF"/>
    <w:rsid w:val="00976D18"/>
    <w:rsid w:val="00976F2A"/>
    <w:rsid w:val="00977073"/>
    <w:rsid w:val="0097791A"/>
    <w:rsid w:val="00977CE7"/>
    <w:rsid w:val="00977D78"/>
    <w:rsid w:val="00977DF7"/>
    <w:rsid w:val="009806D6"/>
    <w:rsid w:val="0098082A"/>
    <w:rsid w:val="0098089D"/>
    <w:rsid w:val="00980940"/>
    <w:rsid w:val="00980B4D"/>
    <w:rsid w:val="009810ED"/>
    <w:rsid w:val="009816A3"/>
    <w:rsid w:val="0098195A"/>
    <w:rsid w:val="00981E12"/>
    <w:rsid w:val="00981FEA"/>
    <w:rsid w:val="0098210E"/>
    <w:rsid w:val="00982329"/>
    <w:rsid w:val="009823F5"/>
    <w:rsid w:val="00982985"/>
    <w:rsid w:val="00982D27"/>
    <w:rsid w:val="00982D4A"/>
    <w:rsid w:val="00983274"/>
    <w:rsid w:val="009836D0"/>
    <w:rsid w:val="00983AE4"/>
    <w:rsid w:val="00983AF2"/>
    <w:rsid w:val="00983BE1"/>
    <w:rsid w:val="00983E6C"/>
    <w:rsid w:val="00983F24"/>
    <w:rsid w:val="00983FE5"/>
    <w:rsid w:val="0098401F"/>
    <w:rsid w:val="00984060"/>
    <w:rsid w:val="00984112"/>
    <w:rsid w:val="0098420E"/>
    <w:rsid w:val="0098428E"/>
    <w:rsid w:val="009842D9"/>
    <w:rsid w:val="00984321"/>
    <w:rsid w:val="009848C3"/>
    <w:rsid w:val="00984A6A"/>
    <w:rsid w:val="00984B86"/>
    <w:rsid w:val="0098525F"/>
    <w:rsid w:val="00985278"/>
    <w:rsid w:val="00985305"/>
    <w:rsid w:val="00985587"/>
    <w:rsid w:val="00985EA9"/>
    <w:rsid w:val="00985EBD"/>
    <w:rsid w:val="00986102"/>
    <w:rsid w:val="0098612F"/>
    <w:rsid w:val="00986393"/>
    <w:rsid w:val="009865B9"/>
    <w:rsid w:val="0098674B"/>
    <w:rsid w:val="009867CA"/>
    <w:rsid w:val="0098687B"/>
    <w:rsid w:val="00986D1D"/>
    <w:rsid w:val="00986D41"/>
    <w:rsid w:val="00986E67"/>
    <w:rsid w:val="00987111"/>
    <w:rsid w:val="009874A5"/>
    <w:rsid w:val="00987504"/>
    <w:rsid w:val="00987551"/>
    <w:rsid w:val="00987952"/>
    <w:rsid w:val="009879FF"/>
    <w:rsid w:val="00987A1B"/>
    <w:rsid w:val="00987BE0"/>
    <w:rsid w:val="009900AE"/>
    <w:rsid w:val="00990103"/>
    <w:rsid w:val="00990141"/>
    <w:rsid w:val="009902ED"/>
    <w:rsid w:val="00990427"/>
    <w:rsid w:val="0099056A"/>
    <w:rsid w:val="0099092A"/>
    <w:rsid w:val="00990C79"/>
    <w:rsid w:val="00990CE1"/>
    <w:rsid w:val="00990EA7"/>
    <w:rsid w:val="009913A8"/>
    <w:rsid w:val="009913C5"/>
    <w:rsid w:val="009922FF"/>
    <w:rsid w:val="00992480"/>
    <w:rsid w:val="00992531"/>
    <w:rsid w:val="00992AB7"/>
    <w:rsid w:val="0099312E"/>
    <w:rsid w:val="009931A1"/>
    <w:rsid w:val="009931CE"/>
    <w:rsid w:val="009933FB"/>
    <w:rsid w:val="0099352C"/>
    <w:rsid w:val="0099357E"/>
    <w:rsid w:val="00993E5C"/>
    <w:rsid w:val="00993FF2"/>
    <w:rsid w:val="00994054"/>
    <w:rsid w:val="00994442"/>
    <w:rsid w:val="009944D5"/>
    <w:rsid w:val="0099487D"/>
    <w:rsid w:val="00994C21"/>
    <w:rsid w:val="00994D26"/>
    <w:rsid w:val="0099535B"/>
    <w:rsid w:val="0099581A"/>
    <w:rsid w:val="009959ED"/>
    <w:rsid w:val="00995CBC"/>
    <w:rsid w:val="00995E9B"/>
    <w:rsid w:val="009961D7"/>
    <w:rsid w:val="009963A2"/>
    <w:rsid w:val="00996611"/>
    <w:rsid w:val="0099676F"/>
    <w:rsid w:val="00996999"/>
    <w:rsid w:val="00996A03"/>
    <w:rsid w:val="00996B6A"/>
    <w:rsid w:val="00996B88"/>
    <w:rsid w:val="00996C9C"/>
    <w:rsid w:val="00996CEA"/>
    <w:rsid w:val="00996EF0"/>
    <w:rsid w:val="00997326"/>
    <w:rsid w:val="0099734F"/>
    <w:rsid w:val="00997423"/>
    <w:rsid w:val="009974E3"/>
    <w:rsid w:val="00997516"/>
    <w:rsid w:val="00997538"/>
    <w:rsid w:val="0099765C"/>
    <w:rsid w:val="009A01CE"/>
    <w:rsid w:val="009A0265"/>
    <w:rsid w:val="009A0383"/>
    <w:rsid w:val="009A0631"/>
    <w:rsid w:val="009A0C32"/>
    <w:rsid w:val="009A0D3C"/>
    <w:rsid w:val="009A0D7F"/>
    <w:rsid w:val="009A0E13"/>
    <w:rsid w:val="009A0F5F"/>
    <w:rsid w:val="009A0FBF"/>
    <w:rsid w:val="009A1322"/>
    <w:rsid w:val="009A17B5"/>
    <w:rsid w:val="009A1C7F"/>
    <w:rsid w:val="009A1E60"/>
    <w:rsid w:val="009A1EEE"/>
    <w:rsid w:val="009A20C8"/>
    <w:rsid w:val="009A2104"/>
    <w:rsid w:val="009A237E"/>
    <w:rsid w:val="009A2490"/>
    <w:rsid w:val="009A25E6"/>
    <w:rsid w:val="009A27F9"/>
    <w:rsid w:val="009A291D"/>
    <w:rsid w:val="009A2B2C"/>
    <w:rsid w:val="009A2B3B"/>
    <w:rsid w:val="009A2CB2"/>
    <w:rsid w:val="009A2EA1"/>
    <w:rsid w:val="009A2F85"/>
    <w:rsid w:val="009A30F2"/>
    <w:rsid w:val="009A3638"/>
    <w:rsid w:val="009A3956"/>
    <w:rsid w:val="009A39BA"/>
    <w:rsid w:val="009A3C54"/>
    <w:rsid w:val="009A3D36"/>
    <w:rsid w:val="009A3F95"/>
    <w:rsid w:val="009A4197"/>
    <w:rsid w:val="009A41FC"/>
    <w:rsid w:val="009A4278"/>
    <w:rsid w:val="009A449C"/>
    <w:rsid w:val="009A4972"/>
    <w:rsid w:val="009A4AD1"/>
    <w:rsid w:val="009A4F9B"/>
    <w:rsid w:val="009A50A6"/>
    <w:rsid w:val="009A50C4"/>
    <w:rsid w:val="009A5224"/>
    <w:rsid w:val="009A52AE"/>
    <w:rsid w:val="009A55DF"/>
    <w:rsid w:val="009A5680"/>
    <w:rsid w:val="009A56E2"/>
    <w:rsid w:val="009A58D3"/>
    <w:rsid w:val="009A5ABC"/>
    <w:rsid w:val="009A5AD0"/>
    <w:rsid w:val="009A5AED"/>
    <w:rsid w:val="009A5D30"/>
    <w:rsid w:val="009A5E1D"/>
    <w:rsid w:val="009A5E90"/>
    <w:rsid w:val="009A5EB8"/>
    <w:rsid w:val="009A68C1"/>
    <w:rsid w:val="009A6C38"/>
    <w:rsid w:val="009A6C8B"/>
    <w:rsid w:val="009A7253"/>
    <w:rsid w:val="009A73F1"/>
    <w:rsid w:val="009A7451"/>
    <w:rsid w:val="009A7550"/>
    <w:rsid w:val="009A7647"/>
    <w:rsid w:val="009A79F1"/>
    <w:rsid w:val="009A7D3F"/>
    <w:rsid w:val="009A7DFC"/>
    <w:rsid w:val="009A7FE5"/>
    <w:rsid w:val="009B0008"/>
    <w:rsid w:val="009B0565"/>
    <w:rsid w:val="009B0985"/>
    <w:rsid w:val="009B0AFF"/>
    <w:rsid w:val="009B0E1A"/>
    <w:rsid w:val="009B1157"/>
    <w:rsid w:val="009B140F"/>
    <w:rsid w:val="009B15CD"/>
    <w:rsid w:val="009B18E0"/>
    <w:rsid w:val="009B19BC"/>
    <w:rsid w:val="009B1CE8"/>
    <w:rsid w:val="009B1D2A"/>
    <w:rsid w:val="009B1D4F"/>
    <w:rsid w:val="009B1EFE"/>
    <w:rsid w:val="009B2411"/>
    <w:rsid w:val="009B29D0"/>
    <w:rsid w:val="009B2CC3"/>
    <w:rsid w:val="009B30B7"/>
    <w:rsid w:val="009B32E1"/>
    <w:rsid w:val="009B33C6"/>
    <w:rsid w:val="009B39A4"/>
    <w:rsid w:val="009B39DC"/>
    <w:rsid w:val="009B3B31"/>
    <w:rsid w:val="009B400D"/>
    <w:rsid w:val="009B455E"/>
    <w:rsid w:val="009B4810"/>
    <w:rsid w:val="009B4A18"/>
    <w:rsid w:val="009B4B04"/>
    <w:rsid w:val="009B4F3C"/>
    <w:rsid w:val="009B513B"/>
    <w:rsid w:val="009B52E3"/>
    <w:rsid w:val="009B535A"/>
    <w:rsid w:val="009B5465"/>
    <w:rsid w:val="009B5806"/>
    <w:rsid w:val="009B585C"/>
    <w:rsid w:val="009B587F"/>
    <w:rsid w:val="009B5A66"/>
    <w:rsid w:val="009B5D67"/>
    <w:rsid w:val="009B5EA3"/>
    <w:rsid w:val="009B5F36"/>
    <w:rsid w:val="009B61A5"/>
    <w:rsid w:val="009B6346"/>
    <w:rsid w:val="009B6648"/>
    <w:rsid w:val="009B680B"/>
    <w:rsid w:val="009B69AB"/>
    <w:rsid w:val="009B6D39"/>
    <w:rsid w:val="009B6EF2"/>
    <w:rsid w:val="009B71B8"/>
    <w:rsid w:val="009B7343"/>
    <w:rsid w:val="009B74FC"/>
    <w:rsid w:val="009B75E3"/>
    <w:rsid w:val="009B7B2C"/>
    <w:rsid w:val="009B7B36"/>
    <w:rsid w:val="009B7FF1"/>
    <w:rsid w:val="009C00E1"/>
    <w:rsid w:val="009C02CD"/>
    <w:rsid w:val="009C06A3"/>
    <w:rsid w:val="009C0792"/>
    <w:rsid w:val="009C07E4"/>
    <w:rsid w:val="009C099B"/>
    <w:rsid w:val="009C0A91"/>
    <w:rsid w:val="009C0CEE"/>
    <w:rsid w:val="009C0EB4"/>
    <w:rsid w:val="009C0EC2"/>
    <w:rsid w:val="009C11FF"/>
    <w:rsid w:val="009C1287"/>
    <w:rsid w:val="009C1704"/>
    <w:rsid w:val="009C1C19"/>
    <w:rsid w:val="009C1C37"/>
    <w:rsid w:val="009C1F6E"/>
    <w:rsid w:val="009C2092"/>
    <w:rsid w:val="009C2109"/>
    <w:rsid w:val="009C23D3"/>
    <w:rsid w:val="009C23F4"/>
    <w:rsid w:val="009C2410"/>
    <w:rsid w:val="009C241E"/>
    <w:rsid w:val="009C25C7"/>
    <w:rsid w:val="009C2852"/>
    <w:rsid w:val="009C2B0C"/>
    <w:rsid w:val="009C2BCB"/>
    <w:rsid w:val="009C2DA8"/>
    <w:rsid w:val="009C2DED"/>
    <w:rsid w:val="009C2EC8"/>
    <w:rsid w:val="009C2F90"/>
    <w:rsid w:val="009C314D"/>
    <w:rsid w:val="009C333A"/>
    <w:rsid w:val="009C3757"/>
    <w:rsid w:val="009C37C6"/>
    <w:rsid w:val="009C3854"/>
    <w:rsid w:val="009C38B7"/>
    <w:rsid w:val="009C3AD1"/>
    <w:rsid w:val="009C3CEC"/>
    <w:rsid w:val="009C3E4E"/>
    <w:rsid w:val="009C3EAE"/>
    <w:rsid w:val="009C3FBF"/>
    <w:rsid w:val="009C412C"/>
    <w:rsid w:val="009C45E7"/>
    <w:rsid w:val="009C4610"/>
    <w:rsid w:val="009C4710"/>
    <w:rsid w:val="009C479B"/>
    <w:rsid w:val="009C4B9D"/>
    <w:rsid w:val="009C4CB2"/>
    <w:rsid w:val="009C4CB7"/>
    <w:rsid w:val="009C4DB7"/>
    <w:rsid w:val="009C4E31"/>
    <w:rsid w:val="009C53D3"/>
    <w:rsid w:val="009C567D"/>
    <w:rsid w:val="009C5C60"/>
    <w:rsid w:val="009C5D7C"/>
    <w:rsid w:val="009C5DF6"/>
    <w:rsid w:val="009C5E7F"/>
    <w:rsid w:val="009C666B"/>
    <w:rsid w:val="009C6B4B"/>
    <w:rsid w:val="009C6C33"/>
    <w:rsid w:val="009C6C4C"/>
    <w:rsid w:val="009C6CE9"/>
    <w:rsid w:val="009C750B"/>
    <w:rsid w:val="009C7599"/>
    <w:rsid w:val="009C769E"/>
    <w:rsid w:val="009C7AD9"/>
    <w:rsid w:val="009C7B40"/>
    <w:rsid w:val="009C7DE0"/>
    <w:rsid w:val="009C7FD1"/>
    <w:rsid w:val="009D0072"/>
    <w:rsid w:val="009D0339"/>
    <w:rsid w:val="009D0516"/>
    <w:rsid w:val="009D0616"/>
    <w:rsid w:val="009D06AD"/>
    <w:rsid w:val="009D091C"/>
    <w:rsid w:val="009D0B98"/>
    <w:rsid w:val="009D0F4F"/>
    <w:rsid w:val="009D10B4"/>
    <w:rsid w:val="009D1376"/>
    <w:rsid w:val="009D149D"/>
    <w:rsid w:val="009D182B"/>
    <w:rsid w:val="009D1974"/>
    <w:rsid w:val="009D19D8"/>
    <w:rsid w:val="009D1B49"/>
    <w:rsid w:val="009D1CC6"/>
    <w:rsid w:val="009D1E16"/>
    <w:rsid w:val="009D243E"/>
    <w:rsid w:val="009D288E"/>
    <w:rsid w:val="009D2892"/>
    <w:rsid w:val="009D2984"/>
    <w:rsid w:val="009D2B01"/>
    <w:rsid w:val="009D2C9B"/>
    <w:rsid w:val="009D2D75"/>
    <w:rsid w:val="009D2F7D"/>
    <w:rsid w:val="009D2F91"/>
    <w:rsid w:val="009D320C"/>
    <w:rsid w:val="009D3249"/>
    <w:rsid w:val="009D33D8"/>
    <w:rsid w:val="009D3670"/>
    <w:rsid w:val="009D3A2A"/>
    <w:rsid w:val="009D3A90"/>
    <w:rsid w:val="009D3B14"/>
    <w:rsid w:val="009D3B48"/>
    <w:rsid w:val="009D3E41"/>
    <w:rsid w:val="009D3E81"/>
    <w:rsid w:val="009D4049"/>
    <w:rsid w:val="009D4310"/>
    <w:rsid w:val="009D442F"/>
    <w:rsid w:val="009D460E"/>
    <w:rsid w:val="009D48D9"/>
    <w:rsid w:val="009D4AA7"/>
    <w:rsid w:val="009D4EAB"/>
    <w:rsid w:val="009D4F9C"/>
    <w:rsid w:val="009D5170"/>
    <w:rsid w:val="009D5226"/>
    <w:rsid w:val="009D52B3"/>
    <w:rsid w:val="009D52D7"/>
    <w:rsid w:val="009D5630"/>
    <w:rsid w:val="009D579F"/>
    <w:rsid w:val="009D5A08"/>
    <w:rsid w:val="009D5E44"/>
    <w:rsid w:val="009D5F07"/>
    <w:rsid w:val="009D5F56"/>
    <w:rsid w:val="009D5FE0"/>
    <w:rsid w:val="009D6061"/>
    <w:rsid w:val="009D6290"/>
    <w:rsid w:val="009D63CC"/>
    <w:rsid w:val="009D6719"/>
    <w:rsid w:val="009D677D"/>
    <w:rsid w:val="009D6E1E"/>
    <w:rsid w:val="009D6E53"/>
    <w:rsid w:val="009D6E57"/>
    <w:rsid w:val="009D7188"/>
    <w:rsid w:val="009D7283"/>
    <w:rsid w:val="009D7297"/>
    <w:rsid w:val="009D743E"/>
    <w:rsid w:val="009D74F0"/>
    <w:rsid w:val="009D7537"/>
    <w:rsid w:val="009D77EB"/>
    <w:rsid w:val="009D7918"/>
    <w:rsid w:val="009D7BB9"/>
    <w:rsid w:val="009D7DD5"/>
    <w:rsid w:val="009D7E42"/>
    <w:rsid w:val="009D7EF2"/>
    <w:rsid w:val="009E0035"/>
    <w:rsid w:val="009E022A"/>
    <w:rsid w:val="009E02B4"/>
    <w:rsid w:val="009E043A"/>
    <w:rsid w:val="009E0730"/>
    <w:rsid w:val="009E0945"/>
    <w:rsid w:val="009E0AFC"/>
    <w:rsid w:val="009E0D7F"/>
    <w:rsid w:val="009E0EE5"/>
    <w:rsid w:val="009E1017"/>
    <w:rsid w:val="009E16C8"/>
    <w:rsid w:val="009E170D"/>
    <w:rsid w:val="009E194A"/>
    <w:rsid w:val="009E1D13"/>
    <w:rsid w:val="009E1EBF"/>
    <w:rsid w:val="009E1F25"/>
    <w:rsid w:val="009E220D"/>
    <w:rsid w:val="009E273E"/>
    <w:rsid w:val="009E2835"/>
    <w:rsid w:val="009E2882"/>
    <w:rsid w:val="009E2BE4"/>
    <w:rsid w:val="009E2BE9"/>
    <w:rsid w:val="009E2F24"/>
    <w:rsid w:val="009E33D7"/>
    <w:rsid w:val="009E3409"/>
    <w:rsid w:val="009E37DB"/>
    <w:rsid w:val="009E4089"/>
    <w:rsid w:val="009E44E8"/>
    <w:rsid w:val="009E459D"/>
    <w:rsid w:val="009E465F"/>
    <w:rsid w:val="009E470E"/>
    <w:rsid w:val="009E4B29"/>
    <w:rsid w:val="009E4D0B"/>
    <w:rsid w:val="009E5025"/>
    <w:rsid w:val="009E511B"/>
    <w:rsid w:val="009E51B7"/>
    <w:rsid w:val="009E5296"/>
    <w:rsid w:val="009E541A"/>
    <w:rsid w:val="009E5A09"/>
    <w:rsid w:val="009E5C64"/>
    <w:rsid w:val="009E5EE0"/>
    <w:rsid w:val="009E64DD"/>
    <w:rsid w:val="009E67F7"/>
    <w:rsid w:val="009E6983"/>
    <w:rsid w:val="009E6995"/>
    <w:rsid w:val="009E6A79"/>
    <w:rsid w:val="009E6BD1"/>
    <w:rsid w:val="009E6C54"/>
    <w:rsid w:val="009E6FE2"/>
    <w:rsid w:val="009E72A7"/>
    <w:rsid w:val="009E785A"/>
    <w:rsid w:val="009E7910"/>
    <w:rsid w:val="009E7B6A"/>
    <w:rsid w:val="009E7F2B"/>
    <w:rsid w:val="009F02E9"/>
    <w:rsid w:val="009F0399"/>
    <w:rsid w:val="009F0516"/>
    <w:rsid w:val="009F060F"/>
    <w:rsid w:val="009F0AC3"/>
    <w:rsid w:val="009F0D34"/>
    <w:rsid w:val="009F0F7B"/>
    <w:rsid w:val="009F15DE"/>
    <w:rsid w:val="009F1706"/>
    <w:rsid w:val="009F1C8E"/>
    <w:rsid w:val="009F1DE0"/>
    <w:rsid w:val="009F208B"/>
    <w:rsid w:val="009F21F8"/>
    <w:rsid w:val="009F2251"/>
    <w:rsid w:val="009F22A0"/>
    <w:rsid w:val="009F2471"/>
    <w:rsid w:val="009F2543"/>
    <w:rsid w:val="009F2706"/>
    <w:rsid w:val="009F2D2E"/>
    <w:rsid w:val="009F3092"/>
    <w:rsid w:val="009F3397"/>
    <w:rsid w:val="009F3487"/>
    <w:rsid w:val="009F37AF"/>
    <w:rsid w:val="009F3961"/>
    <w:rsid w:val="009F43D2"/>
    <w:rsid w:val="009F497A"/>
    <w:rsid w:val="009F4B2D"/>
    <w:rsid w:val="009F56E5"/>
    <w:rsid w:val="009F58BF"/>
    <w:rsid w:val="009F59AD"/>
    <w:rsid w:val="009F5DEC"/>
    <w:rsid w:val="009F5E94"/>
    <w:rsid w:val="009F5F12"/>
    <w:rsid w:val="009F6216"/>
    <w:rsid w:val="009F6907"/>
    <w:rsid w:val="009F69BE"/>
    <w:rsid w:val="009F69D0"/>
    <w:rsid w:val="009F6A35"/>
    <w:rsid w:val="009F6DB6"/>
    <w:rsid w:val="009F6F3F"/>
    <w:rsid w:val="009F714A"/>
    <w:rsid w:val="009F75E8"/>
    <w:rsid w:val="009F7B89"/>
    <w:rsid w:val="009F7D6E"/>
    <w:rsid w:val="00A00240"/>
    <w:rsid w:val="00A00336"/>
    <w:rsid w:val="00A00339"/>
    <w:rsid w:val="00A00957"/>
    <w:rsid w:val="00A00988"/>
    <w:rsid w:val="00A009D2"/>
    <w:rsid w:val="00A00AFB"/>
    <w:rsid w:val="00A00C39"/>
    <w:rsid w:val="00A00C7E"/>
    <w:rsid w:val="00A00CE8"/>
    <w:rsid w:val="00A00DE5"/>
    <w:rsid w:val="00A00EA7"/>
    <w:rsid w:val="00A00F62"/>
    <w:rsid w:val="00A01094"/>
    <w:rsid w:val="00A01143"/>
    <w:rsid w:val="00A01787"/>
    <w:rsid w:val="00A01809"/>
    <w:rsid w:val="00A01915"/>
    <w:rsid w:val="00A01B9F"/>
    <w:rsid w:val="00A01C1F"/>
    <w:rsid w:val="00A02066"/>
    <w:rsid w:val="00A02205"/>
    <w:rsid w:val="00A02324"/>
    <w:rsid w:val="00A0241A"/>
    <w:rsid w:val="00A025AF"/>
    <w:rsid w:val="00A026A8"/>
    <w:rsid w:val="00A028DF"/>
    <w:rsid w:val="00A02A0C"/>
    <w:rsid w:val="00A02E35"/>
    <w:rsid w:val="00A03105"/>
    <w:rsid w:val="00A03166"/>
    <w:rsid w:val="00A0316D"/>
    <w:rsid w:val="00A03442"/>
    <w:rsid w:val="00A0384C"/>
    <w:rsid w:val="00A038DA"/>
    <w:rsid w:val="00A03982"/>
    <w:rsid w:val="00A047E8"/>
    <w:rsid w:val="00A04890"/>
    <w:rsid w:val="00A04BA8"/>
    <w:rsid w:val="00A05260"/>
    <w:rsid w:val="00A0562E"/>
    <w:rsid w:val="00A05667"/>
    <w:rsid w:val="00A05B63"/>
    <w:rsid w:val="00A05C25"/>
    <w:rsid w:val="00A05DA9"/>
    <w:rsid w:val="00A060A2"/>
    <w:rsid w:val="00A0649E"/>
    <w:rsid w:val="00A065C5"/>
    <w:rsid w:val="00A06691"/>
    <w:rsid w:val="00A0669C"/>
    <w:rsid w:val="00A06C97"/>
    <w:rsid w:val="00A06D3A"/>
    <w:rsid w:val="00A06E9C"/>
    <w:rsid w:val="00A06EC4"/>
    <w:rsid w:val="00A06EE9"/>
    <w:rsid w:val="00A0717A"/>
    <w:rsid w:val="00A074AB"/>
    <w:rsid w:val="00A075FF"/>
    <w:rsid w:val="00A07746"/>
    <w:rsid w:val="00A07AD8"/>
    <w:rsid w:val="00A07B1F"/>
    <w:rsid w:val="00A07E79"/>
    <w:rsid w:val="00A07EC7"/>
    <w:rsid w:val="00A07F08"/>
    <w:rsid w:val="00A107CF"/>
    <w:rsid w:val="00A108F9"/>
    <w:rsid w:val="00A10B01"/>
    <w:rsid w:val="00A10CC0"/>
    <w:rsid w:val="00A10D49"/>
    <w:rsid w:val="00A10E62"/>
    <w:rsid w:val="00A111E7"/>
    <w:rsid w:val="00A11543"/>
    <w:rsid w:val="00A1171F"/>
    <w:rsid w:val="00A119E7"/>
    <w:rsid w:val="00A11A93"/>
    <w:rsid w:val="00A11F28"/>
    <w:rsid w:val="00A11F8C"/>
    <w:rsid w:val="00A1207D"/>
    <w:rsid w:val="00A121BE"/>
    <w:rsid w:val="00A12435"/>
    <w:rsid w:val="00A12732"/>
    <w:rsid w:val="00A1273D"/>
    <w:rsid w:val="00A12881"/>
    <w:rsid w:val="00A12AB2"/>
    <w:rsid w:val="00A12B63"/>
    <w:rsid w:val="00A12C1F"/>
    <w:rsid w:val="00A12CD5"/>
    <w:rsid w:val="00A12FD1"/>
    <w:rsid w:val="00A131EB"/>
    <w:rsid w:val="00A131F1"/>
    <w:rsid w:val="00A132B1"/>
    <w:rsid w:val="00A134ED"/>
    <w:rsid w:val="00A13747"/>
    <w:rsid w:val="00A13788"/>
    <w:rsid w:val="00A137AF"/>
    <w:rsid w:val="00A137BA"/>
    <w:rsid w:val="00A13D03"/>
    <w:rsid w:val="00A13DAD"/>
    <w:rsid w:val="00A14452"/>
    <w:rsid w:val="00A144ED"/>
    <w:rsid w:val="00A14612"/>
    <w:rsid w:val="00A14728"/>
    <w:rsid w:val="00A147AC"/>
    <w:rsid w:val="00A14AAA"/>
    <w:rsid w:val="00A14C2A"/>
    <w:rsid w:val="00A14C6B"/>
    <w:rsid w:val="00A14CA4"/>
    <w:rsid w:val="00A14CC9"/>
    <w:rsid w:val="00A14DA0"/>
    <w:rsid w:val="00A14DBB"/>
    <w:rsid w:val="00A153C9"/>
    <w:rsid w:val="00A15468"/>
    <w:rsid w:val="00A15694"/>
    <w:rsid w:val="00A15F11"/>
    <w:rsid w:val="00A15F13"/>
    <w:rsid w:val="00A16020"/>
    <w:rsid w:val="00A161C5"/>
    <w:rsid w:val="00A164D8"/>
    <w:rsid w:val="00A16521"/>
    <w:rsid w:val="00A16A76"/>
    <w:rsid w:val="00A170C8"/>
    <w:rsid w:val="00A170F0"/>
    <w:rsid w:val="00A17C4A"/>
    <w:rsid w:val="00A17DB0"/>
    <w:rsid w:val="00A17F02"/>
    <w:rsid w:val="00A202CE"/>
    <w:rsid w:val="00A2089C"/>
    <w:rsid w:val="00A20BFD"/>
    <w:rsid w:val="00A20E0D"/>
    <w:rsid w:val="00A2109E"/>
    <w:rsid w:val="00A2126A"/>
    <w:rsid w:val="00A21934"/>
    <w:rsid w:val="00A21947"/>
    <w:rsid w:val="00A21A06"/>
    <w:rsid w:val="00A21C66"/>
    <w:rsid w:val="00A22166"/>
    <w:rsid w:val="00A221D4"/>
    <w:rsid w:val="00A22261"/>
    <w:rsid w:val="00A223AD"/>
    <w:rsid w:val="00A2247C"/>
    <w:rsid w:val="00A22518"/>
    <w:rsid w:val="00A229E5"/>
    <w:rsid w:val="00A22DC7"/>
    <w:rsid w:val="00A22E80"/>
    <w:rsid w:val="00A22EC6"/>
    <w:rsid w:val="00A22F19"/>
    <w:rsid w:val="00A23313"/>
    <w:rsid w:val="00A2333B"/>
    <w:rsid w:val="00A2384B"/>
    <w:rsid w:val="00A23972"/>
    <w:rsid w:val="00A23D5C"/>
    <w:rsid w:val="00A23EC1"/>
    <w:rsid w:val="00A23EC6"/>
    <w:rsid w:val="00A24051"/>
    <w:rsid w:val="00A24378"/>
    <w:rsid w:val="00A245DA"/>
    <w:rsid w:val="00A24811"/>
    <w:rsid w:val="00A2489D"/>
    <w:rsid w:val="00A2499D"/>
    <w:rsid w:val="00A24A8E"/>
    <w:rsid w:val="00A24DB2"/>
    <w:rsid w:val="00A24FBB"/>
    <w:rsid w:val="00A251ED"/>
    <w:rsid w:val="00A2552F"/>
    <w:rsid w:val="00A25587"/>
    <w:rsid w:val="00A258CA"/>
    <w:rsid w:val="00A25A96"/>
    <w:rsid w:val="00A25AD6"/>
    <w:rsid w:val="00A25B93"/>
    <w:rsid w:val="00A25CC5"/>
    <w:rsid w:val="00A25F28"/>
    <w:rsid w:val="00A26151"/>
    <w:rsid w:val="00A2646F"/>
    <w:rsid w:val="00A26723"/>
    <w:rsid w:val="00A26931"/>
    <w:rsid w:val="00A26967"/>
    <w:rsid w:val="00A26C21"/>
    <w:rsid w:val="00A26F72"/>
    <w:rsid w:val="00A26F91"/>
    <w:rsid w:val="00A270DC"/>
    <w:rsid w:val="00A2710F"/>
    <w:rsid w:val="00A27A45"/>
    <w:rsid w:val="00A27C28"/>
    <w:rsid w:val="00A27F73"/>
    <w:rsid w:val="00A3023F"/>
    <w:rsid w:val="00A30572"/>
    <w:rsid w:val="00A3057F"/>
    <w:rsid w:val="00A30630"/>
    <w:rsid w:val="00A307C8"/>
    <w:rsid w:val="00A307EF"/>
    <w:rsid w:val="00A3082E"/>
    <w:rsid w:val="00A309D9"/>
    <w:rsid w:val="00A30A63"/>
    <w:rsid w:val="00A30C04"/>
    <w:rsid w:val="00A30F13"/>
    <w:rsid w:val="00A313B4"/>
    <w:rsid w:val="00A314B0"/>
    <w:rsid w:val="00A31807"/>
    <w:rsid w:val="00A31B1D"/>
    <w:rsid w:val="00A31B73"/>
    <w:rsid w:val="00A31BD4"/>
    <w:rsid w:val="00A31BD6"/>
    <w:rsid w:val="00A3204C"/>
    <w:rsid w:val="00A324BF"/>
    <w:rsid w:val="00A326EA"/>
    <w:rsid w:val="00A32747"/>
    <w:rsid w:val="00A32BE4"/>
    <w:rsid w:val="00A32CD3"/>
    <w:rsid w:val="00A32D5A"/>
    <w:rsid w:val="00A330AE"/>
    <w:rsid w:val="00A3336B"/>
    <w:rsid w:val="00A333C5"/>
    <w:rsid w:val="00A335BE"/>
    <w:rsid w:val="00A33681"/>
    <w:rsid w:val="00A33686"/>
    <w:rsid w:val="00A33798"/>
    <w:rsid w:val="00A337AF"/>
    <w:rsid w:val="00A33964"/>
    <w:rsid w:val="00A33C7B"/>
    <w:rsid w:val="00A33EB8"/>
    <w:rsid w:val="00A3433C"/>
    <w:rsid w:val="00A34761"/>
    <w:rsid w:val="00A347DE"/>
    <w:rsid w:val="00A347F6"/>
    <w:rsid w:val="00A3493A"/>
    <w:rsid w:val="00A34981"/>
    <w:rsid w:val="00A34C8A"/>
    <w:rsid w:val="00A34E0B"/>
    <w:rsid w:val="00A35070"/>
    <w:rsid w:val="00A3526F"/>
    <w:rsid w:val="00A35516"/>
    <w:rsid w:val="00A355EA"/>
    <w:rsid w:val="00A35DD3"/>
    <w:rsid w:val="00A35F49"/>
    <w:rsid w:val="00A36101"/>
    <w:rsid w:val="00A3611F"/>
    <w:rsid w:val="00A362DE"/>
    <w:rsid w:val="00A364EC"/>
    <w:rsid w:val="00A368C3"/>
    <w:rsid w:val="00A36A8C"/>
    <w:rsid w:val="00A36AFA"/>
    <w:rsid w:val="00A36DA4"/>
    <w:rsid w:val="00A37620"/>
    <w:rsid w:val="00A3775F"/>
    <w:rsid w:val="00A378B9"/>
    <w:rsid w:val="00A3793D"/>
    <w:rsid w:val="00A40061"/>
    <w:rsid w:val="00A40065"/>
    <w:rsid w:val="00A4056F"/>
    <w:rsid w:val="00A40785"/>
    <w:rsid w:val="00A40986"/>
    <w:rsid w:val="00A413D6"/>
    <w:rsid w:val="00A414B7"/>
    <w:rsid w:val="00A41AB5"/>
    <w:rsid w:val="00A41F57"/>
    <w:rsid w:val="00A42070"/>
    <w:rsid w:val="00A421AD"/>
    <w:rsid w:val="00A42393"/>
    <w:rsid w:val="00A4263A"/>
    <w:rsid w:val="00A42673"/>
    <w:rsid w:val="00A42B8A"/>
    <w:rsid w:val="00A431BF"/>
    <w:rsid w:val="00A434C4"/>
    <w:rsid w:val="00A436AC"/>
    <w:rsid w:val="00A436FF"/>
    <w:rsid w:val="00A438AF"/>
    <w:rsid w:val="00A4396C"/>
    <w:rsid w:val="00A43C11"/>
    <w:rsid w:val="00A442F2"/>
    <w:rsid w:val="00A44DC4"/>
    <w:rsid w:val="00A44EE3"/>
    <w:rsid w:val="00A452B2"/>
    <w:rsid w:val="00A45784"/>
    <w:rsid w:val="00A45A55"/>
    <w:rsid w:val="00A45B84"/>
    <w:rsid w:val="00A45F1A"/>
    <w:rsid w:val="00A45F27"/>
    <w:rsid w:val="00A4638E"/>
    <w:rsid w:val="00A469CD"/>
    <w:rsid w:val="00A46A4A"/>
    <w:rsid w:val="00A47263"/>
    <w:rsid w:val="00A47459"/>
    <w:rsid w:val="00A50088"/>
    <w:rsid w:val="00A5032F"/>
    <w:rsid w:val="00A50374"/>
    <w:rsid w:val="00A50676"/>
    <w:rsid w:val="00A50DB4"/>
    <w:rsid w:val="00A50E95"/>
    <w:rsid w:val="00A51045"/>
    <w:rsid w:val="00A511D9"/>
    <w:rsid w:val="00A513DD"/>
    <w:rsid w:val="00A514AB"/>
    <w:rsid w:val="00A514D3"/>
    <w:rsid w:val="00A517F5"/>
    <w:rsid w:val="00A518B9"/>
    <w:rsid w:val="00A51968"/>
    <w:rsid w:val="00A51D03"/>
    <w:rsid w:val="00A51ED9"/>
    <w:rsid w:val="00A52487"/>
    <w:rsid w:val="00A52861"/>
    <w:rsid w:val="00A52C64"/>
    <w:rsid w:val="00A52CE2"/>
    <w:rsid w:val="00A52D91"/>
    <w:rsid w:val="00A52DEE"/>
    <w:rsid w:val="00A52FA8"/>
    <w:rsid w:val="00A53154"/>
    <w:rsid w:val="00A531B8"/>
    <w:rsid w:val="00A532D6"/>
    <w:rsid w:val="00A533A0"/>
    <w:rsid w:val="00A535B1"/>
    <w:rsid w:val="00A5418B"/>
    <w:rsid w:val="00A54424"/>
    <w:rsid w:val="00A544DB"/>
    <w:rsid w:val="00A54811"/>
    <w:rsid w:val="00A5484B"/>
    <w:rsid w:val="00A54991"/>
    <w:rsid w:val="00A54BE2"/>
    <w:rsid w:val="00A55043"/>
    <w:rsid w:val="00A5523C"/>
    <w:rsid w:val="00A55241"/>
    <w:rsid w:val="00A553AE"/>
    <w:rsid w:val="00A55629"/>
    <w:rsid w:val="00A5575F"/>
    <w:rsid w:val="00A558A6"/>
    <w:rsid w:val="00A55916"/>
    <w:rsid w:val="00A55B68"/>
    <w:rsid w:val="00A55C8E"/>
    <w:rsid w:val="00A55CBE"/>
    <w:rsid w:val="00A55D55"/>
    <w:rsid w:val="00A55FF8"/>
    <w:rsid w:val="00A560E1"/>
    <w:rsid w:val="00A5624A"/>
    <w:rsid w:val="00A5632C"/>
    <w:rsid w:val="00A567BA"/>
    <w:rsid w:val="00A56A0D"/>
    <w:rsid w:val="00A56A49"/>
    <w:rsid w:val="00A56AC6"/>
    <w:rsid w:val="00A56B33"/>
    <w:rsid w:val="00A56D2C"/>
    <w:rsid w:val="00A56EE7"/>
    <w:rsid w:val="00A56FC0"/>
    <w:rsid w:val="00A571BD"/>
    <w:rsid w:val="00A57321"/>
    <w:rsid w:val="00A57A72"/>
    <w:rsid w:val="00A57B93"/>
    <w:rsid w:val="00A57EAA"/>
    <w:rsid w:val="00A57EF5"/>
    <w:rsid w:val="00A600BC"/>
    <w:rsid w:val="00A602FD"/>
    <w:rsid w:val="00A6032C"/>
    <w:rsid w:val="00A60AFF"/>
    <w:rsid w:val="00A60C4E"/>
    <w:rsid w:val="00A60DD4"/>
    <w:rsid w:val="00A60E4F"/>
    <w:rsid w:val="00A612F5"/>
    <w:rsid w:val="00A614EA"/>
    <w:rsid w:val="00A6172F"/>
    <w:rsid w:val="00A61B39"/>
    <w:rsid w:val="00A61E81"/>
    <w:rsid w:val="00A6222B"/>
    <w:rsid w:val="00A624EA"/>
    <w:rsid w:val="00A62814"/>
    <w:rsid w:val="00A62EB3"/>
    <w:rsid w:val="00A6312B"/>
    <w:rsid w:val="00A633AA"/>
    <w:rsid w:val="00A635EF"/>
    <w:rsid w:val="00A637BC"/>
    <w:rsid w:val="00A63B9C"/>
    <w:rsid w:val="00A63D37"/>
    <w:rsid w:val="00A63DC2"/>
    <w:rsid w:val="00A64081"/>
    <w:rsid w:val="00A64128"/>
    <w:rsid w:val="00A64140"/>
    <w:rsid w:val="00A6426B"/>
    <w:rsid w:val="00A64451"/>
    <w:rsid w:val="00A646E1"/>
    <w:rsid w:val="00A64774"/>
    <w:rsid w:val="00A649AD"/>
    <w:rsid w:val="00A64B68"/>
    <w:rsid w:val="00A64D17"/>
    <w:rsid w:val="00A64DCF"/>
    <w:rsid w:val="00A64E50"/>
    <w:rsid w:val="00A64FC4"/>
    <w:rsid w:val="00A64FF9"/>
    <w:rsid w:val="00A65193"/>
    <w:rsid w:val="00A65516"/>
    <w:rsid w:val="00A659FA"/>
    <w:rsid w:val="00A65BC3"/>
    <w:rsid w:val="00A65D73"/>
    <w:rsid w:val="00A65E2B"/>
    <w:rsid w:val="00A66020"/>
    <w:rsid w:val="00A6634D"/>
    <w:rsid w:val="00A667C5"/>
    <w:rsid w:val="00A66855"/>
    <w:rsid w:val="00A66A0C"/>
    <w:rsid w:val="00A66B13"/>
    <w:rsid w:val="00A66D05"/>
    <w:rsid w:val="00A66DC9"/>
    <w:rsid w:val="00A66E05"/>
    <w:rsid w:val="00A67B38"/>
    <w:rsid w:val="00A700DB"/>
    <w:rsid w:val="00A70391"/>
    <w:rsid w:val="00A709F2"/>
    <w:rsid w:val="00A70C66"/>
    <w:rsid w:val="00A70E8D"/>
    <w:rsid w:val="00A70FCE"/>
    <w:rsid w:val="00A710EB"/>
    <w:rsid w:val="00A712FE"/>
    <w:rsid w:val="00A71380"/>
    <w:rsid w:val="00A71837"/>
    <w:rsid w:val="00A71862"/>
    <w:rsid w:val="00A71A34"/>
    <w:rsid w:val="00A71AEE"/>
    <w:rsid w:val="00A71B42"/>
    <w:rsid w:val="00A71CCD"/>
    <w:rsid w:val="00A71F71"/>
    <w:rsid w:val="00A722DB"/>
    <w:rsid w:val="00A72F78"/>
    <w:rsid w:val="00A73246"/>
    <w:rsid w:val="00A73463"/>
    <w:rsid w:val="00A73B02"/>
    <w:rsid w:val="00A73E9D"/>
    <w:rsid w:val="00A740D0"/>
    <w:rsid w:val="00A740D3"/>
    <w:rsid w:val="00A7464D"/>
    <w:rsid w:val="00A74961"/>
    <w:rsid w:val="00A7498B"/>
    <w:rsid w:val="00A74B49"/>
    <w:rsid w:val="00A74C57"/>
    <w:rsid w:val="00A74D11"/>
    <w:rsid w:val="00A74F6B"/>
    <w:rsid w:val="00A75103"/>
    <w:rsid w:val="00A7542D"/>
    <w:rsid w:val="00A7559C"/>
    <w:rsid w:val="00A7567B"/>
    <w:rsid w:val="00A756BE"/>
    <w:rsid w:val="00A7584B"/>
    <w:rsid w:val="00A7587E"/>
    <w:rsid w:val="00A75A2E"/>
    <w:rsid w:val="00A75D58"/>
    <w:rsid w:val="00A75D71"/>
    <w:rsid w:val="00A75F32"/>
    <w:rsid w:val="00A76137"/>
    <w:rsid w:val="00A76724"/>
    <w:rsid w:val="00A76C3F"/>
    <w:rsid w:val="00A77232"/>
    <w:rsid w:val="00A778A3"/>
    <w:rsid w:val="00A77A5D"/>
    <w:rsid w:val="00A77E79"/>
    <w:rsid w:val="00A803EB"/>
    <w:rsid w:val="00A804DA"/>
    <w:rsid w:val="00A8065A"/>
    <w:rsid w:val="00A807F0"/>
    <w:rsid w:val="00A8089E"/>
    <w:rsid w:val="00A80CBA"/>
    <w:rsid w:val="00A80D85"/>
    <w:rsid w:val="00A80DF6"/>
    <w:rsid w:val="00A812E3"/>
    <w:rsid w:val="00A819F0"/>
    <w:rsid w:val="00A81AF7"/>
    <w:rsid w:val="00A81DA0"/>
    <w:rsid w:val="00A8211B"/>
    <w:rsid w:val="00A82174"/>
    <w:rsid w:val="00A821D8"/>
    <w:rsid w:val="00A8235E"/>
    <w:rsid w:val="00A82765"/>
    <w:rsid w:val="00A829D1"/>
    <w:rsid w:val="00A82C6D"/>
    <w:rsid w:val="00A830C4"/>
    <w:rsid w:val="00A8322A"/>
    <w:rsid w:val="00A83244"/>
    <w:rsid w:val="00A833B6"/>
    <w:rsid w:val="00A834D1"/>
    <w:rsid w:val="00A838E4"/>
    <w:rsid w:val="00A839F4"/>
    <w:rsid w:val="00A83A29"/>
    <w:rsid w:val="00A83C83"/>
    <w:rsid w:val="00A83E57"/>
    <w:rsid w:val="00A83F50"/>
    <w:rsid w:val="00A8400C"/>
    <w:rsid w:val="00A8416E"/>
    <w:rsid w:val="00A84BBD"/>
    <w:rsid w:val="00A84EC9"/>
    <w:rsid w:val="00A85192"/>
    <w:rsid w:val="00A854D8"/>
    <w:rsid w:val="00A8557E"/>
    <w:rsid w:val="00A85C1A"/>
    <w:rsid w:val="00A86092"/>
    <w:rsid w:val="00A864C7"/>
    <w:rsid w:val="00A864E9"/>
    <w:rsid w:val="00A866C3"/>
    <w:rsid w:val="00A868A6"/>
    <w:rsid w:val="00A868C8"/>
    <w:rsid w:val="00A86A3B"/>
    <w:rsid w:val="00A86C1C"/>
    <w:rsid w:val="00A86C48"/>
    <w:rsid w:val="00A86D98"/>
    <w:rsid w:val="00A86E28"/>
    <w:rsid w:val="00A87038"/>
    <w:rsid w:val="00A872E9"/>
    <w:rsid w:val="00A87700"/>
    <w:rsid w:val="00A87D9B"/>
    <w:rsid w:val="00A87DFA"/>
    <w:rsid w:val="00A87E29"/>
    <w:rsid w:val="00A9012C"/>
    <w:rsid w:val="00A902A8"/>
    <w:rsid w:val="00A90345"/>
    <w:rsid w:val="00A90610"/>
    <w:rsid w:val="00A907FC"/>
    <w:rsid w:val="00A90ACA"/>
    <w:rsid w:val="00A90CAC"/>
    <w:rsid w:val="00A91363"/>
    <w:rsid w:val="00A91850"/>
    <w:rsid w:val="00A91BF2"/>
    <w:rsid w:val="00A91F4B"/>
    <w:rsid w:val="00A9203C"/>
    <w:rsid w:val="00A92164"/>
    <w:rsid w:val="00A9267D"/>
    <w:rsid w:val="00A926AD"/>
    <w:rsid w:val="00A926D3"/>
    <w:rsid w:val="00A92877"/>
    <w:rsid w:val="00A92A33"/>
    <w:rsid w:val="00A931FF"/>
    <w:rsid w:val="00A935E5"/>
    <w:rsid w:val="00A93A8A"/>
    <w:rsid w:val="00A93F08"/>
    <w:rsid w:val="00A94012"/>
    <w:rsid w:val="00A94696"/>
    <w:rsid w:val="00A94952"/>
    <w:rsid w:val="00A94BCB"/>
    <w:rsid w:val="00A94E27"/>
    <w:rsid w:val="00A950F0"/>
    <w:rsid w:val="00A954CE"/>
    <w:rsid w:val="00A955B3"/>
    <w:rsid w:val="00A95701"/>
    <w:rsid w:val="00A95828"/>
    <w:rsid w:val="00A95BAA"/>
    <w:rsid w:val="00A95C42"/>
    <w:rsid w:val="00A95D3C"/>
    <w:rsid w:val="00A95D53"/>
    <w:rsid w:val="00A95E67"/>
    <w:rsid w:val="00A96123"/>
    <w:rsid w:val="00A96187"/>
    <w:rsid w:val="00A96216"/>
    <w:rsid w:val="00A964B1"/>
    <w:rsid w:val="00A968D2"/>
    <w:rsid w:val="00A969A1"/>
    <w:rsid w:val="00A96E54"/>
    <w:rsid w:val="00A9739E"/>
    <w:rsid w:val="00A974C8"/>
    <w:rsid w:val="00A9753E"/>
    <w:rsid w:val="00A9779C"/>
    <w:rsid w:val="00A97894"/>
    <w:rsid w:val="00A97C06"/>
    <w:rsid w:val="00A97E12"/>
    <w:rsid w:val="00A97EC4"/>
    <w:rsid w:val="00AA0037"/>
    <w:rsid w:val="00AA01CA"/>
    <w:rsid w:val="00AA033F"/>
    <w:rsid w:val="00AA034F"/>
    <w:rsid w:val="00AA0491"/>
    <w:rsid w:val="00AA062A"/>
    <w:rsid w:val="00AA0863"/>
    <w:rsid w:val="00AA0885"/>
    <w:rsid w:val="00AA0C23"/>
    <w:rsid w:val="00AA0F77"/>
    <w:rsid w:val="00AA0FAD"/>
    <w:rsid w:val="00AA1204"/>
    <w:rsid w:val="00AA156D"/>
    <w:rsid w:val="00AA15CB"/>
    <w:rsid w:val="00AA1A77"/>
    <w:rsid w:val="00AA1EF5"/>
    <w:rsid w:val="00AA2131"/>
    <w:rsid w:val="00AA2218"/>
    <w:rsid w:val="00AA2D0E"/>
    <w:rsid w:val="00AA30A6"/>
    <w:rsid w:val="00AA3245"/>
    <w:rsid w:val="00AA3608"/>
    <w:rsid w:val="00AA3616"/>
    <w:rsid w:val="00AA3793"/>
    <w:rsid w:val="00AA3967"/>
    <w:rsid w:val="00AA3ACB"/>
    <w:rsid w:val="00AA3DF6"/>
    <w:rsid w:val="00AA3EB7"/>
    <w:rsid w:val="00AA4162"/>
    <w:rsid w:val="00AA47CB"/>
    <w:rsid w:val="00AA493C"/>
    <w:rsid w:val="00AA4DE7"/>
    <w:rsid w:val="00AA522A"/>
    <w:rsid w:val="00AA5635"/>
    <w:rsid w:val="00AA5721"/>
    <w:rsid w:val="00AA5BFA"/>
    <w:rsid w:val="00AA5C63"/>
    <w:rsid w:val="00AA5D30"/>
    <w:rsid w:val="00AA6045"/>
    <w:rsid w:val="00AA62EF"/>
    <w:rsid w:val="00AA660D"/>
    <w:rsid w:val="00AA675D"/>
    <w:rsid w:val="00AA6892"/>
    <w:rsid w:val="00AA6EA9"/>
    <w:rsid w:val="00AA70B3"/>
    <w:rsid w:val="00AA7137"/>
    <w:rsid w:val="00AA7820"/>
    <w:rsid w:val="00AA7B39"/>
    <w:rsid w:val="00AA7C84"/>
    <w:rsid w:val="00AB001D"/>
    <w:rsid w:val="00AB011A"/>
    <w:rsid w:val="00AB0457"/>
    <w:rsid w:val="00AB04C2"/>
    <w:rsid w:val="00AB0514"/>
    <w:rsid w:val="00AB0626"/>
    <w:rsid w:val="00AB06AA"/>
    <w:rsid w:val="00AB0EEC"/>
    <w:rsid w:val="00AB0F77"/>
    <w:rsid w:val="00AB0F96"/>
    <w:rsid w:val="00AB165B"/>
    <w:rsid w:val="00AB16C7"/>
    <w:rsid w:val="00AB18EF"/>
    <w:rsid w:val="00AB1A06"/>
    <w:rsid w:val="00AB1B9E"/>
    <w:rsid w:val="00AB1D58"/>
    <w:rsid w:val="00AB20FB"/>
    <w:rsid w:val="00AB2866"/>
    <w:rsid w:val="00AB2BD5"/>
    <w:rsid w:val="00AB2C3C"/>
    <w:rsid w:val="00AB2CD2"/>
    <w:rsid w:val="00AB2CF4"/>
    <w:rsid w:val="00AB30A0"/>
    <w:rsid w:val="00AB311B"/>
    <w:rsid w:val="00AB3424"/>
    <w:rsid w:val="00AB3711"/>
    <w:rsid w:val="00AB3ECD"/>
    <w:rsid w:val="00AB3F5C"/>
    <w:rsid w:val="00AB43F1"/>
    <w:rsid w:val="00AB4734"/>
    <w:rsid w:val="00AB481E"/>
    <w:rsid w:val="00AB48EE"/>
    <w:rsid w:val="00AB48F7"/>
    <w:rsid w:val="00AB4A10"/>
    <w:rsid w:val="00AB4A4F"/>
    <w:rsid w:val="00AB4BB4"/>
    <w:rsid w:val="00AB5140"/>
    <w:rsid w:val="00AB532E"/>
    <w:rsid w:val="00AB534B"/>
    <w:rsid w:val="00AB534F"/>
    <w:rsid w:val="00AB5840"/>
    <w:rsid w:val="00AB5E7C"/>
    <w:rsid w:val="00AB640A"/>
    <w:rsid w:val="00AB681A"/>
    <w:rsid w:val="00AB68B0"/>
    <w:rsid w:val="00AB6C3E"/>
    <w:rsid w:val="00AB6CFA"/>
    <w:rsid w:val="00AB6DF4"/>
    <w:rsid w:val="00AB6E3F"/>
    <w:rsid w:val="00AB6E56"/>
    <w:rsid w:val="00AB7157"/>
    <w:rsid w:val="00AB7168"/>
    <w:rsid w:val="00AB726C"/>
    <w:rsid w:val="00AB78D5"/>
    <w:rsid w:val="00AB7F25"/>
    <w:rsid w:val="00AC0360"/>
    <w:rsid w:val="00AC0553"/>
    <w:rsid w:val="00AC0E78"/>
    <w:rsid w:val="00AC0EE0"/>
    <w:rsid w:val="00AC0FF3"/>
    <w:rsid w:val="00AC11E5"/>
    <w:rsid w:val="00AC139B"/>
    <w:rsid w:val="00AC14E8"/>
    <w:rsid w:val="00AC1929"/>
    <w:rsid w:val="00AC1CC1"/>
    <w:rsid w:val="00AC1CE2"/>
    <w:rsid w:val="00AC1DE7"/>
    <w:rsid w:val="00AC2126"/>
    <w:rsid w:val="00AC2454"/>
    <w:rsid w:val="00AC28C2"/>
    <w:rsid w:val="00AC2E36"/>
    <w:rsid w:val="00AC3062"/>
    <w:rsid w:val="00AC3235"/>
    <w:rsid w:val="00AC328A"/>
    <w:rsid w:val="00AC392B"/>
    <w:rsid w:val="00AC39B9"/>
    <w:rsid w:val="00AC3B5B"/>
    <w:rsid w:val="00AC41CD"/>
    <w:rsid w:val="00AC421A"/>
    <w:rsid w:val="00AC4506"/>
    <w:rsid w:val="00AC4915"/>
    <w:rsid w:val="00AC491B"/>
    <w:rsid w:val="00AC4CF5"/>
    <w:rsid w:val="00AC4DE7"/>
    <w:rsid w:val="00AC53A8"/>
    <w:rsid w:val="00AC546E"/>
    <w:rsid w:val="00AC5503"/>
    <w:rsid w:val="00AC56FF"/>
    <w:rsid w:val="00AC5E58"/>
    <w:rsid w:val="00AC6104"/>
    <w:rsid w:val="00AC6404"/>
    <w:rsid w:val="00AC658C"/>
    <w:rsid w:val="00AC6959"/>
    <w:rsid w:val="00AC6AA6"/>
    <w:rsid w:val="00AC6AE2"/>
    <w:rsid w:val="00AC6D1E"/>
    <w:rsid w:val="00AC6FB0"/>
    <w:rsid w:val="00AC70AA"/>
    <w:rsid w:val="00AC7241"/>
    <w:rsid w:val="00AC7247"/>
    <w:rsid w:val="00AC7AB1"/>
    <w:rsid w:val="00AC7C9F"/>
    <w:rsid w:val="00AC7CDE"/>
    <w:rsid w:val="00AC7D8B"/>
    <w:rsid w:val="00AC7E53"/>
    <w:rsid w:val="00AD019E"/>
    <w:rsid w:val="00AD0523"/>
    <w:rsid w:val="00AD0AA3"/>
    <w:rsid w:val="00AD101E"/>
    <w:rsid w:val="00AD11F5"/>
    <w:rsid w:val="00AD13A8"/>
    <w:rsid w:val="00AD1558"/>
    <w:rsid w:val="00AD15C7"/>
    <w:rsid w:val="00AD1639"/>
    <w:rsid w:val="00AD1AC9"/>
    <w:rsid w:val="00AD1C1B"/>
    <w:rsid w:val="00AD1EEE"/>
    <w:rsid w:val="00AD283D"/>
    <w:rsid w:val="00AD284F"/>
    <w:rsid w:val="00AD2A1B"/>
    <w:rsid w:val="00AD2B2B"/>
    <w:rsid w:val="00AD2C0F"/>
    <w:rsid w:val="00AD2CBD"/>
    <w:rsid w:val="00AD2F2A"/>
    <w:rsid w:val="00AD30B5"/>
    <w:rsid w:val="00AD3591"/>
    <w:rsid w:val="00AD37A7"/>
    <w:rsid w:val="00AD3B0C"/>
    <w:rsid w:val="00AD3BB1"/>
    <w:rsid w:val="00AD3FF0"/>
    <w:rsid w:val="00AD41FE"/>
    <w:rsid w:val="00AD4207"/>
    <w:rsid w:val="00AD429A"/>
    <w:rsid w:val="00AD4678"/>
    <w:rsid w:val="00AD46F9"/>
    <w:rsid w:val="00AD4774"/>
    <w:rsid w:val="00AD49B6"/>
    <w:rsid w:val="00AD4AE5"/>
    <w:rsid w:val="00AD4CC4"/>
    <w:rsid w:val="00AD50D8"/>
    <w:rsid w:val="00AD5307"/>
    <w:rsid w:val="00AD54D5"/>
    <w:rsid w:val="00AD569F"/>
    <w:rsid w:val="00AD57CF"/>
    <w:rsid w:val="00AD6485"/>
    <w:rsid w:val="00AD64D6"/>
    <w:rsid w:val="00AD69AA"/>
    <w:rsid w:val="00AD6A6C"/>
    <w:rsid w:val="00AD6A7A"/>
    <w:rsid w:val="00AD6B53"/>
    <w:rsid w:val="00AD6D2B"/>
    <w:rsid w:val="00AD6FAD"/>
    <w:rsid w:val="00AD6FF1"/>
    <w:rsid w:val="00AD712E"/>
    <w:rsid w:val="00AD7140"/>
    <w:rsid w:val="00AD7190"/>
    <w:rsid w:val="00AD7285"/>
    <w:rsid w:val="00AD77E3"/>
    <w:rsid w:val="00AD7C5E"/>
    <w:rsid w:val="00AD7CE6"/>
    <w:rsid w:val="00AD7D62"/>
    <w:rsid w:val="00AD7E0E"/>
    <w:rsid w:val="00AD7E37"/>
    <w:rsid w:val="00AD7F38"/>
    <w:rsid w:val="00AE01E4"/>
    <w:rsid w:val="00AE0221"/>
    <w:rsid w:val="00AE03AE"/>
    <w:rsid w:val="00AE099E"/>
    <w:rsid w:val="00AE09C2"/>
    <w:rsid w:val="00AE0AF3"/>
    <w:rsid w:val="00AE0B07"/>
    <w:rsid w:val="00AE0CC1"/>
    <w:rsid w:val="00AE0F51"/>
    <w:rsid w:val="00AE107A"/>
    <w:rsid w:val="00AE137A"/>
    <w:rsid w:val="00AE13B6"/>
    <w:rsid w:val="00AE153F"/>
    <w:rsid w:val="00AE1566"/>
    <w:rsid w:val="00AE15E7"/>
    <w:rsid w:val="00AE1876"/>
    <w:rsid w:val="00AE1F26"/>
    <w:rsid w:val="00AE22CC"/>
    <w:rsid w:val="00AE2728"/>
    <w:rsid w:val="00AE280A"/>
    <w:rsid w:val="00AE2886"/>
    <w:rsid w:val="00AE2B51"/>
    <w:rsid w:val="00AE2D3A"/>
    <w:rsid w:val="00AE32A2"/>
    <w:rsid w:val="00AE3416"/>
    <w:rsid w:val="00AE35D2"/>
    <w:rsid w:val="00AE39C3"/>
    <w:rsid w:val="00AE3B2A"/>
    <w:rsid w:val="00AE3BA9"/>
    <w:rsid w:val="00AE3EE3"/>
    <w:rsid w:val="00AE3F38"/>
    <w:rsid w:val="00AE3FC4"/>
    <w:rsid w:val="00AE435A"/>
    <w:rsid w:val="00AE43A0"/>
    <w:rsid w:val="00AE4B0B"/>
    <w:rsid w:val="00AE4E57"/>
    <w:rsid w:val="00AE51D9"/>
    <w:rsid w:val="00AE56BA"/>
    <w:rsid w:val="00AE58F9"/>
    <w:rsid w:val="00AE592D"/>
    <w:rsid w:val="00AE5B47"/>
    <w:rsid w:val="00AE6035"/>
    <w:rsid w:val="00AE657C"/>
    <w:rsid w:val="00AE65D5"/>
    <w:rsid w:val="00AE66A7"/>
    <w:rsid w:val="00AE66DD"/>
    <w:rsid w:val="00AE7075"/>
    <w:rsid w:val="00AE70D0"/>
    <w:rsid w:val="00AE71E8"/>
    <w:rsid w:val="00AE7330"/>
    <w:rsid w:val="00AE74E1"/>
    <w:rsid w:val="00AE7751"/>
    <w:rsid w:val="00AE7ACF"/>
    <w:rsid w:val="00AE7BC4"/>
    <w:rsid w:val="00AE7C43"/>
    <w:rsid w:val="00AF01E0"/>
    <w:rsid w:val="00AF0278"/>
    <w:rsid w:val="00AF0530"/>
    <w:rsid w:val="00AF05D5"/>
    <w:rsid w:val="00AF0D5C"/>
    <w:rsid w:val="00AF1033"/>
    <w:rsid w:val="00AF1417"/>
    <w:rsid w:val="00AF14CB"/>
    <w:rsid w:val="00AF1649"/>
    <w:rsid w:val="00AF1766"/>
    <w:rsid w:val="00AF1956"/>
    <w:rsid w:val="00AF1A90"/>
    <w:rsid w:val="00AF226D"/>
    <w:rsid w:val="00AF268E"/>
    <w:rsid w:val="00AF2704"/>
    <w:rsid w:val="00AF277D"/>
    <w:rsid w:val="00AF2DFE"/>
    <w:rsid w:val="00AF2EAD"/>
    <w:rsid w:val="00AF2FBB"/>
    <w:rsid w:val="00AF3216"/>
    <w:rsid w:val="00AF34EC"/>
    <w:rsid w:val="00AF35C2"/>
    <w:rsid w:val="00AF38F0"/>
    <w:rsid w:val="00AF3AB4"/>
    <w:rsid w:val="00AF40F5"/>
    <w:rsid w:val="00AF4121"/>
    <w:rsid w:val="00AF418E"/>
    <w:rsid w:val="00AF45BA"/>
    <w:rsid w:val="00AF4882"/>
    <w:rsid w:val="00AF4954"/>
    <w:rsid w:val="00AF557E"/>
    <w:rsid w:val="00AF580D"/>
    <w:rsid w:val="00AF595A"/>
    <w:rsid w:val="00AF5DFD"/>
    <w:rsid w:val="00AF5F6A"/>
    <w:rsid w:val="00AF6498"/>
    <w:rsid w:val="00AF6C53"/>
    <w:rsid w:val="00AF6F2C"/>
    <w:rsid w:val="00AF707E"/>
    <w:rsid w:val="00AF7225"/>
    <w:rsid w:val="00AF7972"/>
    <w:rsid w:val="00AF7CA4"/>
    <w:rsid w:val="00AF7D8C"/>
    <w:rsid w:val="00AF7E2F"/>
    <w:rsid w:val="00B00A02"/>
    <w:rsid w:val="00B01560"/>
    <w:rsid w:val="00B01E82"/>
    <w:rsid w:val="00B01EDF"/>
    <w:rsid w:val="00B0219E"/>
    <w:rsid w:val="00B0244E"/>
    <w:rsid w:val="00B0273D"/>
    <w:rsid w:val="00B02B7F"/>
    <w:rsid w:val="00B02D29"/>
    <w:rsid w:val="00B02F68"/>
    <w:rsid w:val="00B031FF"/>
    <w:rsid w:val="00B03400"/>
    <w:rsid w:val="00B03575"/>
    <w:rsid w:val="00B038C8"/>
    <w:rsid w:val="00B03C11"/>
    <w:rsid w:val="00B041EB"/>
    <w:rsid w:val="00B048D9"/>
    <w:rsid w:val="00B048F2"/>
    <w:rsid w:val="00B04D74"/>
    <w:rsid w:val="00B04E3C"/>
    <w:rsid w:val="00B050A3"/>
    <w:rsid w:val="00B052E0"/>
    <w:rsid w:val="00B0535A"/>
    <w:rsid w:val="00B055DF"/>
    <w:rsid w:val="00B05A6D"/>
    <w:rsid w:val="00B05CC1"/>
    <w:rsid w:val="00B05EAE"/>
    <w:rsid w:val="00B0635B"/>
    <w:rsid w:val="00B06792"/>
    <w:rsid w:val="00B069D1"/>
    <w:rsid w:val="00B06B4A"/>
    <w:rsid w:val="00B06B72"/>
    <w:rsid w:val="00B06BDA"/>
    <w:rsid w:val="00B06D62"/>
    <w:rsid w:val="00B06D6A"/>
    <w:rsid w:val="00B06DCF"/>
    <w:rsid w:val="00B07238"/>
    <w:rsid w:val="00B0743E"/>
    <w:rsid w:val="00B07881"/>
    <w:rsid w:val="00B07A81"/>
    <w:rsid w:val="00B07CA7"/>
    <w:rsid w:val="00B07E4F"/>
    <w:rsid w:val="00B07EE0"/>
    <w:rsid w:val="00B10327"/>
    <w:rsid w:val="00B10482"/>
    <w:rsid w:val="00B10529"/>
    <w:rsid w:val="00B10949"/>
    <w:rsid w:val="00B109AE"/>
    <w:rsid w:val="00B10AB7"/>
    <w:rsid w:val="00B10D33"/>
    <w:rsid w:val="00B1112C"/>
    <w:rsid w:val="00B117E0"/>
    <w:rsid w:val="00B11999"/>
    <w:rsid w:val="00B11C3A"/>
    <w:rsid w:val="00B11F67"/>
    <w:rsid w:val="00B12083"/>
    <w:rsid w:val="00B12341"/>
    <w:rsid w:val="00B1317A"/>
    <w:rsid w:val="00B13307"/>
    <w:rsid w:val="00B134A1"/>
    <w:rsid w:val="00B13861"/>
    <w:rsid w:val="00B13CB7"/>
    <w:rsid w:val="00B13D93"/>
    <w:rsid w:val="00B13DDF"/>
    <w:rsid w:val="00B14077"/>
    <w:rsid w:val="00B140E1"/>
    <w:rsid w:val="00B141F8"/>
    <w:rsid w:val="00B146B0"/>
    <w:rsid w:val="00B14811"/>
    <w:rsid w:val="00B148FE"/>
    <w:rsid w:val="00B14906"/>
    <w:rsid w:val="00B14A44"/>
    <w:rsid w:val="00B14BBE"/>
    <w:rsid w:val="00B14C37"/>
    <w:rsid w:val="00B14FAB"/>
    <w:rsid w:val="00B15157"/>
    <w:rsid w:val="00B151DC"/>
    <w:rsid w:val="00B152DD"/>
    <w:rsid w:val="00B15546"/>
    <w:rsid w:val="00B158AA"/>
    <w:rsid w:val="00B159E8"/>
    <w:rsid w:val="00B15A28"/>
    <w:rsid w:val="00B15AB4"/>
    <w:rsid w:val="00B167B7"/>
    <w:rsid w:val="00B1699D"/>
    <w:rsid w:val="00B16B4B"/>
    <w:rsid w:val="00B16D42"/>
    <w:rsid w:val="00B16F01"/>
    <w:rsid w:val="00B170EF"/>
    <w:rsid w:val="00B1712F"/>
    <w:rsid w:val="00B17208"/>
    <w:rsid w:val="00B175D8"/>
    <w:rsid w:val="00B17674"/>
    <w:rsid w:val="00B176B7"/>
    <w:rsid w:val="00B1779B"/>
    <w:rsid w:val="00B17923"/>
    <w:rsid w:val="00B17979"/>
    <w:rsid w:val="00B17EAD"/>
    <w:rsid w:val="00B17FA4"/>
    <w:rsid w:val="00B20073"/>
    <w:rsid w:val="00B20186"/>
    <w:rsid w:val="00B202EC"/>
    <w:rsid w:val="00B206C8"/>
    <w:rsid w:val="00B20ABC"/>
    <w:rsid w:val="00B20E60"/>
    <w:rsid w:val="00B20F1A"/>
    <w:rsid w:val="00B20F67"/>
    <w:rsid w:val="00B211CC"/>
    <w:rsid w:val="00B211D9"/>
    <w:rsid w:val="00B21459"/>
    <w:rsid w:val="00B21480"/>
    <w:rsid w:val="00B21554"/>
    <w:rsid w:val="00B21A25"/>
    <w:rsid w:val="00B21BFE"/>
    <w:rsid w:val="00B21DE9"/>
    <w:rsid w:val="00B22690"/>
    <w:rsid w:val="00B227B4"/>
    <w:rsid w:val="00B22849"/>
    <w:rsid w:val="00B228D6"/>
    <w:rsid w:val="00B22D3C"/>
    <w:rsid w:val="00B232A3"/>
    <w:rsid w:val="00B23756"/>
    <w:rsid w:val="00B23A22"/>
    <w:rsid w:val="00B23AC5"/>
    <w:rsid w:val="00B24082"/>
    <w:rsid w:val="00B2515A"/>
    <w:rsid w:val="00B2519F"/>
    <w:rsid w:val="00B25489"/>
    <w:rsid w:val="00B25691"/>
    <w:rsid w:val="00B25789"/>
    <w:rsid w:val="00B25907"/>
    <w:rsid w:val="00B25CDC"/>
    <w:rsid w:val="00B25D6B"/>
    <w:rsid w:val="00B25DD5"/>
    <w:rsid w:val="00B26312"/>
    <w:rsid w:val="00B2635F"/>
    <w:rsid w:val="00B265D7"/>
    <w:rsid w:val="00B26641"/>
    <w:rsid w:val="00B268DC"/>
    <w:rsid w:val="00B26BAC"/>
    <w:rsid w:val="00B26C61"/>
    <w:rsid w:val="00B26D1A"/>
    <w:rsid w:val="00B26D47"/>
    <w:rsid w:val="00B26E2E"/>
    <w:rsid w:val="00B27224"/>
    <w:rsid w:val="00B27241"/>
    <w:rsid w:val="00B2776C"/>
    <w:rsid w:val="00B27808"/>
    <w:rsid w:val="00B27A4D"/>
    <w:rsid w:val="00B27DF5"/>
    <w:rsid w:val="00B3026D"/>
    <w:rsid w:val="00B305BC"/>
    <w:rsid w:val="00B307B4"/>
    <w:rsid w:val="00B30859"/>
    <w:rsid w:val="00B30C64"/>
    <w:rsid w:val="00B31335"/>
    <w:rsid w:val="00B314CE"/>
    <w:rsid w:val="00B31573"/>
    <w:rsid w:val="00B3201F"/>
    <w:rsid w:val="00B32022"/>
    <w:rsid w:val="00B32640"/>
    <w:rsid w:val="00B328D2"/>
    <w:rsid w:val="00B32AC8"/>
    <w:rsid w:val="00B33426"/>
    <w:rsid w:val="00B33488"/>
    <w:rsid w:val="00B339F3"/>
    <w:rsid w:val="00B33A67"/>
    <w:rsid w:val="00B33D39"/>
    <w:rsid w:val="00B33EC9"/>
    <w:rsid w:val="00B33EF4"/>
    <w:rsid w:val="00B345BB"/>
    <w:rsid w:val="00B345E6"/>
    <w:rsid w:val="00B34932"/>
    <w:rsid w:val="00B34BA9"/>
    <w:rsid w:val="00B34C3C"/>
    <w:rsid w:val="00B34D65"/>
    <w:rsid w:val="00B34E2C"/>
    <w:rsid w:val="00B34F0D"/>
    <w:rsid w:val="00B3512F"/>
    <w:rsid w:val="00B35305"/>
    <w:rsid w:val="00B356F1"/>
    <w:rsid w:val="00B35833"/>
    <w:rsid w:val="00B35A59"/>
    <w:rsid w:val="00B35B4C"/>
    <w:rsid w:val="00B35CC6"/>
    <w:rsid w:val="00B35D9D"/>
    <w:rsid w:val="00B360EE"/>
    <w:rsid w:val="00B36107"/>
    <w:rsid w:val="00B361E7"/>
    <w:rsid w:val="00B36699"/>
    <w:rsid w:val="00B36B8C"/>
    <w:rsid w:val="00B36FCA"/>
    <w:rsid w:val="00B3709B"/>
    <w:rsid w:val="00B370D3"/>
    <w:rsid w:val="00B37218"/>
    <w:rsid w:val="00B372C2"/>
    <w:rsid w:val="00B37942"/>
    <w:rsid w:val="00B37B3F"/>
    <w:rsid w:val="00B37B86"/>
    <w:rsid w:val="00B37E7F"/>
    <w:rsid w:val="00B402ED"/>
    <w:rsid w:val="00B4073E"/>
    <w:rsid w:val="00B409ED"/>
    <w:rsid w:val="00B40A19"/>
    <w:rsid w:val="00B40D83"/>
    <w:rsid w:val="00B40E58"/>
    <w:rsid w:val="00B40F4F"/>
    <w:rsid w:val="00B411BC"/>
    <w:rsid w:val="00B41371"/>
    <w:rsid w:val="00B413E2"/>
    <w:rsid w:val="00B415DD"/>
    <w:rsid w:val="00B41947"/>
    <w:rsid w:val="00B41990"/>
    <w:rsid w:val="00B41E2B"/>
    <w:rsid w:val="00B42053"/>
    <w:rsid w:val="00B42076"/>
    <w:rsid w:val="00B423D7"/>
    <w:rsid w:val="00B42525"/>
    <w:rsid w:val="00B42673"/>
    <w:rsid w:val="00B42782"/>
    <w:rsid w:val="00B4280E"/>
    <w:rsid w:val="00B428C1"/>
    <w:rsid w:val="00B4304B"/>
    <w:rsid w:val="00B43292"/>
    <w:rsid w:val="00B43299"/>
    <w:rsid w:val="00B4338F"/>
    <w:rsid w:val="00B4356E"/>
    <w:rsid w:val="00B4391A"/>
    <w:rsid w:val="00B43A5D"/>
    <w:rsid w:val="00B43DF7"/>
    <w:rsid w:val="00B44099"/>
    <w:rsid w:val="00B44265"/>
    <w:rsid w:val="00B444BC"/>
    <w:rsid w:val="00B444F2"/>
    <w:rsid w:val="00B44D83"/>
    <w:rsid w:val="00B4526C"/>
    <w:rsid w:val="00B45338"/>
    <w:rsid w:val="00B45739"/>
    <w:rsid w:val="00B45810"/>
    <w:rsid w:val="00B458AE"/>
    <w:rsid w:val="00B45945"/>
    <w:rsid w:val="00B45D43"/>
    <w:rsid w:val="00B45DB6"/>
    <w:rsid w:val="00B45F2C"/>
    <w:rsid w:val="00B46133"/>
    <w:rsid w:val="00B462F6"/>
    <w:rsid w:val="00B46307"/>
    <w:rsid w:val="00B46643"/>
    <w:rsid w:val="00B46AAE"/>
    <w:rsid w:val="00B46C0C"/>
    <w:rsid w:val="00B476BD"/>
    <w:rsid w:val="00B4778A"/>
    <w:rsid w:val="00B477C5"/>
    <w:rsid w:val="00B50073"/>
    <w:rsid w:val="00B50173"/>
    <w:rsid w:val="00B50272"/>
    <w:rsid w:val="00B502A9"/>
    <w:rsid w:val="00B503A9"/>
    <w:rsid w:val="00B50799"/>
    <w:rsid w:val="00B507DA"/>
    <w:rsid w:val="00B507F2"/>
    <w:rsid w:val="00B50814"/>
    <w:rsid w:val="00B5096A"/>
    <w:rsid w:val="00B50D09"/>
    <w:rsid w:val="00B50F0C"/>
    <w:rsid w:val="00B51183"/>
    <w:rsid w:val="00B51214"/>
    <w:rsid w:val="00B51380"/>
    <w:rsid w:val="00B51385"/>
    <w:rsid w:val="00B5141B"/>
    <w:rsid w:val="00B51A21"/>
    <w:rsid w:val="00B51A4F"/>
    <w:rsid w:val="00B51AD0"/>
    <w:rsid w:val="00B51AF2"/>
    <w:rsid w:val="00B51B9A"/>
    <w:rsid w:val="00B51F1D"/>
    <w:rsid w:val="00B520CF"/>
    <w:rsid w:val="00B5221B"/>
    <w:rsid w:val="00B524F8"/>
    <w:rsid w:val="00B52520"/>
    <w:rsid w:val="00B52644"/>
    <w:rsid w:val="00B52667"/>
    <w:rsid w:val="00B52A7E"/>
    <w:rsid w:val="00B53088"/>
    <w:rsid w:val="00B53182"/>
    <w:rsid w:val="00B535CD"/>
    <w:rsid w:val="00B53736"/>
    <w:rsid w:val="00B53758"/>
    <w:rsid w:val="00B537F3"/>
    <w:rsid w:val="00B53840"/>
    <w:rsid w:val="00B53895"/>
    <w:rsid w:val="00B53932"/>
    <w:rsid w:val="00B53F1B"/>
    <w:rsid w:val="00B53F4A"/>
    <w:rsid w:val="00B54023"/>
    <w:rsid w:val="00B540B1"/>
    <w:rsid w:val="00B54132"/>
    <w:rsid w:val="00B54178"/>
    <w:rsid w:val="00B543A6"/>
    <w:rsid w:val="00B544E3"/>
    <w:rsid w:val="00B544F3"/>
    <w:rsid w:val="00B54D18"/>
    <w:rsid w:val="00B54DC5"/>
    <w:rsid w:val="00B551D3"/>
    <w:rsid w:val="00B5522A"/>
    <w:rsid w:val="00B552B9"/>
    <w:rsid w:val="00B553C0"/>
    <w:rsid w:val="00B553CE"/>
    <w:rsid w:val="00B5546D"/>
    <w:rsid w:val="00B55576"/>
    <w:rsid w:val="00B55A53"/>
    <w:rsid w:val="00B55C41"/>
    <w:rsid w:val="00B55C69"/>
    <w:rsid w:val="00B55D5F"/>
    <w:rsid w:val="00B55FED"/>
    <w:rsid w:val="00B565D0"/>
    <w:rsid w:val="00B566B7"/>
    <w:rsid w:val="00B56C05"/>
    <w:rsid w:val="00B56C66"/>
    <w:rsid w:val="00B56D18"/>
    <w:rsid w:val="00B56D47"/>
    <w:rsid w:val="00B570E7"/>
    <w:rsid w:val="00B57159"/>
    <w:rsid w:val="00B5747F"/>
    <w:rsid w:val="00B5751C"/>
    <w:rsid w:val="00B5762D"/>
    <w:rsid w:val="00B57BBA"/>
    <w:rsid w:val="00B57E18"/>
    <w:rsid w:val="00B57FAD"/>
    <w:rsid w:val="00B602E9"/>
    <w:rsid w:val="00B60532"/>
    <w:rsid w:val="00B60BB9"/>
    <w:rsid w:val="00B60EF9"/>
    <w:rsid w:val="00B61004"/>
    <w:rsid w:val="00B61150"/>
    <w:rsid w:val="00B617E1"/>
    <w:rsid w:val="00B61AB2"/>
    <w:rsid w:val="00B61EDF"/>
    <w:rsid w:val="00B61F14"/>
    <w:rsid w:val="00B62C1D"/>
    <w:rsid w:val="00B62CED"/>
    <w:rsid w:val="00B62D52"/>
    <w:rsid w:val="00B633D2"/>
    <w:rsid w:val="00B637C0"/>
    <w:rsid w:val="00B643AF"/>
    <w:rsid w:val="00B644DF"/>
    <w:rsid w:val="00B64736"/>
    <w:rsid w:val="00B6483F"/>
    <w:rsid w:val="00B64C88"/>
    <w:rsid w:val="00B64E12"/>
    <w:rsid w:val="00B64E75"/>
    <w:rsid w:val="00B64F0F"/>
    <w:rsid w:val="00B64FFC"/>
    <w:rsid w:val="00B6549C"/>
    <w:rsid w:val="00B65853"/>
    <w:rsid w:val="00B65B16"/>
    <w:rsid w:val="00B65BEC"/>
    <w:rsid w:val="00B65FAB"/>
    <w:rsid w:val="00B6615F"/>
    <w:rsid w:val="00B662F9"/>
    <w:rsid w:val="00B664C9"/>
    <w:rsid w:val="00B665BA"/>
    <w:rsid w:val="00B66709"/>
    <w:rsid w:val="00B66736"/>
    <w:rsid w:val="00B66B88"/>
    <w:rsid w:val="00B66C78"/>
    <w:rsid w:val="00B66DA5"/>
    <w:rsid w:val="00B673DA"/>
    <w:rsid w:val="00B6753C"/>
    <w:rsid w:val="00B676D7"/>
    <w:rsid w:val="00B67937"/>
    <w:rsid w:val="00B67A95"/>
    <w:rsid w:val="00B67CA6"/>
    <w:rsid w:val="00B700A5"/>
    <w:rsid w:val="00B70825"/>
    <w:rsid w:val="00B708F8"/>
    <w:rsid w:val="00B708FF"/>
    <w:rsid w:val="00B70909"/>
    <w:rsid w:val="00B7098B"/>
    <w:rsid w:val="00B70D25"/>
    <w:rsid w:val="00B70D30"/>
    <w:rsid w:val="00B70D9B"/>
    <w:rsid w:val="00B711D9"/>
    <w:rsid w:val="00B71288"/>
    <w:rsid w:val="00B71679"/>
    <w:rsid w:val="00B71913"/>
    <w:rsid w:val="00B71E18"/>
    <w:rsid w:val="00B71EFE"/>
    <w:rsid w:val="00B71FEB"/>
    <w:rsid w:val="00B72025"/>
    <w:rsid w:val="00B7231B"/>
    <w:rsid w:val="00B7244E"/>
    <w:rsid w:val="00B729BE"/>
    <w:rsid w:val="00B72B5E"/>
    <w:rsid w:val="00B72EF4"/>
    <w:rsid w:val="00B72F52"/>
    <w:rsid w:val="00B7309B"/>
    <w:rsid w:val="00B73576"/>
    <w:rsid w:val="00B735E5"/>
    <w:rsid w:val="00B73673"/>
    <w:rsid w:val="00B73737"/>
    <w:rsid w:val="00B737F7"/>
    <w:rsid w:val="00B73944"/>
    <w:rsid w:val="00B7397B"/>
    <w:rsid w:val="00B739E6"/>
    <w:rsid w:val="00B73AB4"/>
    <w:rsid w:val="00B73BDA"/>
    <w:rsid w:val="00B73CF1"/>
    <w:rsid w:val="00B73EEE"/>
    <w:rsid w:val="00B73F6B"/>
    <w:rsid w:val="00B740FC"/>
    <w:rsid w:val="00B742C3"/>
    <w:rsid w:val="00B742E1"/>
    <w:rsid w:val="00B748AE"/>
    <w:rsid w:val="00B74A37"/>
    <w:rsid w:val="00B7503F"/>
    <w:rsid w:val="00B750A9"/>
    <w:rsid w:val="00B75C3C"/>
    <w:rsid w:val="00B762F1"/>
    <w:rsid w:val="00B76914"/>
    <w:rsid w:val="00B76BE3"/>
    <w:rsid w:val="00B76C11"/>
    <w:rsid w:val="00B76FD5"/>
    <w:rsid w:val="00B77557"/>
    <w:rsid w:val="00B77733"/>
    <w:rsid w:val="00B77831"/>
    <w:rsid w:val="00B77F41"/>
    <w:rsid w:val="00B8005C"/>
    <w:rsid w:val="00B805A5"/>
    <w:rsid w:val="00B80881"/>
    <w:rsid w:val="00B81528"/>
    <w:rsid w:val="00B8194A"/>
    <w:rsid w:val="00B81A49"/>
    <w:rsid w:val="00B81C89"/>
    <w:rsid w:val="00B81CB5"/>
    <w:rsid w:val="00B82216"/>
    <w:rsid w:val="00B82357"/>
    <w:rsid w:val="00B8244C"/>
    <w:rsid w:val="00B82594"/>
    <w:rsid w:val="00B827CE"/>
    <w:rsid w:val="00B829A2"/>
    <w:rsid w:val="00B82AAD"/>
    <w:rsid w:val="00B82D2D"/>
    <w:rsid w:val="00B82D6F"/>
    <w:rsid w:val="00B830B0"/>
    <w:rsid w:val="00B8316B"/>
    <w:rsid w:val="00B83315"/>
    <w:rsid w:val="00B83C30"/>
    <w:rsid w:val="00B83C95"/>
    <w:rsid w:val="00B83D9E"/>
    <w:rsid w:val="00B84424"/>
    <w:rsid w:val="00B84B10"/>
    <w:rsid w:val="00B84B99"/>
    <w:rsid w:val="00B84F48"/>
    <w:rsid w:val="00B85A3A"/>
    <w:rsid w:val="00B85D0A"/>
    <w:rsid w:val="00B85E6C"/>
    <w:rsid w:val="00B86208"/>
    <w:rsid w:val="00B866CF"/>
    <w:rsid w:val="00B869CF"/>
    <w:rsid w:val="00B869D1"/>
    <w:rsid w:val="00B86EDA"/>
    <w:rsid w:val="00B871B1"/>
    <w:rsid w:val="00B871CA"/>
    <w:rsid w:val="00B876E6"/>
    <w:rsid w:val="00B8776A"/>
    <w:rsid w:val="00B87A58"/>
    <w:rsid w:val="00B87AB0"/>
    <w:rsid w:val="00B87C07"/>
    <w:rsid w:val="00B87C48"/>
    <w:rsid w:val="00B87CE9"/>
    <w:rsid w:val="00B87F1A"/>
    <w:rsid w:val="00B9007B"/>
    <w:rsid w:val="00B9012D"/>
    <w:rsid w:val="00B90150"/>
    <w:rsid w:val="00B9044B"/>
    <w:rsid w:val="00B90AB0"/>
    <w:rsid w:val="00B90BE2"/>
    <w:rsid w:val="00B90CDE"/>
    <w:rsid w:val="00B90F31"/>
    <w:rsid w:val="00B911F7"/>
    <w:rsid w:val="00B912F5"/>
    <w:rsid w:val="00B91A00"/>
    <w:rsid w:val="00B91C7C"/>
    <w:rsid w:val="00B91FEF"/>
    <w:rsid w:val="00B924C1"/>
    <w:rsid w:val="00B92568"/>
    <w:rsid w:val="00B92B06"/>
    <w:rsid w:val="00B930AC"/>
    <w:rsid w:val="00B932A5"/>
    <w:rsid w:val="00B93621"/>
    <w:rsid w:val="00B936AB"/>
    <w:rsid w:val="00B93771"/>
    <w:rsid w:val="00B937AA"/>
    <w:rsid w:val="00B939FC"/>
    <w:rsid w:val="00B93B6F"/>
    <w:rsid w:val="00B93C63"/>
    <w:rsid w:val="00B93E47"/>
    <w:rsid w:val="00B93FB5"/>
    <w:rsid w:val="00B94E22"/>
    <w:rsid w:val="00B94F11"/>
    <w:rsid w:val="00B94F67"/>
    <w:rsid w:val="00B9509F"/>
    <w:rsid w:val="00B950EE"/>
    <w:rsid w:val="00B954D3"/>
    <w:rsid w:val="00B95650"/>
    <w:rsid w:val="00B95AE6"/>
    <w:rsid w:val="00B95E20"/>
    <w:rsid w:val="00B95FD5"/>
    <w:rsid w:val="00B9627C"/>
    <w:rsid w:val="00B964C7"/>
    <w:rsid w:val="00B96508"/>
    <w:rsid w:val="00B9670F"/>
    <w:rsid w:val="00B968C5"/>
    <w:rsid w:val="00B9696D"/>
    <w:rsid w:val="00B9698A"/>
    <w:rsid w:val="00B96995"/>
    <w:rsid w:val="00B96D7D"/>
    <w:rsid w:val="00B96DC8"/>
    <w:rsid w:val="00B96DEA"/>
    <w:rsid w:val="00B96E52"/>
    <w:rsid w:val="00B97155"/>
    <w:rsid w:val="00B9727E"/>
    <w:rsid w:val="00B97745"/>
    <w:rsid w:val="00B97960"/>
    <w:rsid w:val="00B97FEC"/>
    <w:rsid w:val="00BA02D3"/>
    <w:rsid w:val="00BA071F"/>
    <w:rsid w:val="00BA09A9"/>
    <w:rsid w:val="00BA0A95"/>
    <w:rsid w:val="00BA0AC9"/>
    <w:rsid w:val="00BA0C07"/>
    <w:rsid w:val="00BA0EA0"/>
    <w:rsid w:val="00BA0FCD"/>
    <w:rsid w:val="00BA0FF2"/>
    <w:rsid w:val="00BA10A9"/>
    <w:rsid w:val="00BA1425"/>
    <w:rsid w:val="00BA14E5"/>
    <w:rsid w:val="00BA16C8"/>
    <w:rsid w:val="00BA17CF"/>
    <w:rsid w:val="00BA17E8"/>
    <w:rsid w:val="00BA1831"/>
    <w:rsid w:val="00BA18AC"/>
    <w:rsid w:val="00BA1BE9"/>
    <w:rsid w:val="00BA27B9"/>
    <w:rsid w:val="00BA2C1D"/>
    <w:rsid w:val="00BA2FE2"/>
    <w:rsid w:val="00BA3306"/>
    <w:rsid w:val="00BA331B"/>
    <w:rsid w:val="00BA34ED"/>
    <w:rsid w:val="00BA35A1"/>
    <w:rsid w:val="00BA361D"/>
    <w:rsid w:val="00BA373D"/>
    <w:rsid w:val="00BA3958"/>
    <w:rsid w:val="00BA3A0A"/>
    <w:rsid w:val="00BA3C0F"/>
    <w:rsid w:val="00BA422D"/>
    <w:rsid w:val="00BA4275"/>
    <w:rsid w:val="00BA4418"/>
    <w:rsid w:val="00BA45CE"/>
    <w:rsid w:val="00BA47E6"/>
    <w:rsid w:val="00BA49AD"/>
    <w:rsid w:val="00BA4A1A"/>
    <w:rsid w:val="00BA4B2B"/>
    <w:rsid w:val="00BA4BF2"/>
    <w:rsid w:val="00BA4CD1"/>
    <w:rsid w:val="00BA4DA1"/>
    <w:rsid w:val="00BA5051"/>
    <w:rsid w:val="00BA525D"/>
    <w:rsid w:val="00BA5787"/>
    <w:rsid w:val="00BA583B"/>
    <w:rsid w:val="00BA5973"/>
    <w:rsid w:val="00BA5D27"/>
    <w:rsid w:val="00BA6165"/>
    <w:rsid w:val="00BA635A"/>
    <w:rsid w:val="00BA63C5"/>
    <w:rsid w:val="00BA689E"/>
    <w:rsid w:val="00BA708A"/>
    <w:rsid w:val="00BA7BB8"/>
    <w:rsid w:val="00BB068D"/>
    <w:rsid w:val="00BB0968"/>
    <w:rsid w:val="00BB0A83"/>
    <w:rsid w:val="00BB0A93"/>
    <w:rsid w:val="00BB0E0A"/>
    <w:rsid w:val="00BB0F6C"/>
    <w:rsid w:val="00BB1039"/>
    <w:rsid w:val="00BB11CF"/>
    <w:rsid w:val="00BB1256"/>
    <w:rsid w:val="00BB16AE"/>
    <w:rsid w:val="00BB179E"/>
    <w:rsid w:val="00BB19F0"/>
    <w:rsid w:val="00BB1A18"/>
    <w:rsid w:val="00BB1A9C"/>
    <w:rsid w:val="00BB1BED"/>
    <w:rsid w:val="00BB1E48"/>
    <w:rsid w:val="00BB1E5A"/>
    <w:rsid w:val="00BB21C2"/>
    <w:rsid w:val="00BB228F"/>
    <w:rsid w:val="00BB22B4"/>
    <w:rsid w:val="00BB22B7"/>
    <w:rsid w:val="00BB24B5"/>
    <w:rsid w:val="00BB2972"/>
    <w:rsid w:val="00BB2AD5"/>
    <w:rsid w:val="00BB2D99"/>
    <w:rsid w:val="00BB3370"/>
    <w:rsid w:val="00BB36A5"/>
    <w:rsid w:val="00BB3876"/>
    <w:rsid w:val="00BB3D38"/>
    <w:rsid w:val="00BB3FA5"/>
    <w:rsid w:val="00BB42AE"/>
    <w:rsid w:val="00BB47AF"/>
    <w:rsid w:val="00BB4828"/>
    <w:rsid w:val="00BB4CDA"/>
    <w:rsid w:val="00BB4DFA"/>
    <w:rsid w:val="00BB5378"/>
    <w:rsid w:val="00BB54D5"/>
    <w:rsid w:val="00BB55B0"/>
    <w:rsid w:val="00BB5B8B"/>
    <w:rsid w:val="00BB5C3D"/>
    <w:rsid w:val="00BB61B1"/>
    <w:rsid w:val="00BB62CD"/>
    <w:rsid w:val="00BB6650"/>
    <w:rsid w:val="00BB681D"/>
    <w:rsid w:val="00BB6931"/>
    <w:rsid w:val="00BB6A99"/>
    <w:rsid w:val="00BB6F3D"/>
    <w:rsid w:val="00BB70F1"/>
    <w:rsid w:val="00BB7485"/>
    <w:rsid w:val="00BB74FA"/>
    <w:rsid w:val="00BB75E7"/>
    <w:rsid w:val="00BB77B4"/>
    <w:rsid w:val="00BB78E9"/>
    <w:rsid w:val="00BB7C55"/>
    <w:rsid w:val="00BB7FD6"/>
    <w:rsid w:val="00BC01B6"/>
    <w:rsid w:val="00BC04A8"/>
    <w:rsid w:val="00BC04DB"/>
    <w:rsid w:val="00BC06AF"/>
    <w:rsid w:val="00BC0B22"/>
    <w:rsid w:val="00BC0B3A"/>
    <w:rsid w:val="00BC13B7"/>
    <w:rsid w:val="00BC13BD"/>
    <w:rsid w:val="00BC1413"/>
    <w:rsid w:val="00BC148B"/>
    <w:rsid w:val="00BC1813"/>
    <w:rsid w:val="00BC19AA"/>
    <w:rsid w:val="00BC19E3"/>
    <w:rsid w:val="00BC1A0A"/>
    <w:rsid w:val="00BC1DC5"/>
    <w:rsid w:val="00BC1F1E"/>
    <w:rsid w:val="00BC26CA"/>
    <w:rsid w:val="00BC2E36"/>
    <w:rsid w:val="00BC3175"/>
    <w:rsid w:val="00BC3585"/>
    <w:rsid w:val="00BC385A"/>
    <w:rsid w:val="00BC38C8"/>
    <w:rsid w:val="00BC39F6"/>
    <w:rsid w:val="00BC3A8C"/>
    <w:rsid w:val="00BC4184"/>
    <w:rsid w:val="00BC4405"/>
    <w:rsid w:val="00BC4466"/>
    <w:rsid w:val="00BC4486"/>
    <w:rsid w:val="00BC4A3C"/>
    <w:rsid w:val="00BC4C17"/>
    <w:rsid w:val="00BC53BF"/>
    <w:rsid w:val="00BC568D"/>
    <w:rsid w:val="00BC592F"/>
    <w:rsid w:val="00BC5B04"/>
    <w:rsid w:val="00BC6332"/>
    <w:rsid w:val="00BC64FC"/>
    <w:rsid w:val="00BC68FE"/>
    <w:rsid w:val="00BC6990"/>
    <w:rsid w:val="00BC7050"/>
    <w:rsid w:val="00BC7207"/>
    <w:rsid w:val="00BC735F"/>
    <w:rsid w:val="00BC776F"/>
    <w:rsid w:val="00BC7956"/>
    <w:rsid w:val="00BC7B45"/>
    <w:rsid w:val="00BC7F43"/>
    <w:rsid w:val="00BD00BD"/>
    <w:rsid w:val="00BD014C"/>
    <w:rsid w:val="00BD051F"/>
    <w:rsid w:val="00BD06C9"/>
    <w:rsid w:val="00BD0A6B"/>
    <w:rsid w:val="00BD0ACE"/>
    <w:rsid w:val="00BD0AD7"/>
    <w:rsid w:val="00BD0B15"/>
    <w:rsid w:val="00BD0C80"/>
    <w:rsid w:val="00BD0E07"/>
    <w:rsid w:val="00BD0F40"/>
    <w:rsid w:val="00BD172E"/>
    <w:rsid w:val="00BD188F"/>
    <w:rsid w:val="00BD2110"/>
    <w:rsid w:val="00BD269E"/>
    <w:rsid w:val="00BD273F"/>
    <w:rsid w:val="00BD28F1"/>
    <w:rsid w:val="00BD2ADC"/>
    <w:rsid w:val="00BD306E"/>
    <w:rsid w:val="00BD317F"/>
    <w:rsid w:val="00BD330C"/>
    <w:rsid w:val="00BD3435"/>
    <w:rsid w:val="00BD354F"/>
    <w:rsid w:val="00BD3669"/>
    <w:rsid w:val="00BD3BB1"/>
    <w:rsid w:val="00BD3CEF"/>
    <w:rsid w:val="00BD400D"/>
    <w:rsid w:val="00BD4219"/>
    <w:rsid w:val="00BD4296"/>
    <w:rsid w:val="00BD4CE4"/>
    <w:rsid w:val="00BD4DB9"/>
    <w:rsid w:val="00BD4E0A"/>
    <w:rsid w:val="00BD546C"/>
    <w:rsid w:val="00BD5558"/>
    <w:rsid w:val="00BD5590"/>
    <w:rsid w:val="00BD56CC"/>
    <w:rsid w:val="00BD5817"/>
    <w:rsid w:val="00BD598A"/>
    <w:rsid w:val="00BD59DE"/>
    <w:rsid w:val="00BD5A2F"/>
    <w:rsid w:val="00BD5B3E"/>
    <w:rsid w:val="00BD5B69"/>
    <w:rsid w:val="00BD5B76"/>
    <w:rsid w:val="00BD61D5"/>
    <w:rsid w:val="00BD6370"/>
    <w:rsid w:val="00BD6498"/>
    <w:rsid w:val="00BD65E3"/>
    <w:rsid w:val="00BD6822"/>
    <w:rsid w:val="00BD6B6D"/>
    <w:rsid w:val="00BD6BC1"/>
    <w:rsid w:val="00BD6D4F"/>
    <w:rsid w:val="00BD6D9B"/>
    <w:rsid w:val="00BD7605"/>
    <w:rsid w:val="00BD7864"/>
    <w:rsid w:val="00BD79EA"/>
    <w:rsid w:val="00BD7A78"/>
    <w:rsid w:val="00BD7DE7"/>
    <w:rsid w:val="00BD7EA3"/>
    <w:rsid w:val="00BE05C3"/>
    <w:rsid w:val="00BE065C"/>
    <w:rsid w:val="00BE079B"/>
    <w:rsid w:val="00BE09E7"/>
    <w:rsid w:val="00BE0B27"/>
    <w:rsid w:val="00BE0EA0"/>
    <w:rsid w:val="00BE1090"/>
    <w:rsid w:val="00BE213C"/>
    <w:rsid w:val="00BE226D"/>
    <w:rsid w:val="00BE2424"/>
    <w:rsid w:val="00BE248E"/>
    <w:rsid w:val="00BE282C"/>
    <w:rsid w:val="00BE284E"/>
    <w:rsid w:val="00BE2932"/>
    <w:rsid w:val="00BE2AA4"/>
    <w:rsid w:val="00BE2F15"/>
    <w:rsid w:val="00BE2F34"/>
    <w:rsid w:val="00BE3076"/>
    <w:rsid w:val="00BE3078"/>
    <w:rsid w:val="00BE335B"/>
    <w:rsid w:val="00BE380B"/>
    <w:rsid w:val="00BE3842"/>
    <w:rsid w:val="00BE3C75"/>
    <w:rsid w:val="00BE4527"/>
    <w:rsid w:val="00BE474E"/>
    <w:rsid w:val="00BE47B3"/>
    <w:rsid w:val="00BE4910"/>
    <w:rsid w:val="00BE4937"/>
    <w:rsid w:val="00BE4C6F"/>
    <w:rsid w:val="00BE4D93"/>
    <w:rsid w:val="00BE5244"/>
    <w:rsid w:val="00BE5283"/>
    <w:rsid w:val="00BE5908"/>
    <w:rsid w:val="00BE59EB"/>
    <w:rsid w:val="00BE5B28"/>
    <w:rsid w:val="00BE5D2B"/>
    <w:rsid w:val="00BE62B9"/>
    <w:rsid w:val="00BE6331"/>
    <w:rsid w:val="00BE65AC"/>
    <w:rsid w:val="00BE6632"/>
    <w:rsid w:val="00BE6A8B"/>
    <w:rsid w:val="00BE6ACA"/>
    <w:rsid w:val="00BE6F49"/>
    <w:rsid w:val="00BE7060"/>
    <w:rsid w:val="00BE7067"/>
    <w:rsid w:val="00BE70D1"/>
    <w:rsid w:val="00BE71F1"/>
    <w:rsid w:val="00BE7567"/>
    <w:rsid w:val="00BE756A"/>
    <w:rsid w:val="00BE79CC"/>
    <w:rsid w:val="00BE7E4C"/>
    <w:rsid w:val="00BE7FC6"/>
    <w:rsid w:val="00BF0460"/>
    <w:rsid w:val="00BF066C"/>
    <w:rsid w:val="00BF0792"/>
    <w:rsid w:val="00BF08AC"/>
    <w:rsid w:val="00BF0CBE"/>
    <w:rsid w:val="00BF0DFB"/>
    <w:rsid w:val="00BF0EC6"/>
    <w:rsid w:val="00BF0F34"/>
    <w:rsid w:val="00BF1323"/>
    <w:rsid w:val="00BF16AA"/>
    <w:rsid w:val="00BF192D"/>
    <w:rsid w:val="00BF1CF1"/>
    <w:rsid w:val="00BF2005"/>
    <w:rsid w:val="00BF2562"/>
    <w:rsid w:val="00BF294C"/>
    <w:rsid w:val="00BF2C32"/>
    <w:rsid w:val="00BF2D2B"/>
    <w:rsid w:val="00BF2E81"/>
    <w:rsid w:val="00BF2EC4"/>
    <w:rsid w:val="00BF304E"/>
    <w:rsid w:val="00BF3057"/>
    <w:rsid w:val="00BF31D8"/>
    <w:rsid w:val="00BF346F"/>
    <w:rsid w:val="00BF3B96"/>
    <w:rsid w:val="00BF3E1E"/>
    <w:rsid w:val="00BF3E21"/>
    <w:rsid w:val="00BF41D1"/>
    <w:rsid w:val="00BF4331"/>
    <w:rsid w:val="00BF4534"/>
    <w:rsid w:val="00BF4773"/>
    <w:rsid w:val="00BF47B3"/>
    <w:rsid w:val="00BF4C0B"/>
    <w:rsid w:val="00BF4CE9"/>
    <w:rsid w:val="00BF4D13"/>
    <w:rsid w:val="00BF5709"/>
    <w:rsid w:val="00BF5FC9"/>
    <w:rsid w:val="00BF6220"/>
    <w:rsid w:val="00BF63C9"/>
    <w:rsid w:val="00BF6625"/>
    <w:rsid w:val="00BF6A10"/>
    <w:rsid w:val="00BF75F3"/>
    <w:rsid w:val="00BF775B"/>
    <w:rsid w:val="00BF7B74"/>
    <w:rsid w:val="00BF7C69"/>
    <w:rsid w:val="00BF7E8D"/>
    <w:rsid w:val="00C00096"/>
    <w:rsid w:val="00C0018B"/>
    <w:rsid w:val="00C002BB"/>
    <w:rsid w:val="00C0057C"/>
    <w:rsid w:val="00C00884"/>
    <w:rsid w:val="00C009FC"/>
    <w:rsid w:val="00C00E5C"/>
    <w:rsid w:val="00C014BC"/>
    <w:rsid w:val="00C01C6D"/>
    <w:rsid w:val="00C01CDB"/>
    <w:rsid w:val="00C01EDB"/>
    <w:rsid w:val="00C020C6"/>
    <w:rsid w:val="00C0212D"/>
    <w:rsid w:val="00C0225A"/>
    <w:rsid w:val="00C02546"/>
    <w:rsid w:val="00C0259D"/>
    <w:rsid w:val="00C0297A"/>
    <w:rsid w:val="00C02995"/>
    <w:rsid w:val="00C02E66"/>
    <w:rsid w:val="00C02E89"/>
    <w:rsid w:val="00C030DE"/>
    <w:rsid w:val="00C030E3"/>
    <w:rsid w:val="00C031C6"/>
    <w:rsid w:val="00C03314"/>
    <w:rsid w:val="00C0369B"/>
    <w:rsid w:val="00C038A0"/>
    <w:rsid w:val="00C03A51"/>
    <w:rsid w:val="00C03AEC"/>
    <w:rsid w:val="00C03EA4"/>
    <w:rsid w:val="00C03EB1"/>
    <w:rsid w:val="00C04217"/>
    <w:rsid w:val="00C042FE"/>
    <w:rsid w:val="00C04519"/>
    <w:rsid w:val="00C0458E"/>
    <w:rsid w:val="00C047B9"/>
    <w:rsid w:val="00C04A16"/>
    <w:rsid w:val="00C04EDB"/>
    <w:rsid w:val="00C04EF0"/>
    <w:rsid w:val="00C05023"/>
    <w:rsid w:val="00C0516A"/>
    <w:rsid w:val="00C05214"/>
    <w:rsid w:val="00C05329"/>
    <w:rsid w:val="00C05469"/>
    <w:rsid w:val="00C056DE"/>
    <w:rsid w:val="00C057DB"/>
    <w:rsid w:val="00C05CEE"/>
    <w:rsid w:val="00C05D84"/>
    <w:rsid w:val="00C06098"/>
    <w:rsid w:val="00C0619A"/>
    <w:rsid w:val="00C061E9"/>
    <w:rsid w:val="00C06213"/>
    <w:rsid w:val="00C0684C"/>
    <w:rsid w:val="00C06891"/>
    <w:rsid w:val="00C069B8"/>
    <w:rsid w:val="00C06FA4"/>
    <w:rsid w:val="00C07281"/>
    <w:rsid w:val="00C074E2"/>
    <w:rsid w:val="00C0783E"/>
    <w:rsid w:val="00C0791A"/>
    <w:rsid w:val="00C07A45"/>
    <w:rsid w:val="00C07D3B"/>
    <w:rsid w:val="00C103DE"/>
    <w:rsid w:val="00C10485"/>
    <w:rsid w:val="00C104AE"/>
    <w:rsid w:val="00C107BA"/>
    <w:rsid w:val="00C1091D"/>
    <w:rsid w:val="00C10950"/>
    <w:rsid w:val="00C10EEA"/>
    <w:rsid w:val="00C111CE"/>
    <w:rsid w:val="00C11578"/>
    <w:rsid w:val="00C1157C"/>
    <w:rsid w:val="00C119C7"/>
    <w:rsid w:val="00C119DD"/>
    <w:rsid w:val="00C11A1E"/>
    <w:rsid w:val="00C11D28"/>
    <w:rsid w:val="00C129E2"/>
    <w:rsid w:val="00C12A98"/>
    <w:rsid w:val="00C12B3F"/>
    <w:rsid w:val="00C12EE4"/>
    <w:rsid w:val="00C130EF"/>
    <w:rsid w:val="00C13542"/>
    <w:rsid w:val="00C138F1"/>
    <w:rsid w:val="00C1399E"/>
    <w:rsid w:val="00C13B07"/>
    <w:rsid w:val="00C13B43"/>
    <w:rsid w:val="00C14783"/>
    <w:rsid w:val="00C14900"/>
    <w:rsid w:val="00C14B1E"/>
    <w:rsid w:val="00C14BFF"/>
    <w:rsid w:val="00C14E00"/>
    <w:rsid w:val="00C14FAC"/>
    <w:rsid w:val="00C1521C"/>
    <w:rsid w:val="00C164C6"/>
    <w:rsid w:val="00C166C3"/>
    <w:rsid w:val="00C168A5"/>
    <w:rsid w:val="00C16E87"/>
    <w:rsid w:val="00C170C7"/>
    <w:rsid w:val="00C172CB"/>
    <w:rsid w:val="00C17427"/>
    <w:rsid w:val="00C1782E"/>
    <w:rsid w:val="00C17A95"/>
    <w:rsid w:val="00C17A9C"/>
    <w:rsid w:val="00C17E1F"/>
    <w:rsid w:val="00C17FCC"/>
    <w:rsid w:val="00C20306"/>
    <w:rsid w:val="00C20A1F"/>
    <w:rsid w:val="00C20BBA"/>
    <w:rsid w:val="00C21246"/>
    <w:rsid w:val="00C218E7"/>
    <w:rsid w:val="00C21999"/>
    <w:rsid w:val="00C21A58"/>
    <w:rsid w:val="00C21AF6"/>
    <w:rsid w:val="00C22CD8"/>
    <w:rsid w:val="00C22F00"/>
    <w:rsid w:val="00C23282"/>
    <w:rsid w:val="00C23413"/>
    <w:rsid w:val="00C2355F"/>
    <w:rsid w:val="00C235E9"/>
    <w:rsid w:val="00C2490D"/>
    <w:rsid w:val="00C25C40"/>
    <w:rsid w:val="00C26134"/>
    <w:rsid w:val="00C263DD"/>
    <w:rsid w:val="00C26479"/>
    <w:rsid w:val="00C26482"/>
    <w:rsid w:val="00C26597"/>
    <w:rsid w:val="00C26AE4"/>
    <w:rsid w:val="00C26BBD"/>
    <w:rsid w:val="00C27284"/>
    <w:rsid w:val="00C273BA"/>
    <w:rsid w:val="00C2742E"/>
    <w:rsid w:val="00C275C2"/>
    <w:rsid w:val="00C275FB"/>
    <w:rsid w:val="00C27DAA"/>
    <w:rsid w:val="00C27E77"/>
    <w:rsid w:val="00C301BF"/>
    <w:rsid w:val="00C30214"/>
    <w:rsid w:val="00C30405"/>
    <w:rsid w:val="00C30BE2"/>
    <w:rsid w:val="00C30E3A"/>
    <w:rsid w:val="00C31055"/>
    <w:rsid w:val="00C3146C"/>
    <w:rsid w:val="00C317E3"/>
    <w:rsid w:val="00C3198E"/>
    <w:rsid w:val="00C319CF"/>
    <w:rsid w:val="00C31D4D"/>
    <w:rsid w:val="00C31E14"/>
    <w:rsid w:val="00C31EEB"/>
    <w:rsid w:val="00C31F6E"/>
    <w:rsid w:val="00C3288B"/>
    <w:rsid w:val="00C32B43"/>
    <w:rsid w:val="00C32BFD"/>
    <w:rsid w:val="00C32FCD"/>
    <w:rsid w:val="00C3305A"/>
    <w:rsid w:val="00C332A1"/>
    <w:rsid w:val="00C33616"/>
    <w:rsid w:val="00C33954"/>
    <w:rsid w:val="00C33AE3"/>
    <w:rsid w:val="00C33EC4"/>
    <w:rsid w:val="00C3405A"/>
    <w:rsid w:val="00C341EE"/>
    <w:rsid w:val="00C34405"/>
    <w:rsid w:val="00C346AD"/>
    <w:rsid w:val="00C34F7F"/>
    <w:rsid w:val="00C352A7"/>
    <w:rsid w:val="00C35375"/>
    <w:rsid w:val="00C353B0"/>
    <w:rsid w:val="00C353C1"/>
    <w:rsid w:val="00C354A7"/>
    <w:rsid w:val="00C35557"/>
    <w:rsid w:val="00C3574C"/>
    <w:rsid w:val="00C3598D"/>
    <w:rsid w:val="00C35BC9"/>
    <w:rsid w:val="00C35C69"/>
    <w:rsid w:val="00C35C85"/>
    <w:rsid w:val="00C35E0D"/>
    <w:rsid w:val="00C35E1D"/>
    <w:rsid w:val="00C3627A"/>
    <w:rsid w:val="00C363CE"/>
    <w:rsid w:val="00C365D3"/>
    <w:rsid w:val="00C366BC"/>
    <w:rsid w:val="00C36ED4"/>
    <w:rsid w:val="00C36FC0"/>
    <w:rsid w:val="00C3705F"/>
    <w:rsid w:val="00C371AB"/>
    <w:rsid w:val="00C37498"/>
    <w:rsid w:val="00C37504"/>
    <w:rsid w:val="00C375BF"/>
    <w:rsid w:val="00C375EF"/>
    <w:rsid w:val="00C3773B"/>
    <w:rsid w:val="00C37E17"/>
    <w:rsid w:val="00C4034A"/>
    <w:rsid w:val="00C4047D"/>
    <w:rsid w:val="00C407DE"/>
    <w:rsid w:val="00C40939"/>
    <w:rsid w:val="00C40958"/>
    <w:rsid w:val="00C40965"/>
    <w:rsid w:val="00C409D5"/>
    <w:rsid w:val="00C40F78"/>
    <w:rsid w:val="00C4113A"/>
    <w:rsid w:val="00C4113E"/>
    <w:rsid w:val="00C41404"/>
    <w:rsid w:val="00C41722"/>
    <w:rsid w:val="00C41829"/>
    <w:rsid w:val="00C41A01"/>
    <w:rsid w:val="00C41AAC"/>
    <w:rsid w:val="00C41B86"/>
    <w:rsid w:val="00C4257A"/>
    <w:rsid w:val="00C426CB"/>
    <w:rsid w:val="00C427AB"/>
    <w:rsid w:val="00C427CF"/>
    <w:rsid w:val="00C42BCA"/>
    <w:rsid w:val="00C43231"/>
    <w:rsid w:val="00C4346D"/>
    <w:rsid w:val="00C43717"/>
    <w:rsid w:val="00C437D0"/>
    <w:rsid w:val="00C438E5"/>
    <w:rsid w:val="00C44282"/>
    <w:rsid w:val="00C44343"/>
    <w:rsid w:val="00C444B3"/>
    <w:rsid w:val="00C4484A"/>
    <w:rsid w:val="00C44928"/>
    <w:rsid w:val="00C4497E"/>
    <w:rsid w:val="00C44D80"/>
    <w:rsid w:val="00C44E94"/>
    <w:rsid w:val="00C45536"/>
    <w:rsid w:val="00C45677"/>
    <w:rsid w:val="00C4570D"/>
    <w:rsid w:val="00C45C17"/>
    <w:rsid w:val="00C45C61"/>
    <w:rsid w:val="00C45F19"/>
    <w:rsid w:val="00C4604D"/>
    <w:rsid w:val="00C4605B"/>
    <w:rsid w:val="00C460F2"/>
    <w:rsid w:val="00C46427"/>
    <w:rsid w:val="00C46470"/>
    <w:rsid w:val="00C464DA"/>
    <w:rsid w:val="00C469F0"/>
    <w:rsid w:val="00C472A8"/>
    <w:rsid w:val="00C47644"/>
    <w:rsid w:val="00C47679"/>
    <w:rsid w:val="00C47772"/>
    <w:rsid w:val="00C47CE7"/>
    <w:rsid w:val="00C47E29"/>
    <w:rsid w:val="00C47ED4"/>
    <w:rsid w:val="00C47EEE"/>
    <w:rsid w:val="00C47F86"/>
    <w:rsid w:val="00C5005C"/>
    <w:rsid w:val="00C500C7"/>
    <w:rsid w:val="00C5012A"/>
    <w:rsid w:val="00C5036F"/>
    <w:rsid w:val="00C505CC"/>
    <w:rsid w:val="00C508F2"/>
    <w:rsid w:val="00C5090A"/>
    <w:rsid w:val="00C50918"/>
    <w:rsid w:val="00C50DC8"/>
    <w:rsid w:val="00C50DE0"/>
    <w:rsid w:val="00C51159"/>
    <w:rsid w:val="00C51194"/>
    <w:rsid w:val="00C515D3"/>
    <w:rsid w:val="00C5162F"/>
    <w:rsid w:val="00C5164D"/>
    <w:rsid w:val="00C516B7"/>
    <w:rsid w:val="00C51D72"/>
    <w:rsid w:val="00C520B6"/>
    <w:rsid w:val="00C52116"/>
    <w:rsid w:val="00C521CE"/>
    <w:rsid w:val="00C521E8"/>
    <w:rsid w:val="00C52226"/>
    <w:rsid w:val="00C524CE"/>
    <w:rsid w:val="00C533C6"/>
    <w:rsid w:val="00C53699"/>
    <w:rsid w:val="00C53A87"/>
    <w:rsid w:val="00C5418B"/>
    <w:rsid w:val="00C545BA"/>
    <w:rsid w:val="00C546B6"/>
    <w:rsid w:val="00C54B96"/>
    <w:rsid w:val="00C54E5E"/>
    <w:rsid w:val="00C54FC4"/>
    <w:rsid w:val="00C54FF1"/>
    <w:rsid w:val="00C55041"/>
    <w:rsid w:val="00C5532D"/>
    <w:rsid w:val="00C55433"/>
    <w:rsid w:val="00C5547B"/>
    <w:rsid w:val="00C5588F"/>
    <w:rsid w:val="00C55CF4"/>
    <w:rsid w:val="00C55D0C"/>
    <w:rsid w:val="00C55F67"/>
    <w:rsid w:val="00C563E1"/>
    <w:rsid w:val="00C5641B"/>
    <w:rsid w:val="00C568CF"/>
    <w:rsid w:val="00C56C94"/>
    <w:rsid w:val="00C56CC9"/>
    <w:rsid w:val="00C56FBE"/>
    <w:rsid w:val="00C57300"/>
    <w:rsid w:val="00C57510"/>
    <w:rsid w:val="00C57668"/>
    <w:rsid w:val="00C57B6E"/>
    <w:rsid w:val="00C57C06"/>
    <w:rsid w:val="00C57E37"/>
    <w:rsid w:val="00C57F32"/>
    <w:rsid w:val="00C57F6F"/>
    <w:rsid w:val="00C60030"/>
    <w:rsid w:val="00C6008F"/>
    <w:rsid w:val="00C60386"/>
    <w:rsid w:val="00C603E5"/>
    <w:rsid w:val="00C60442"/>
    <w:rsid w:val="00C6067B"/>
    <w:rsid w:val="00C61267"/>
    <w:rsid w:val="00C612C7"/>
    <w:rsid w:val="00C613B0"/>
    <w:rsid w:val="00C61432"/>
    <w:rsid w:val="00C614FE"/>
    <w:rsid w:val="00C6159D"/>
    <w:rsid w:val="00C62029"/>
    <w:rsid w:val="00C6207F"/>
    <w:rsid w:val="00C62399"/>
    <w:rsid w:val="00C623EC"/>
    <w:rsid w:val="00C62448"/>
    <w:rsid w:val="00C625FA"/>
    <w:rsid w:val="00C627C6"/>
    <w:rsid w:val="00C62884"/>
    <w:rsid w:val="00C62A8E"/>
    <w:rsid w:val="00C62E0F"/>
    <w:rsid w:val="00C62F2F"/>
    <w:rsid w:val="00C630BD"/>
    <w:rsid w:val="00C6314C"/>
    <w:rsid w:val="00C6369E"/>
    <w:rsid w:val="00C63917"/>
    <w:rsid w:val="00C63C81"/>
    <w:rsid w:val="00C64344"/>
    <w:rsid w:val="00C64478"/>
    <w:rsid w:val="00C648B5"/>
    <w:rsid w:val="00C64971"/>
    <w:rsid w:val="00C64A2C"/>
    <w:rsid w:val="00C64B09"/>
    <w:rsid w:val="00C64BE8"/>
    <w:rsid w:val="00C64C53"/>
    <w:rsid w:val="00C64CF6"/>
    <w:rsid w:val="00C64E81"/>
    <w:rsid w:val="00C64F5A"/>
    <w:rsid w:val="00C65808"/>
    <w:rsid w:val="00C65E82"/>
    <w:rsid w:val="00C65F06"/>
    <w:rsid w:val="00C65F2C"/>
    <w:rsid w:val="00C6619C"/>
    <w:rsid w:val="00C6623C"/>
    <w:rsid w:val="00C66248"/>
    <w:rsid w:val="00C6631A"/>
    <w:rsid w:val="00C6673D"/>
    <w:rsid w:val="00C6678A"/>
    <w:rsid w:val="00C66D13"/>
    <w:rsid w:val="00C66D4F"/>
    <w:rsid w:val="00C66F51"/>
    <w:rsid w:val="00C6750F"/>
    <w:rsid w:val="00C6765F"/>
    <w:rsid w:val="00C6766D"/>
    <w:rsid w:val="00C67A59"/>
    <w:rsid w:val="00C67BCB"/>
    <w:rsid w:val="00C67C10"/>
    <w:rsid w:val="00C67D82"/>
    <w:rsid w:val="00C67F07"/>
    <w:rsid w:val="00C70005"/>
    <w:rsid w:val="00C704C9"/>
    <w:rsid w:val="00C704EC"/>
    <w:rsid w:val="00C706D9"/>
    <w:rsid w:val="00C70ED8"/>
    <w:rsid w:val="00C710B7"/>
    <w:rsid w:val="00C7135A"/>
    <w:rsid w:val="00C7137A"/>
    <w:rsid w:val="00C7168A"/>
    <w:rsid w:val="00C717A8"/>
    <w:rsid w:val="00C71B3C"/>
    <w:rsid w:val="00C71ED0"/>
    <w:rsid w:val="00C72068"/>
    <w:rsid w:val="00C720CA"/>
    <w:rsid w:val="00C7223D"/>
    <w:rsid w:val="00C7257A"/>
    <w:rsid w:val="00C7258C"/>
    <w:rsid w:val="00C725B3"/>
    <w:rsid w:val="00C726F6"/>
    <w:rsid w:val="00C72790"/>
    <w:rsid w:val="00C72F29"/>
    <w:rsid w:val="00C72F2B"/>
    <w:rsid w:val="00C731E2"/>
    <w:rsid w:val="00C7330B"/>
    <w:rsid w:val="00C733E4"/>
    <w:rsid w:val="00C7396C"/>
    <w:rsid w:val="00C74111"/>
    <w:rsid w:val="00C7435B"/>
    <w:rsid w:val="00C74360"/>
    <w:rsid w:val="00C7437F"/>
    <w:rsid w:val="00C743D2"/>
    <w:rsid w:val="00C7452D"/>
    <w:rsid w:val="00C7479F"/>
    <w:rsid w:val="00C74A04"/>
    <w:rsid w:val="00C74A72"/>
    <w:rsid w:val="00C74B2E"/>
    <w:rsid w:val="00C750E7"/>
    <w:rsid w:val="00C75116"/>
    <w:rsid w:val="00C75174"/>
    <w:rsid w:val="00C7519D"/>
    <w:rsid w:val="00C755FF"/>
    <w:rsid w:val="00C759CF"/>
    <w:rsid w:val="00C76106"/>
    <w:rsid w:val="00C7634B"/>
    <w:rsid w:val="00C76457"/>
    <w:rsid w:val="00C76560"/>
    <w:rsid w:val="00C768E0"/>
    <w:rsid w:val="00C768FB"/>
    <w:rsid w:val="00C7698B"/>
    <w:rsid w:val="00C76A39"/>
    <w:rsid w:val="00C76B64"/>
    <w:rsid w:val="00C76D32"/>
    <w:rsid w:val="00C76FE1"/>
    <w:rsid w:val="00C76FF9"/>
    <w:rsid w:val="00C77A1C"/>
    <w:rsid w:val="00C77A5A"/>
    <w:rsid w:val="00C77C16"/>
    <w:rsid w:val="00C77E22"/>
    <w:rsid w:val="00C80256"/>
    <w:rsid w:val="00C804E6"/>
    <w:rsid w:val="00C805E9"/>
    <w:rsid w:val="00C806BD"/>
    <w:rsid w:val="00C8097B"/>
    <w:rsid w:val="00C80B18"/>
    <w:rsid w:val="00C80D72"/>
    <w:rsid w:val="00C80F10"/>
    <w:rsid w:val="00C812DA"/>
    <w:rsid w:val="00C81459"/>
    <w:rsid w:val="00C81649"/>
    <w:rsid w:val="00C81782"/>
    <w:rsid w:val="00C81D63"/>
    <w:rsid w:val="00C81E63"/>
    <w:rsid w:val="00C81FDA"/>
    <w:rsid w:val="00C82292"/>
    <w:rsid w:val="00C82370"/>
    <w:rsid w:val="00C823A3"/>
    <w:rsid w:val="00C82423"/>
    <w:rsid w:val="00C8263E"/>
    <w:rsid w:val="00C826D4"/>
    <w:rsid w:val="00C8277B"/>
    <w:rsid w:val="00C82837"/>
    <w:rsid w:val="00C82A24"/>
    <w:rsid w:val="00C82D91"/>
    <w:rsid w:val="00C82FF6"/>
    <w:rsid w:val="00C8303F"/>
    <w:rsid w:val="00C8339E"/>
    <w:rsid w:val="00C836D2"/>
    <w:rsid w:val="00C83F0A"/>
    <w:rsid w:val="00C83F5F"/>
    <w:rsid w:val="00C840B7"/>
    <w:rsid w:val="00C84198"/>
    <w:rsid w:val="00C84305"/>
    <w:rsid w:val="00C843AB"/>
    <w:rsid w:val="00C84CDB"/>
    <w:rsid w:val="00C8501F"/>
    <w:rsid w:val="00C85179"/>
    <w:rsid w:val="00C854B0"/>
    <w:rsid w:val="00C85615"/>
    <w:rsid w:val="00C8566D"/>
    <w:rsid w:val="00C85DAE"/>
    <w:rsid w:val="00C86086"/>
    <w:rsid w:val="00C8609A"/>
    <w:rsid w:val="00C86452"/>
    <w:rsid w:val="00C864FC"/>
    <w:rsid w:val="00C86A8B"/>
    <w:rsid w:val="00C874C1"/>
    <w:rsid w:val="00C8750D"/>
    <w:rsid w:val="00C87825"/>
    <w:rsid w:val="00C87920"/>
    <w:rsid w:val="00C87930"/>
    <w:rsid w:val="00C87DBF"/>
    <w:rsid w:val="00C901F7"/>
    <w:rsid w:val="00C9025E"/>
    <w:rsid w:val="00C9055C"/>
    <w:rsid w:val="00C90851"/>
    <w:rsid w:val="00C9085D"/>
    <w:rsid w:val="00C909AC"/>
    <w:rsid w:val="00C909F0"/>
    <w:rsid w:val="00C90A3A"/>
    <w:rsid w:val="00C90BF7"/>
    <w:rsid w:val="00C9118A"/>
    <w:rsid w:val="00C911A2"/>
    <w:rsid w:val="00C91451"/>
    <w:rsid w:val="00C914AB"/>
    <w:rsid w:val="00C914EB"/>
    <w:rsid w:val="00C9160C"/>
    <w:rsid w:val="00C916AE"/>
    <w:rsid w:val="00C917F2"/>
    <w:rsid w:val="00C91D10"/>
    <w:rsid w:val="00C92031"/>
    <w:rsid w:val="00C92067"/>
    <w:rsid w:val="00C9239F"/>
    <w:rsid w:val="00C9243D"/>
    <w:rsid w:val="00C926C3"/>
    <w:rsid w:val="00C927BC"/>
    <w:rsid w:val="00C92981"/>
    <w:rsid w:val="00C929B3"/>
    <w:rsid w:val="00C929E0"/>
    <w:rsid w:val="00C92C40"/>
    <w:rsid w:val="00C9338C"/>
    <w:rsid w:val="00C93985"/>
    <w:rsid w:val="00C93F1C"/>
    <w:rsid w:val="00C9402E"/>
    <w:rsid w:val="00C9403D"/>
    <w:rsid w:val="00C94064"/>
    <w:rsid w:val="00C9408D"/>
    <w:rsid w:val="00C94113"/>
    <w:rsid w:val="00C94399"/>
    <w:rsid w:val="00C943E5"/>
    <w:rsid w:val="00C948CE"/>
    <w:rsid w:val="00C94BBD"/>
    <w:rsid w:val="00C94CE2"/>
    <w:rsid w:val="00C95026"/>
    <w:rsid w:val="00C951DD"/>
    <w:rsid w:val="00C95208"/>
    <w:rsid w:val="00C9532D"/>
    <w:rsid w:val="00C953C0"/>
    <w:rsid w:val="00C955AF"/>
    <w:rsid w:val="00C9584B"/>
    <w:rsid w:val="00C95A6A"/>
    <w:rsid w:val="00C95A94"/>
    <w:rsid w:val="00C95FAD"/>
    <w:rsid w:val="00C96534"/>
    <w:rsid w:val="00C9656F"/>
    <w:rsid w:val="00C96FBD"/>
    <w:rsid w:val="00C97345"/>
    <w:rsid w:val="00C975FC"/>
    <w:rsid w:val="00C97736"/>
    <w:rsid w:val="00C97749"/>
    <w:rsid w:val="00C97BDF"/>
    <w:rsid w:val="00C97BF8"/>
    <w:rsid w:val="00C97DFE"/>
    <w:rsid w:val="00C97E01"/>
    <w:rsid w:val="00CA006A"/>
    <w:rsid w:val="00CA036F"/>
    <w:rsid w:val="00CA05E0"/>
    <w:rsid w:val="00CA092B"/>
    <w:rsid w:val="00CA094D"/>
    <w:rsid w:val="00CA0F8F"/>
    <w:rsid w:val="00CA10A8"/>
    <w:rsid w:val="00CA1189"/>
    <w:rsid w:val="00CA1273"/>
    <w:rsid w:val="00CA1332"/>
    <w:rsid w:val="00CA13F7"/>
    <w:rsid w:val="00CA16A5"/>
    <w:rsid w:val="00CA186D"/>
    <w:rsid w:val="00CA1B09"/>
    <w:rsid w:val="00CA1E02"/>
    <w:rsid w:val="00CA22FD"/>
    <w:rsid w:val="00CA2363"/>
    <w:rsid w:val="00CA2544"/>
    <w:rsid w:val="00CA254A"/>
    <w:rsid w:val="00CA2EAE"/>
    <w:rsid w:val="00CA313D"/>
    <w:rsid w:val="00CA31F0"/>
    <w:rsid w:val="00CA35AB"/>
    <w:rsid w:val="00CA379D"/>
    <w:rsid w:val="00CA37C1"/>
    <w:rsid w:val="00CA38E7"/>
    <w:rsid w:val="00CA3B50"/>
    <w:rsid w:val="00CA3BF5"/>
    <w:rsid w:val="00CA3C17"/>
    <w:rsid w:val="00CA4286"/>
    <w:rsid w:val="00CA4A22"/>
    <w:rsid w:val="00CA4C18"/>
    <w:rsid w:val="00CA4C58"/>
    <w:rsid w:val="00CA4D15"/>
    <w:rsid w:val="00CA4F60"/>
    <w:rsid w:val="00CA516B"/>
    <w:rsid w:val="00CA54E0"/>
    <w:rsid w:val="00CA61EC"/>
    <w:rsid w:val="00CA62CD"/>
    <w:rsid w:val="00CA6B75"/>
    <w:rsid w:val="00CA6F0A"/>
    <w:rsid w:val="00CA74E0"/>
    <w:rsid w:val="00CA7601"/>
    <w:rsid w:val="00CA763B"/>
    <w:rsid w:val="00CA7691"/>
    <w:rsid w:val="00CA7800"/>
    <w:rsid w:val="00CA7819"/>
    <w:rsid w:val="00CA7C30"/>
    <w:rsid w:val="00CA7D30"/>
    <w:rsid w:val="00CA7E57"/>
    <w:rsid w:val="00CB02AA"/>
    <w:rsid w:val="00CB049B"/>
    <w:rsid w:val="00CB0578"/>
    <w:rsid w:val="00CB084B"/>
    <w:rsid w:val="00CB0C9E"/>
    <w:rsid w:val="00CB1442"/>
    <w:rsid w:val="00CB1D1C"/>
    <w:rsid w:val="00CB1D3E"/>
    <w:rsid w:val="00CB1E12"/>
    <w:rsid w:val="00CB1E72"/>
    <w:rsid w:val="00CB2120"/>
    <w:rsid w:val="00CB21E5"/>
    <w:rsid w:val="00CB2841"/>
    <w:rsid w:val="00CB28F9"/>
    <w:rsid w:val="00CB2AB3"/>
    <w:rsid w:val="00CB2C9B"/>
    <w:rsid w:val="00CB2E55"/>
    <w:rsid w:val="00CB2FA3"/>
    <w:rsid w:val="00CB321B"/>
    <w:rsid w:val="00CB33C4"/>
    <w:rsid w:val="00CB34A2"/>
    <w:rsid w:val="00CB369F"/>
    <w:rsid w:val="00CB3B8C"/>
    <w:rsid w:val="00CB3C96"/>
    <w:rsid w:val="00CB3CCE"/>
    <w:rsid w:val="00CB3CFB"/>
    <w:rsid w:val="00CB3F3A"/>
    <w:rsid w:val="00CB454B"/>
    <w:rsid w:val="00CB4830"/>
    <w:rsid w:val="00CB496B"/>
    <w:rsid w:val="00CB4BA3"/>
    <w:rsid w:val="00CB4DB3"/>
    <w:rsid w:val="00CB4E56"/>
    <w:rsid w:val="00CB4F31"/>
    <w:rsid w:val="00CB5075"/>
    <w:rsid w:val="00CB5276"/>
    <w:rsid w:val="00CB56AB"/>
    <w:rsid w:val="00CB577A"/>
    <w:rsid w:val="00CB585A"/>
    <w:rsid w:val="00CB595F"/>
    <w:rsid w:val="00CB59AD"/>
    <w:rsid w:val="00CB5C2F"/>
    <w:rsid w:val="00CB5C3A"/>
    <w:rsid w:val="00CB5FE6"/>
    <w:rsid w:val="00CB6107"/>
    <w:rsid w:val="00CB6484"/>
    <w:rsid w:val="00CB68C0"/>
    <w:rsid w:val="00CB6997"/>
    <w:rsid w:val="00CB6BC0"/>
    <w:rsid w:val="00CB6BD7"/>
    <w:rsid w:val="00CB6EBF"/>
    <w:rsid w:val="00CB708A"/>
    <w:rsid w:val="00CB76A5"/>
    <w:rsid w:val="00CB76DE"/>
    <w:rsid w:val="00CB78BD"/>
    <w:rsid w:val="00CB7B29"/>
    <w:rsid w:val="00CB7DED"/>
    <w:rsid w:val="00CC03D0"/>
    <w:rsid w:val="00CC06C4"/>
    <w:rsid w:val="00CC0CB6"/>
    <w:rsid w:val="00CC0CDD"/>
    <w:rsid w:val="00CC1C3B"/>
    <w:rsid w:val="00CC1FDC"/>
    <w:rsid w:val="00CC22BB"/>
    <w:rsid w:val="00CC261F"/>
    <w:rsid w:val="00CC27F0"/>
    <w:rsid w:val="00CC27FA"/>
    <w:rsid w:val="00CC28C9"/>
    <w:rsid w:val="00CC28CE"/>
    <w:rsid w:val="00CC2AF1"/>
    <w:rsid w:val="00CC2CF0"/>
    <w:rsid w:val="00CC3185"/>
    <w:rsid w:val="00CC31E8"/>
    <w:rsid w:val="00CC36E7"/>
    <w:rsid w:val="00CC43C0"/>
    <w:rsid w:val="00CC48FD"/>
    <w:rsid w:val="00CC4AA1"/>
    <w:rsid w:val="00CC4F50"/>
    <w:rsid w:val="00CC4F61"/>
    <w:rsid w:val="00CC5108"/>
    <w:rsid w:val="00CC51CB"/>
    <w:rsid w:val="00CC5389"/>
    <w:rsid w:val="00CC53CB"/>
    <w:rsid w:val="00CC568A"/>
    <w:rsid w:val="00CC57D9"/>
    <w:rsid w:val="00CC5C77"/>
    <w:rsid w:val="00CC5CD8"/>
    <w:rsid w:val="00CC5EB6"/>
    <w:rsid w:val="00CC5F4C"/>
    <w:rsid w:val="00CC5FD3"/>
    <w:rsid w:val="00CC62A7"/>
    <w:rsid w:val="00CC6354"/>
    <w:rsid w:val="00CC68C4"/>
    <w:rsid w:val="00CC6925"/>
    <w:rsid w:val="00CC6B33"/>
    <w:rsid w:val="00CC6E14"/>
    <w:rsid w:val="00CC6E8B"/>
    <w:rsid w:val="00CC7690"/>
    <w:rsid w:val="00CC78C9"/>
    <w:rsid w:val="00CC7941"/>
    <w:rsid w:val="00CC7EDB"/>
    <w:rsid w:val="00CC7F88"/>
    <w:rsid w:val="00CD0107"/>
    <w:rsid w:val="00CD03D2"/>
    <w:rsid w:val="00CD04C3"/>
    <w:rsid w:val="00CD07FB"/>
    <w:rsid w:val="00CD08F0"/>
    <w:rsid w:val="00CD11ED"/>
    <w:rsid w:val="00CD1498"/>
    <w:rsid w:val="00CD14E2"/>
    <w:rsid w:val="00CD1661"/>
    <w:rsid w:val="00CD16E1"/>
    <w:rsid w:val="00CD1A4E"/>
    <w:rsid w:val="00CD1C2F"/>
    <w:rsid w:val="00CD1C3A"/>
    <w:rsid w:val="00CD1C75"/>
    <w:rsid w:val="00CD1F76"/>
    <w:rsid w:val="00CD2407"/>
    <w:rsid w:val="00CD292E"/>
    <w:rsid w:val="00CD2B35"/>
    <w:rsid w:val="00CD2C89"/>
    <w:rsid w:val="00CD2CD8"/>
    <w:rsid w:val="00CD2E3A"/>
    <w:rsid w:val="00CD3C07"/>
    <w:rsid w:val="00CD3C69"/>
    <w:rsid w:val="00CD3E40"/>
    <w:rsid w:val="00CD4088"/>
    <w:rsid w:val="00CD427F"/>
    <w:rsid w:val="00CD433B"/>
    <w:rsid w:val="00CD4398"/>
    <w:rsid w:val="00CD4CD1"/>
    <w:rsid w:val="00CD5142"/>
    <w:rsid w:val="00CD55E0"/>
    <w:rsid w:val="00CD5709"/>
    <w:rsid w:val="00CD5ABB"/>
    <w:rsid w:val="00CD5CBC"/>
    <w:rsid w:val="00CD5E10"/>
    <w:rsid w:val="00CD6123"/>
    <w:rsid w:val="00CD6125"/>
    <w:rsid w:val="00CD61B0"/>
    <w:rsid w:val="00CD61C8"/>
    <w:rsid w:val="00CD62F0"/>
    <w:rsid w:val="00CD683C"/>
    <w:rsid w:val="00CD6842"/>
    <w:rsid w:val="00CD6A40"/>
    <w:rsid w:val="00CD6B58"/>
    <w:rsid w:val="00CD6CA8"/>
    <w:rsid w:val="00CD6F29"/>
    <w:rsid w:val="00CD7004"/>
    <w:rsid w:val="00CD7021"/>
    <w:rsid w:val="00CD751E"/>
    <w:rsid w:val="00CD7A6F"/>
    <w:rsid w:val="00CD7B7E"/>
    <w:rsid w:val="00CD7BFF"/>
    <w:rsid w:val="00CD7F38"/>
    <w:rsid w:val="00CE009F"/>
    <w:rsid w:val="00CE03FA"/>
    <w:rsid w:val="00CE08C1"/>
    <w:rsid w:val="00CE0B1D"/>
    <w:rsid w:val="00CE0DB7"/>
    <w:rsid w:val="00CE15BA"/>
    <w:rsid w:val="00CE1699"/>
    <w:rsid w:val="00CE18CD"/>
    <w:rsid w:val="00CE1D36"/>
    <w:rsid w:val="00CE1FC8"/>
    <w:rsid w:val="00CE245C"/>
    <w:rsid w:val="00CE248A"/>
    <w:rsid w:val="00CE26BF"/>
    <w:rsid w:val="00CE26C4"/>
    <w:rsid w:val="00CE2D28"/>
    <w:rsid w:val="00CE2F1F"/>
    <w:rsid w:val="00CE30C9"/>
    <w:rsid w:val="00CE34BD"/>
    <w:rsid w:val="00CE362C"/>
    <w:rsid w:val="00CE371C"/>
    <w:rsid w:val="00CE385E"/>
    <w:rsid w:val="00CE3C65"/>
    <w:rsid w:val="00CE3DFD"/>
    <w:rsid w:val="00CE40DA"/>
    <w:rsid w:val="00CE4525"/>
    <w:rsid w:val="00CE460F"/>
    <w:rsid w:val="00CE4782"/>
    <w:rsid w:val="00CE4BC4"/>
    <w:rsid w:val="00CE4DE1"/>
    <w:rsid w:val="00CE4FB4"/>
    <w:rsid w:val="00CE50DF"/>
    <w:rsid w:val="00CE5186"/>
    <w:rsid w:val="00CE559B"/>
    <w:rsid w:val="00CE56DD"/>
    <w:rsid w:val="00CE56E6"/>
    <w:rsid w:val="00CE57AE"/>
    <w:rsid w:val="00CE5AFF"/>
    <w:rsid w:val="00CE6205"/>
    <w:rsid w:val="00CE62A1"/>
    <w:rsid w:val="00CE64FF"/>
    <w:rsid w:val="00CE674C"/>
    <w:rsid w:val="00CE682D"/>
    <w:rsid w:val="00CE78CA"/>
    <w:rsid w:val="00CF0731"/>
    <w:rsid w:val="00CF0952"/>
    <w:rsid w:val="00CF0CF9"/>
    <w:rsid w:val="00CF0E95"/>
    <w:rsid w:val="00CF113A"/>
    <w:rsid w:val="00CF11CC"/>
    <w:rsid w:val="00CF1313"/>
    <w:rsid w:val="00CF14A4"/>
    <w:rsid w:val="00CF1520"/>
    <w:rsid w:val="00CF15E0"/>
    <w:rsid w:val="00CF17BF"/>
    <w:rsid w:val="00CF17CF"/>
    <w:rsid w:val="00CF18BA"/>
    <w:rsid w:val="00CF1B85"/>
    <w:rsid w:val="00CF1DBC"/>
    <w:rsid w:val="00CF1F26"/>
    <w:rsid w:val="00CF206F"/>
    <w:rsid w:val="00CF2484"/>
    <w:rsid w:val="00CF258C"/>
    <w:rsid w:val="00CF2C47"/>
    <w:rsid w:val="00CF2D6B"/>
    <w:rsid w:val="00CF2E54"/>
    <w:rsid w:val="00CF34D0"/>
    <w:rsid w:val="00CF3935"/>
    <w:rsid w:val="00CF3C54"/>
    <w:rsid w:val="00CF3DB3"/>
    <w:rsid w:val="00CF3FF2"/>
    <w:rsid w:val="00CF414C"/>
    <w:rsid w:val="00CF42BE"/>
    <w:rsid w:val="00CF45CE"/>
    <w:rsid w:val="00CF4782"/>
    <w:rsid w:val="00CF481E"/>
    <w:rsid w:val="00CF4A66"/>
    <w:rsid w:val="00CF4ABD"/>
    <w:rsid w:val="00CF4B5B"/>
    <w:rsid w:val="00CF4D5D"/>
    <w:rsid w:val="00CF4EEE"/>
    <w:rsid w:val="00CF52FE"/>
    <w:rsid w:val="00CF5309"/>
    <w:rsid w:val="00CF539D"/>
    <w:rsid w:val="00CF56C0"/>
    <w:rsid w:val="00CF5993"/>
    <w:rsid w:val="00CF5AA4"/>
    <w:rsid w:val="00CF5AD3"/>
    <w:rsid w:val="00CF621E"/>
    <w:rsid w:val="00CF630E"/>
    <w:rsid w:val="00CF67C3"/>
    <w:rsid w:val="00CF692E"/>
    <w:rsid w:val="00CF6DF8"/>
    <w:rsid w:val="00CF767D"/>
    <w:rsid w:val="00CF7859"/>
    <w:rsid w:val="00CF7936"/>
    <w:rsid w:val="00CF7B6D"/>
    <w:rsid w:val="00D004EE"/>
    <w:rsid w:val="00D007D8"/>
    <w:rsid w:val="00D00880"/>
    <w:rsid w:val="00D008F0"/>
    <w:rsid w:val="00D00A75"/>
    <w:rsid w:val="00D00E23"/>
    <w:rsid w:val="00D0110F"/>
    <w:rsid w:val="00D01172"/>
    <w:rsid w:val="00D014CB"/>
    <w:rsid w:val="00D01745"/>
    <w:rsid w:val="00D01838"/>
    <w:rsid w:val="00D01958"/>
    <w:rsid w:val="00D019E4"/>
    <w:rsid w:val="00D01A43"/>
    <w:rsid w:val="00D01CF8"/>
    <w:rsid w:val="00D01D90"/>
    <w:rsid w:val="00D01EFB"/>
    <w:rsid w:val="00D01FAB"/>
    <w:rsid w:val="00D0265D"/>
    <w:rsid w:val="00D02858"/>
    <w:rsid w:val="00D028E7"/>
    <w:rsid w:val="00D02CF4"/>
    <w:rsid w:val="00D02FC6"/>
    <w:rsid w:val="00D036C4"/>
    <w:rsid w:val="00D03E48"/>
    <w:rsid w:val="00D04442"/>
    <w:rsid w:val="00D04858"/>
    <w:rsid w:val="00D04983"/>
    <w:rsid w:val="00D04D1B"/>
    <w:rsid w:val="00D05106"/>
    <w:rsid w:val="00D05164"/>
    <w:rsid w:val="00D058DF"/>
    <w:rsid w:val="00D05AA9"/>
    <w:rsid w:val="00D05C5F"/>
    <w:rsid w:val="00D05CD5"/>
    <w:rsid w:val="00D05E10"/>
    <w:rsid w:val="00D05F2C"/>
    <w:rsid w:val="00D06049"/>
    <w:rsid w:val="00D065D0"/>
    <w:rsid w:val="00D068DF"/>
    <w:rsid w:val="00D0701B"/>
    <w:rsid w:val="00D078B0"/>
    <w:rsid w:val="00D07A7F"/>
    <w:rsid w:val="00D07C1A"/>
    <w:rsid w:val="00D10762"/>
    <w:rsid w:val="00D10943"/>
    <w:rsid w:val="00D10BC9"/>
    <w:rsid w:val="00D10CF9"/>
    <w:rsid w:val="00D110A7"/>
    <w:rsid w:val="00D110CB"/>
    <w:rsid w:val="00D112F2"/>
    <w:rsid w:val="00D1149C"/>
    <w:rsid w:val="00D11729"/>
    <w:rsid w:val="00D117A5"/>
    <w:rsid w:val="00D11A2C"/>
    <w:rsid w:val="00D120D5"/>
    <w:rsid w:val="00D122F4"/>
    <w:rsid w:val="00D1251B"/>
    <w:rsid w:val="00D12658"/>
    <w:rsid w:val="00D12BA7"/>
    <w:rsid w:val="00D13010"/>
    <w:rsid w:val="00D13179"/>
    <w:rsid w:val="00D133FA"/>
    <w:rsid w:val="00D134A0"/>
    <w:rsid w:val="00D134D4"/>
    <w:rsid w:val="00D1350B"/>
    <w:rsid w:val="00D13857"/>
    <w:rsid w:val="00D138C3"/>
    <w:rsid w:val="00D13A61"/>
    <w:rsid w:val="00D14032"/>
    <w:rsid w:val="00D140B9"/>
    <w:rsid w:val="00D14276"/>
    <w:rsid w:val="00D147F1"/>
    <w:rsid w:val="00D14968"/>
    <w:rsid w:val="00D14CE7"/>
    <w:rsid w:val="00D14D8E"/>
    <w:rsid w:val="00D153F9"/>
    <w:rsid w:val="00D15755"/>
    <w:rsid w:val="00D15A4A"/>
    <w:rsid w:val="00D15A4D"/>
    <w:rsid w:val="00D15C34"/>
    <w:rsid w:val="00D1645C"/>
    <w:rsid w:val="00D166A3"/>
    <w:rsid w:val="00D167C9"/>
    <w:rsid w:val="00D1697D"/>
    <w:rsid w:val="00D16BA7"/>
    <w:rsid w:val="00D16BEB"/>
    <w:rsid w:val="00D16D2F"/>
    <w:rsid w:val="00D16E60"/>
    <w:rsid w:val="00D175D5"/>
    <w:rsid w:val="00D17D52"/>
    <w:rsid w:val="00D20505"/>
    <w:rsid w:val="00D20742"/>
    <w:rsid w:val="00D2092E"/>
    <w:rsid w:val="00D20B9D"/>
    <w:rsid w:val="00D20F8F"/>
    <w:rsid w:val="00D212DF"/>
    <w:rsid w:val="00D2138C"/>
    <w:rsid w:val="00D216A3"/>
    <w:rsid w:val="00D219D4"/>
    <w:rsid w:val="00D21B16"/>
    <w:rsid w:val="00D21BF0"/>
    <w:rsid w:val="00D21D52"/>
    <w:rsid w:val="00D21D84"/>
    <w:rsid w:val="00D21FCB"/>
    <w:rsid w:val="00D22094"/>
    <w:rsid w:val="00D220B8"/>
    <w:rsid w:val="00D221B1"/>
    <w:rsid w:val="00D2263E"/>
    <w:rsid w:val="00D22688"/>
    <w:rsid w:val="00D226E4"/>
    <w:rsid w:val="00D22724"/>
    <w:rsid w:val="00D2294F"/>
    <w:rsid w:val="00D2297B"/>
    <w:rsid w:val="00D229D9"/>
    <w:rsid w:val="00D22A5C"/>
    <w:rsid w:val="00D22A89"/>
    <w:rsid w:val="00D22E32"/>
    <w:rsid w:val="00D2303E"/>
    <w:rsid w:val="00D232D1"/>
    <w:rsid w:val="00D234F4"/>
    <w:rsid w:val="00D2369A"/>
    <w:rsid w:val="00D239F6"/>
    <w:rsid w:val="00D23A96"/>
    <w:rsid w:val="00D23CAD"/>
    <w:rsid w:val="00D23EDA"/>
    <w:rsid w:val="00D24170"/>
    <w:rsid w:val="00D2428B"/>
    <w:rsid w:val="00D24780"/>
    <w:rsid w:val="00D24CC0"/>
    <w:rsid w:val="00D24DBE"/>
    <w:rsid w:val="00D25366"/>
    <w:rsid w:val="00D2546C"/>
    <w:rsid w:val="00D259E9"/>
    <w:rsid w:val="00D25DF4"/>
    <w:rsid w:val="00D26262"/>
    <w:rsid w:val="00D2642C"/>
    <w:rsid w:val="00D26B5D"/>
    <w:rsid w:val="00D2747E"/>
    <w:rsid w:val="00D27855"/>
    <w:rsid w:val="00D27DAC"/>
    <w:rsid w:val="00D301E9"/>
    <w:rsid w:val="00D30306"/>
    <w:rsid w:val="00D3055C"/>
    <w:rsid w:val="00D306A6"/>
    <w:rsid w:val="00D306AA"/>
    <w:rsid w:val="00D306BC"/>
    <w:rsid w:val="00D30AB8"/>
    <w:rsid w:val="00D30ADB"/>
    <w:rsid w:val="00D30BA9"/>
    <w:rsid w:val="00D30DE5"/>
    <w:rsid w:val="00D30F1A"/>
    <w:rsid w:val="00D3120C"/>
    <w:rsid w:val="00D3162A"/>
    <w:rsid w:val="00D317FA"/>
    <w:rsid w:val="00D31955"/>
    <w:rsid w:val="00D31EEE"/>
    <w:rsid w:val="00D321BA"/>
    <w:rsid w:val="00D321EC"/>
    <w:rsid w:val="00D32809"/>
    <w:rsid w:val="00D32892"/>
    <w:rsid w:val="00D3315B"/>
    <w:rsid w:val="00D335BB"/>
    <w:rsid w:val="00D335F5"/>
    <w:rsid w:val="00D33A54"/>
    <w:rsid w:val="00D33F4A"/>
    <w:rsid w:val="00D344CC"/>
    <w:rsid w:val="00D34B17"/>
    <w:rsid w:val="00D34D44"/>
    <w:rsid w:val="00D34D83"/>
    <w:rsid w:val="00D34D97"/>
    <w:rsid w:val="00D351C9"/>
    <w:rsid w:val="00D354C9"/>
    <w:rsid w:val="00D355DD"/>
    <w:rsid w:val="00D355F8"/>
    <w:rsid w:val="00D3579B"/>
    <w:rsid w:val="00D35A9D"/>
    <w:rsid w:val="00D3603D"/>
    <w:rsid w:val="00D36190"/>
    <w:rsid w:val="00D361EB"/>
    <w:rsid w:val="00D36C99"/>
    <w:rsid w:val="00D37901"/>
    <w:rsid w:val="00D37919"/>
    <w:rsid w:val="00D37A44"/>
    <w:rsid w:val="00D37D17"/>
    <w:rsid w:val="00D37E6B"/>
    <w:rsid w:val="00D37F5B"/>
    <w:rsid w:val="00D40033"/>
    <w:rsid w:val="00D400DA"/>
    <w:rsid w:val="00D400F4"/>
    <w:rsid w:val="00D40269"/>
    <w:rsid w:val="00D40501"/>
    <w:rsid w:val="00D407C0"/>
    <w:rsid w:val="00D40899"/>
    <w:rsid w:val="00D40D2B"/>
    <w:rsid w:val="00D41434"/>
    <w:rsid w:val="00D416DC"/>
    <w:rsid w:val="00D417C2"/>
    <w:rsid w:val="00D41A06"/>
    <w:rsid w:val="00D41E3E"/>
    <w:rsid w:val="00D42068"/>
    <w:rsid w:val="00D42278"/>
    <w:rsid w:val="00D42CB0"/>
    <w:rsid w:val="00D42CCD"/>
    <w:rsid w:val="00D42EC8"/>
    <w:rsid w:val="00D42F87"/>
    <w:rsid w:val="00D43351"/>
    <w:rsid w:val="00D43402"/>
    <w:rsid w:val="00D436DB"/>
    <w:rsid w:val="00D43863"/>
    <w:rsid w:val="00D439B0"/>
    <w:rsid w:val="00D43F89"/>
    <w:rsid w:val="00D43FA1"/>
    <w:rsid w:val="00D44048"/>
    <w:rsid w:val="00D441FE"/>
    <w:rsid w:val="00D4463A"/>
    <w:rsid w:val="00D44725"/>
    <w:rsid w:val="00D44901"/>
    <w:rsid w:val="00D44AA9"/>
    <w:rsid w:val="00D44B45"/>
    <w:rsid w:val="00D44D56"/>
    <w:rsid w:val="00D44DBF"/>
    <w:rsid w:val="00D45022"/>
    <w:rsid w:val="00D453A7"/>
    <w:rsid w:val="00D453CA"/>
    <w:rsid w:val="00D45621"/>
    <w:rsid w:val="00D459B9"/>
    <w:rsid w:val="00D459C0"/>
    <w:rsid w:val="00D45C5D"/>
    <w:rsid w:val="00D45E5A"/>
    <w:rsid w:val="00D4602D"/>
    <w:rsid w:val="00D4641C"/>
    <w:rsid w:val="00D465FE"/>
    <w:rsid w:val="00D4661A"/>
    <w:rsid w:val="00D46653"/>
    <w:rsid w:val="00D4668E"/>
    <w:rsid w:val="00D4674D"/>
    <w:rsid w:val="00D47189"/>
    <w:rsid w:val="00D471F0"/>
    <w:rsid w:val="00D47551"/>
    <w:rsid w:val="00D4755A"/>
    <w:rsid w:val="00D47754"/>
    <w:rsid w:val="00D47C0B"/>
    <w:rsid w:val="00D47C64"/>
    <w:rsid w:val="00D47E57"/>
    <w:rsid w:val="00D5014E"/>
    <w:rsid w:val="00D50C30"/>
    <w:rsid w:val="00D50C53"/>
    <w:rsid w:val="00D50EB5"/>
    <w:rsid w:val="00D512C8"/>
    <w:rsid w:val="00D51659"/>
    <w:rsid w:val="00D517D9"/>
    <w:rsid w:val="00D51D1D"/>
    <w:rsid w:val="00D52258"/>
    <w:rsid w:val="00D522AC"/>
    <w:rsid w:val="00D52453"/>
    <w:rsid w:val="00D52DA7"/>
    <w:rsid w:val="00D52E92"/>
    <w:rsid w:val="00D5322B"/>
    <w:rsid w:val="00D53290"/>
    <w:rsid w:val="00D53A12"/>
    <w:rsid w:val="00D53F5E"/>
    <w:rsid w:val="00D540F7"/>
    <w:rsid w:val="00D5414F"/>
    <w:rsid w:val="00D548C3"/>
    <w:rsid w:val="00D548CD"/>
    <w:rsid w:val="00D54939"/>
    <w:rsid w:val="00D549CC"/>
    <w:rsid w:val="00D54BB3"/>
    <w:rsid w:val="00D54DC0"/>
    <w:rsid w:val="00D54E56"/>
    <w:rsid w:val="00D54F6E"/>
    <w:rsid w:val="00D54FB6"/>
    <w:rsid w:val="00D54FEB"/>
    <w:rsid w:val="00D55280"/>
    <w:rsid w:val="00D553B4"/>
    <w:rsid w:val="00D555C2"/>
    <w:rsid w:val="00D5562D"/>
    <w:rsid w:val="00D55C7F"/>
    <w:rsid w:val="00D55F50"/>
    <w:rsid w:val="00D567F5"/>
    <w:rsid w:val="00D56F9D"/>
    <w:rsid w:val="00D574A2"/>
    <w:rsid w:val="00D574B0"/>
    <w:rsid w:val="00D5769B"/>
    <w:rsid w:val="00D57794"/>
    <w:rsid w:val="00D57C6D"/>
    <w:rsid w:val="00D57CC2"/>
    <w:rsid w:val="00D57E6A"/>
    <w:rsid w:val="00D607DD"/>
    <w:rsid w:val="00D609FB"/>
    <w:rsid w:val="00D610F8"/>
    <w:rsid w:val="00D615A0"/>
    <w:rsid w:val="00D619DB"/>
    <w:rsid w:val="00D61C0F"/>
    <w:rsid w:val="00D61E76"/>
    <w:rsid w:val="00D621BD"/>
    <w:rsid w:val="00D625F5"/>
    <w:rsid w:val="00D627A4"/>
    <w:rsid w:val="00D6299A"/>
    <w:rsid w:val="00D62E43"/>
    <w:rsid w:val="00D632AA"/>
    <w:rsid w:val="00D63700"/>
    <w:rsid w:val="00D63863"/>
    <w:rsid w:val="00D63A22"/>
    <w:rsid w:val="00D64220"/>
    <w:rsid w:val="00D64226"/>
    <w:rsid w:val="00D643C0"/>
    <w:rsid w:val="00D646C4"/>
    <w:rsid w:val="00D64818"/>
    <w:rsid w:val="00D64B83"/>
    <w:rsid w:val="00D64CEE"/>
    <w:rsid w:val="00D64DBD"/>
    <w:rsid w:val="00D64E3A"/>
    <w:rsid w:val="00D651EB"/>
    <w:rsid w:val="00D6544F"/>
    <w:rsid w:val="00D65A31"/>
    <w:rsid w:val="00D65A5E"/>
    <w:rsid w:val="00D65B4D"/>
    <w:rsid w:val="00D65BE5"/>
    <w:rsid w:val="00D65F25"/>
    <w:rsid w:val="00D66047"/>
    <w:rsid w:val="00D6639D"/>
    <w:rsid w:val="00D66A01"/>
    <w:rsid w:val="00D66C2D"/>
    <w:rsid w:val="00D66D63"/>
    <w:rsid w:val="00D66E6E"/>
    <w:rsid w:val="00D66EF0"/>
    <w:rsid w:val="00D66F43"/>
    <w:rsid w:val="00D67231"/>
    <w:rsid w:val="00D67535"/>
    <w:rsid w:val="00D67537"/>
    <w:rsid w:val="00D6759D"/>
    <w:rsid w:val="00D6764A"/>
    <w:rsid w:val="00D67AAF"/>
    <w:rsid w:val="00D67B0E"/>
    <w:rsid w:val="00D70210"/>
    <w:rsid w:val="00D7033D"/>
    <w:rsid w:val="00D70494"/>
    <w:rsid w:val="00D7051B"/>
    <w:rsid w:val="00D70DAF"/>
    <w:rsid w:val="00D70ED2"/>
    <w:rsid w:val="00D70FB5"/>
    <w:rsid w:val="00D71247"/>
    <w:rsid w:val="00D7141B"/>
    <w:rsid w:val="00D71C08"/>
    <w:rsid w:val="00D71D8A"/>
    <w:rsid w:val="00D71F8C"/>
    <w:rsid w:val="00D71FBD"/>
    <w:rsid w:val="00D72153"/>
    <w:rsid w:val="00D724B4"/>
    <w:rsid w:val="00D7279C"/>
    <w:rsid w:val="00D72E82"/>
    <w:rsid w:val="00D72F23"/>
    <w:rsid w:val="00D72F29"/>
    <w:rsid w:val="00D7307C"/>
    <w:rsid w:val="00D7320F"/>
    <w:rsid w:val="00D73588"/>
    <w:rsid w:val="00D738D0"/>
    <w:rsid w:val="00D73939"/>
    <w:rsid w:val="00D740E7"/>
    <w:rsid w:val="00D743CA"/>
    <w:rsid w:val="00D74518"/>
    <w:rsid w:val="00D746F5"/>
    <w:rsid w:val="00D749A8"/>
    <w:rsid w:val="00D74EA5"/>
    <w:rsid w:val="00D74ED3"/>
    <w:rsid w:val="00D75170"/>
    <w:rsid w:val="00D75273"/>
    <w:rsid w:val="00D757E9"/>
    <w:rsid w:val="00D75D25"/>
    <w:rsid w:val="00D75DB7"/>
    <w:rsid w:val="00D75E9F"/>
    <w:rsid w:val="00D75F61"/>
    <w:rsid w:val="00D76293"/>
    <w:rsid w:val="00D76300"/>
    <w:rsid w:val="00D768F0"/>
    <w:rsid w:val="00D769CF"/>
    <w:rsid w:val="00D76A4C"/>
    <w:rsid w:val="00D76BA4"/>
    <w:rsid w:val="00D76C52"/>
    <w:rsid w:val="00D76C71"/>
    <w:rsid w:val="00D76D01"/>
    <w:rsid w:val="00D76E1A"/>
    <w:rsid w:val="00D76E99"/>
    <w:rsid w:val="00D771C6"/>
    <w:rsid w:val="00D7725A"/>
    <w:rsid w:val="00D77391"/>
    <w:rsid w:val="00D77416"/>
    <w:rsid w:val="00D777BC"/>
    <w:rsid w:val="00D77A27"/>
    <w:rsid w:val="00D77A53"/>
    <w:rsid w:val="00D77AE4"/>
    <w:rsid w:val="00D77DA3"/>
    <w:rsid w:val="00D77DBE"/>
    <w:rsid w:val="00D77E8E"/>
    <w:rsid w:val="00D77F16"/>
    <w:rsid w:val="00D77FEB"/>
    <w:rsid w:val="00D80001"/>
    <w:rsid w:val="00D8021D"/>
    <w:rsid w:val="00D80674"/>
    <w:rsid w:val="00D806AC"/>
    <w:rsid w:val="00D8093C"/>
    <w:rsid w:val="00D80A47"/>
    <w:rsid w:val="00D80B84"/>
    <w:rsid w:val="00D80EE2"/>
    <w:rsid w:val="00D815BC"/>
    <w:rsid w:val="00D8187E"/>
    <w:rsid w:val="00D8194E"/>
    <w:rsid w:val="00D8200B"/>
    <w:rsid w:val="00D8279B"/>
    <w:rsid w:val="00D827C6"/>
    <w:rsid w:val="00D82ADE"/>
    <w:rsid w:val="00D82D27"/>
    <w:rsid w:val="00D82EA9"/>
    <w:rsid w:val="00D8331D"/>
    <w:rsid w:val="00D83504"/>
    <w:rsid w:val="00D83ADA"/>
    <w:rsid w:val="00D83C3D"/>
    <w:rsid w:val="00D83CD3"/>
    <w:rsid w:val="00D83FCD"/>
    <w:rsid w:val="00D841AE"/>
    <w:rsid w:val="00D841CA"/>
    <w:rsid w:val="00D84311"/>
    <w:rsid w:val="00D847B9"/>
    <w:rsid w:val="00D848D1"/>
    <w:rsid w:val="00D84A32"/>
    <w:rsid w:val="00D84C89"/>
    <w:rsid w:val="00D85306"/>
    <w:rsid w:val="00D85371"/>
    <w:rsid w:val="00D85483"/>
    <w:rsid w:val="00D858AE"/>
    <w:rsid w:val="00D85A56"/>
    <w:rsid w:val="00D86039"/>
    <w:rsid w:val="00D8642F"/>
    <w:rsid w:val="00D864BC"/>
    <w:rsid w:val="00D865C2"/>
    <w:rsid w:val="00D867A9"/>
    <w:rsid w:val="00D86C57"/>
    <w:rsid w:val="00D86C62"/>
    <w:rsid w:val="00D86ECA"/>
    <w:rsid w:val="00D86EE0"/>
    <w:rsid w:val="00D86FE0"/>
    <w:rsid w:val="00D876F6"/>
    <w:rsid w:val="00D87937"/>
    <w:rsid w:val="00D87B96"/>
    <w:rsid w:val="00D87B97"/>
    <w:rsid w:val="00D87C99"/>
    <w:rsid w:val="00D87FAB"/>
    <w:rsid w:val="00D90AF7"/>
    <w:rsid w:val="00D91418"/>
    <w:rsid w:val="00D91503"/>
    <w:rsid w:val="00D91624"/>
    <w:rsid w:val="00D9191E"/>
    <w:rsid w:val="00D91AF8"/>
    <w:rsid w:val="00D91B05"/>
    <w:rsid w:val="00D91B12"/>
    <w:rsid w:val="00D923C5"/>
    <w:rsid w:val="00D92ABC"/>
    <w:rsid w:val="00D9357C"/>
    <w:rsid w:val="00D93678"/>
    <w:rsid w:val="00D93AE0"/>
    <w:rsid w:val="00D93D4B"/>
    <w:rsid w:val="00D93EEA"/>
    <w:rsid w:val="00D93F67"/>
    <w:rsid w:val="00D94874"/>
    <w:rsid w:val="00D94888"/>
    <w:rsid w:val="00D94AD7"/>
    <w:rsid w:val="00D94B12"/>
    <w:rsid w:val="00D94BDD"/>
    <w:rsid w:val="00D94DCA"/>
    <w:rsid w:val="00D94FA8"/>
    <w:rsid w:val="00D95030"/>
    <w:rsid w:val="00D951C6"/>
    <w:rsid w:val="00D95892"/>
    <w:rsid w:val="00D958E0"/>
    <w:rsid w:val="00D9604B"/>
    <w:rsid w:val="00D961C3"/>
    <w:rsid w:val="00D9660F"/>
    <w:rsid w:val="00D9676D"/>
    <w:rsid w:val="00D96771"/>
    <w:rsid w:val="00D96804"/>
    <w:rsid w:val="00D96973"/>
    <w:rsid w:val="00D96FA3"/>
    <w:rsid w:val="00D977ED"/>
    <w:rsid w:val="00D9792E"/>
    <w:rsid w:val="00D97E28"/>
    <w:rsid w:val="00D97ED5"/>
    <w:rsid w:val="00D97F8A"/>
    <w:rsid w:val="00DA0150"/>
    <w:rsid w:val="00DA0315"/>
    <w:rsid w:val="00DA056D"/>
    <w:rsid w:val="00DA0B50"/>
    <w:rsid w:val="00DA0D23"/>
    <w:rsid w:val="00DA10DC"/>
    <w:rsid w:val="00DA11AD"/>
    <w:rsid w:val="00DA12AC"/>
    <w:rsid w:val="00DA12BA"/>
    <w:rsid w:val="00DA1378"/>
    <w:rsid w:val="00DA150D"/>
    <w:rsid w:val="00DA1A0C"/>
    <w:rsid w:val="00DA1A85"/>
    <w:rsid w:val="00DA1B52"/>
    <w:rsid w:val="00DA2304"/>
    <w:rsid w:val="00DA265D"/>
    <w:rsid w:val="00DA2841"/>
    <w:rsid w:val="00DA2A54"/>
    <w:rsid w:val="00DA2C4E"/>
    <w:rsid w:val="00DA2F06"/>
    <w:rsid w:val="00DA3B77"/>
    <w:rsid w:val="00DA3D33"/>
    <w:rsid w:val="00DA3FE7"/>
    <w:rsid w:val="00DA4088"/>
    <w:rsid w:val="00DA4494"/>
    <w:rsid w:val="00DA44F1"/>
    <w:rsid w:val="00DA4783"/>
    <w:rsid w:val="00DA4AA7"/>
    <w:rsid w:val="00DA4E87"/>
    <w:rsid w:val="00DA5263"/>
    <w:rsid w:val="00DA5628"/>
    <w:rsid w:val="00DA5886"/>
    <w:rsid w:val="00DA591D"/>
    <w:rsid w:val="00DA5A33"/>
    <w:rsid w:val="00DA5F4F"/>
    <w:rsid w:val="00DA615D"/>
    <w:rsid w:val="00DA61C8"/>
    <w:rsid w:val="00DA6335"/>
    <w:rsid w:val="00DA63DF"/>
    <w:rsid w:val="00DA6516"/>
    <w:rsid w:val="00DA6DFA"/>
    <w:rsid w:val="00DA716D"/>
    <w:rsid w:val="00DA7257"/>
    <w:rsid w:val="00DA7423"/>
    <w:rsid w:val="00DA7720"/>
    <w:rsid w:val="00DA79E1"/>
    <w:rsid w:val="00DA7B41"/>
    <w:rsid w:val="00DA7D74"/>
    <w:rsid w:val="00DB0511"/>
    <w:rsid w:val="00DB06C6"/>
    <w:rsid w:val="00DB0ABA"/>
    <w:rsid w:val="00DB0B20"/>
    <w:rsid w:val="00DB0B47"/>
    <w:rsid w:val="00DB0C8C"/>
    <w:rsid w:val="00DB0D4A"/>
    <w:rsid w:val="00DB0D5C"/>
    <w:rsid w:val="00DB10D0"/>
    <w:rsid w:val="00DB1114"/>
    <w:rsid w:val="00DB1340"/>
    <w:rsid w:val="00DB148F"/>
    <w:rsid w:val="00DB19F1"/>
    <w:rsid w:val="00DB1A8F"/>
    <w:rsid w:val="00DB1C6D"/>
    <w:rsid w:val="00DB1EB3"/>
    <w:rsid w:val="00DB1FAF"/>
    <w:rsid w:val="00DB1FF0"/>
    <w:rsid w:val="00DB25F7"/>
    <w:rsid w:val="00DB2DCC"/>
    <w:rsid w:val="00DB2DDC"/>
    <w:rsid w:val="00DB3113"/>
    <w:rsid w:val="00DB379E"/>
    <w:rsid w:val="00DB3806"/>
    <w:rsid w:val="00DB39F1"/>
    <w:rsid w:val="00DB3E25"/>
    <w:rsid w:val="00DB3F5C"/>
    <w:rsid w:val="00DB42A2"/>
    <w:rsid w:val="00DB439D"/>
    <w:rsid w:val="00DB44AE"/>
    <w:rsid w:val="00DB4864"/>
    <w:rsid w:val="00DB49A8"/>
    <w:rsid w:val="00DB4A3E"/>
    <w:rsid w:val="00DB57B1"/>
    <w:rsid w:val="00DB57FA"/>
    <w:rsid w:val="00DB5896"/>
    <w:rsid w:val="00DB59A4"/>
    <w:rsid w:val="00DB5B2D"/>
    <w:rsid w:val="00DB5D6F"/>
    <w:rsid w:val="00DB5DCA"/>
    <w:rsid w:val="00DB6352"/>
    <w:rsid w:val="00DB63C0"/>
    <w:rsid w:val="00DB676F"/>
    <w:rsid w:val="00DB67A0"/>
    <w:rsid w:val="00DB694E"/>
    <w:rsid w:val="00DB6A36"/>
    <w:rsid w:val="00DB6D63"/>
    <w:rsid w:val="00DB7128"/>
    <w:rsid w:val="00DB7370"/>
    <w:rsid w:val="00DB7516"/>
    <w:rsid w:val="00DB7745"/>
    <w:rsid w:val="00DB77FE"/>
    <w:rsid w:val="00DB7C9F"/>
    <w:rsid w:val="00DB7E28"/>
    <w:rsid w:val="00DC0119"/>
    <w:rsid w:val="00DC022B"/>
    <w:rsid w:val="00DC0636"/>
    <w:rsid w:val="00DC06BE"/>
    <w:rsid w:val="00DC07B4"/>
    <w:rsid w:val="00DC07C5"/>
    <w:rsid w:val="00DC0952"/>
    <w:rsid w:val="00DC0C5A"/>
    <w:rsid w:val="00DC0C82"/>
    <w:rsid w:val="00DC17B7"/>
    <w:rsid w:val="00DC197E"/>
    <w:rsid w:val="00DC1AFD"/>
    <w:rsid w:val="00DC1C93"/>
    <w:rsid w:val="00DC1D8F"/>
    <w:rsid w:val="00DC1D9F"/>
    <w:rsid w:val="00DC21AA"/>
    <w:rsid w:val="00DC22CA"/>
    <w:rsid w:val="00DC22E8"/>
    <w:rsid w:val="00DC23B6"/>
    <w:rsid w:val="00DC248F"/>
    <w:rsid w:val="00DC24D8"/>
    <w:rsid w:val="00DC2D46"/>
    <w:rsid w:val="00DC2E78"/>
    <w:rsid w:val="00DC365E"/>
    <w:rsid w:val="00DC38C5"/>
    <w:rsid w:val="00DC3CD2"/>
    <w:rsid w:val="00DC4C54"/>
    <w:rsid w:val="00DC4D0C"/>
    <w:rsid w:val="00DC4DFB"/>
    <w:rsid w:val="00DC4FB6"/>
    <w:rsid w:val="00DC517F"/>
    <w:rsid w:val="00DC520C"/>
    <w:rsid w:val="00DC522D"/>
    <w:rsid w:val="00DC5987"/>
    <w:rsid w:val="00DC5D29"/>
    <w:rsid w:val="00DC6588"/>
    <w:rsid w:val="00DC6BA2"/>
    <w:rsid w:val="00DC6CA4"/>
    <w:rsid w:val="00DC6D47"/>
    <w:rsid w:val="00DC6DDD"/>
    <w:rsid w:val="00DC6E03"/>
    <w:rsid w:val="00DC6F8A"/>
    <w:rsid w:val="00DC6FD9"/>
    <w:rsid w:val="00DC743F"/>
    <w:rsid w:val="00DC7BD0"/>
    <w:rsid w:val="00DD00D4"/>
    <w:rsid w:val="00DD04B8"/>
    <w:rsid w:val="00DD064A"/>
    <w:rsid w:val="00DD0BFA"/>
    <w:rsid w:val="00DD0C5A"/>
    <w:rsid w:val="00DD0F67"/>
    <w:rsid w:val="00DD0FD5"/>
    <w:rsid w:val="00DD135B"/>
    <w:rsid w:val="00DD16AA"/>
    <w:rsid w:val="00DD1737"/>
    <w:rsid w:val="00DD18E0"/>
    <w:rsid w:val="00DD1B0A"/>
    <w:rsid w:val="00DD1F56"/>
    <w:rsid w:val="00DD1FB0"/>
    <w:rsid w:val="00DD2349"/>
    <w:rsid w:val="00DD24BC"/>
    <w:rsid w:val="00DD2526"/>
    <w:rsid w:val="00DD25FE"/>
    <w:rsid w:val="00DD260F"/>
    <w:rsid w:val="00DD302C"/>
    <w:rsid w:val="00DD30AF"/>
    <w:rsid w:val="00DD30B6"/>
    <w:rsid w:val="00DD31F3"/>
    <w:rsid w:val="00DD34DA"/>
    <w:rsid w:val="00DD3950"/>
    <w:rsid w:val="00DD430F"/>
    <w:rsid w:val="00DD4411"/>
    <w:rsid w:val="00DD4656"/>
    <w:rsid w:val="00DD475C"/>
    <w:rsid w:val="00DD4891"/>
    <w:rsid w:val="00DD4994"/>
    <w:rsid w:val="00DD4E59"/>
    <w:rsid w:val="00DD50EA"/>
    <w:rsid w:val="00DD5161"/>
    <w:rsid w:val="00DD5268"/>
    <w:rsid w:val="00DD52EF"/>
    <w:rsid w:val="00DD5483"/>
    <w:rsid w:val="00DD596E"/>
    <w:rsid w:val="00DD5A89"/>
    <w:rsid w:val="00DD5ACC"/>
    <w:rsid w:val="00DD5C61"/>
    <w:rsid w:val="00DD61ED"/>
    <w:rsid w:val="00DD659F"/>
    <w:rsid w:val="00DD6AE5"/>
    <w:rsid w:val="00DD6BEF"/>
    <w:rsid w:val="00DD6D02"/>
    <w:rsid w:val="00DD6DC7"/>
    <w:rsid w:val="00DD791F"/>
    <w:rsid w:val="00DD79D0"/>
    <w:rsid w:val="00DD7A8E"/>
    <w:rsid w:val="00DD7C13"/>
    <w:rsid w:val="00DD7D4A"/>
    <w:rsid w:val="00DD7E42"/>
    <w:rsid w:val="00DD7F68"/>
    <w:rsid w:val="00DE00E8"/>
    <w:rsid w:val="00DE0146"/>
    <w:rsid w:val="00DE0180"/>
    <w:rsid w:val="00DE0697"/>
    <w:rsid w:val="00DE076C"/>
    <w:rsid w:val="00DE09BA"/>
    <w:rsid w:val="00DE0D05"/>
    <w:rsid w:val="00DE0D13"/>
    <w:rsid w:val="00DE0E22"/>
    <w:rsid w:val="00DE0E3D"/>
    <w:rsid w:val="00DE0FDF"/>
    <w:rsid w:val="00DE120E"/>
    <w:rsid w:val="00DE18AE"/>
    <w:rsid w:val="00DE1A0F"/>
    <w:rsid w:val="00DE1E4D"/>
    <w:rsid w:val="00DE21C3"/>
    <w:rsid w:val="00DE224D"/>
    <w:rsid w:val="00DE2347"/>
    <w:rsid w:val="00DE2598"/>
    <w:rsid w:val="00DE27E4"/>
    <w:rsid w:val="00DE2AF6"/>
    <w:rsid w:val="00DE2F4F"/>
    <w:rsid w:val="00DE2FE7"/>
    <w:rsid w:val="00DE3177"/>
    <w:rsid w:val="00DE33B0"/>
    <w:rsid w:val="00DE3426"/>
    <w:rsid w:val="00DE3802"/>
    <w:rsid w:val="00DE38B5"/>
    <w:rsid w:val="00DE39BA"/>
    <w:rsid w:val="00DE39E5"/>
    <w:rsid w:val="00DE4073"/>
    <w:rsid w:val="00DE4413"/>
    <w:rsid w:val="00DE499A"/>
    <w:rsid w:val="00DE49F2"/>
    <w:rsid w:val="00DE4A6D"/>
    <w:rsid w:val="00DE4C18"/>
    <w:rsid w:val="00DE4D85"/>
    <w:rsid w:val="00DE4DFD"/>
    <w:rsid w:val="00DE4E9F"/>
    <w:rsid w:val="00DE4EE1"/>
    <w:rsid w:val="00DE55FA"/>
    <w:rsid w:val="00DE5F4C"/>
    <w:rsid w:val="00DE62F0"/>
    <w:rsid w:val="00DE6339"/>
    <w:rsid w:val="00DE64CE"/>
    <w:rsid w:val="00DE698F"/>
    <w:rsid w:val="00DE6B63"/>
    <w:rsid w:val="00DE6B84"/>
    <w:rsid w:val="00DE6CA2"/>
    <w:rsid w:val="00DE6D8D"/>
    <w:rsid w:val="00DE70B8"/>
    <w:rsid w:val="00DE70E7"/>
    <w:rsid w:val="00DE7334"/>
    <w:rsid w:val="00DE758D"/>
    <w:rsid w:val="00DE7A1C"/>
    <w:rsid w:val="00DE7BAE"/>
    <w:rsid w:val="00DE7D26"/>
    <w:rsid w:val="00DE7D2D"/>
    <w:rsid w:val="00DE7DCF"/>
    <w:rsid w:val="00DE7F5D"/>
    <w:rsid w:val="00DF002C"/>
    <w:rsid w:val="00DF00BC"/>
    <w:rsid w:val="00DF03C1"/>
    <w:rsid w:val="00DF055B"/>
    <w:rsid w:val="00DF056D"/>
    <w:rsid w:val="00DF0628"/>
    <w:rsid w:val="00DF0B33"/>
    <w:rsid w:val="00DF1492"/>
    <w:rsid w:val="00DF14E0"/>
    <w:rsid w:val="00DF15EC"/>
    <w:rsid w:val="00DF16D6"/>
    <w:rsid w:val="00DF19A5"/>
    <w:rsid w:val="00DF1C93"/>
    <w:rsid w:val="00DF1E4C"/>
    <w:rsid w:val="00DF23AD"/>
    <w:rsid w:val="00DF2B95"/>
    <w:rsid w:val="00DF2D0E"/>
    <w:rsid w:val="00DF2F92"/>
    <w:rsid w:val="00DF3185"/>
    <w:rsid w:val="00DF32E9"/>
    <w:rsid w:val="00DF379E"/>
    <w:rsid w:val="00DF3B97"/>
    <w:rsid w:val="00DF3E60"/>
    <w:rsid w:val="00DF3E73"/>
    <w:rsid w:val="00DF3F65"/>
    <w:rsid w:val="00DF409F"/>
    <w:rsid w:val="00DF444B"/>
    <w:rsid w:val="00DF469E"/>
    <w:rsid w:val="00DF4C82"/>
    <w:rsid w:val="00DF4EC5"/>
    <w:rsid w:val="00DF4F9E"/>
    <w:rsid w:val="00DF5670"/>
    <w:rsid w:val="00DF5795"/>
    <w:rsid w:val="00DF5924"/>
    <w:rsid w:val="00DF6439"/>
    <w:rsid w:val="00DF6504"/>
    <w:rsid w:val="00DF6A38"/>
    <w:rsid w:val="00DF6AA8"/>
    <w:rsid w:val="00DF6AC6"/>
    <w:rsid w:val="00DF6BC2"/>
    <w:rsid w:val="00DF6BDE"/>
    <w:rsid w:val="00DF6E11"/>
    <w:rsid w:val="00DF7208"/>
    <w:rsid w:val="00DF74A5"/>
    <w:rsid w:val="00DF76B3"/>
    <w:rsid w:val="00E00288"/>
    <w:rsid w:val="00E0055A"/>
    <w:rsid w:val="00E00BE0"/>
    <w:rsid w:val="00E00C48"/>
    <w:rsid w:val="00E00C4E"/>
    <w:rsid w:val="00E00C96"/>
    <w:rsid w:val="00E00D9B"/>
    <w:rsid w:val="00E00EA3"/>
    <w:rsid w:val="00E00EE9"/>
    <w:rsid w:val="00E00EFA"/>
    <w:rsid w:val="00E013C7"/>
    <w:rsid w:val="00E0155B"/>
    <w:rsid w:val="00E0196B"/>
    <w:rsid w:val="00E019BF"/>
    <w:rsid w:val="00E01EDF"/>
    <w:rsid w:val="00E01F51"/>
    <w:rsid w:val="00E0228B"/>
    <w:rsid w:val="00E023B1"/>
    <w:rsid w:val="00E025D1"/>
    <w:rsid w:val="00E027D5"/>
    <w:rsid w:val="00E02A88"/>
    <w:rsid w:val="00E02C2A"/>
    <w:rsid w:val="00E02D74"/>
    <w:rsid w:val="00E031DB"/>
    <w:rsid w:val="00E03244"/>
    <w:rsid w:val="00E032FD"/>
    <w:rsid w:val="00E034E8"/>
    <w:rsid w:val="00E04121"/>
    <w:rsid w:val="00E0435A"/>
    <w:rsid w:val="00E0453C"/>
    <w:rsid w:val="00E045AB"/>
    <w:rsid w:val="00E045FC"/>
    <w:rsid w:val="00E04987"/>
    <w:rsid w:val="00E04B22"/>
    <w:rsid w:val="00E04DBC"/>
    <w:rsid w:val="00E05043"/>
    <w:rsid w:val="00E051FE"/>
    <w:rsid w:val="00E05406"/>
    <w:rsid w:val="00E0586C"/>
    <w:rsid w:val="00E05901"/>
    <w:rsid w:val="00E05AAA"/>
    <w:rsid w:val="00E05BA8"/>
    <w:rsid w:val="00E05D68"/>
    <w:rsid w:val="00E06174"/>
    <w:rsid w:val="00E0645F"/>
    <w:rsid w:val="00E064BB"/>
    <w:rsid w:val="00E0651C"/>
    <w:rsid w:val="00E0690B"/>
    <w:rsid w:val="00E06A22"/>
    <w:rsid w:val="00E06A43"/>
    <w:rsid w:val="00E06C95"/>
    <w:rsid w:val="00E06D15"/>
    <w:rsid w:val="00E06EFB"/>
    <w:rsid w:val="00E06F36"/>
    <w:rsid w:val="00E071A8"/>
    <w:rsid w:val="00E074DB"/>
    <w:rsid w:val="00E07569"/>
    <w:rsid w:val="00E07902"/>
    <w:rsid w:val="00E0796A"/>
    <w:rsid w:val="00E07CB1"/>
    <w:rsid w:val="00E10089"/>
    <w:rsid w:val="00E10224"/>
    <w:rsid w:val="00E10238"/>
    <w:rsid w:val="00E10672"/>
    <w:rsid w:val="00E106A8"/>
    <w:rsid w:val="00E107FC"/>
    <w:rsid w:val="00E110B3"/>
    <w:rsid w:val="00E1154A"/>
    <w:rsid w:val="00E116BE"/>
    <w:rsid w:val="00E12164"/>
    <w:rsid w:val="00E1221F"/>
    <w:rsid w:val="00E1240C"/>
    <w:rsid w:val="00E1258B"/>
    <w:rsid w:val="00E127CE"/>
    <w:rsid w:val="00E129B0"/>
    <w:rsid w:val="00E12B83"/>
    <w:rsid w:val="00E12BAF"/>
    <w:rsid w:val="00E12D13"/>
    <w:rsid w:val="00E12DA7"/>
    <w:rsid w:val="00E12DF5"/>
    <w:rsid w:val="00E12F54"/>
    <w:rsid w:val="00E12FE7"/>
    <w:rsid w:val="00E1306D"/>
    <w:rsid w:val="00E13175"/>
    <w:rsid w:val="00E1345E"/>
    <w:rsid w:val="00E13484"/>
    <w:rsid w:val="00E134AB"/>
    <w:rsid w:val="00E13AC2"/>
    <w:rsid w:val="00E14777"/>
    <w:rsid w:val="00E1482D"/>
    <w:rsid w:val="00E14841"/>
    <w:rsid w:val="00E149E3"/>
    <w:rsid w:val="00E14E24"/>
    <w:rsid w:val="00E14F85"/>
    <w:rsid w:val="00E156AA"/>
    <w:rsid w:val="00E15933"/>
    <w:rsid w:val="00E15A24"/>
    <w:rsid w:val="00E160E9"/>
    <w:rsid w:val="00E16265"/>
    <w:rsid w:val="00E1682A"/>
    <w:rsid w:val="00E16BFA"/>
    <w:rsid w:val="00E16C16"/>
    <w:rsid w:val="00E16D2A"/>
    <w:rsid w:val="00E16DE8"/>
    <w:rsid w:val="00E17166"/>
    <w:rsid w:val="00E171F0"/>
    <w:rsid w:val="00E173F0"/>
    <w:rsid w:val="00E17BE0"/>
    <w:rsid w:val="00E17FD3"/>
    <w:rsid w:val="00E20132"/>
    <w:rsid w:val="00E206CF"/>
    <w:rsid w:val="00E207FE"/>
    <w:rsid w:val="00E20B2C"/>
    <w:rsid w:val="00E20B35"/>
    <w:rsid w:val="00E20CA1"/>
    <w:rsid w:val="00E20DEB"/>
    <w:rsid w:val="00E20E55"/>
    <w:rsid w:val="00E20F33"/>
    <w:rsid w:val="00E20F83"/>
    <w:rsid w:val="00E212EA"/>
    <w:rsid w:val="00E213F9"/>
    <w:rsid w:val="00E215B4"/>
    <w:rsid w:val="00E2164F"/>
    <w:rsid w:val="00E216C1"/>
    <w:rsid w:val="00E21A7B"/>
    <w:rsid w:val="00E21ECF"/>
    <w:rsid w:val="00E21F2F"/>
    <w:rsid w:val="00E223E2"/>
    <w:rsid w:val="00E2289F"/>
    <w:rsid w:val="00E228D9"/>
    <w:rsid w:val="00E22AC1"/>
    <w:rsid w:val="00E22B2C"/>
    <w:rsid w:val="00E2304C"/>
    <w:rsid w:val="00E23275"/>
    <w:rsid w:val="00E232FF"/>
    <w:rsid w:val="00E2339F"/>
    <w:rsid w:val="00E234BA"/>
    <w:rsid w:val="00E236F0"/>
    <w:rsid w:val="00E237C5"/>
    <w:rsid w:val="00E239B0"/>
    <w:rsid w:val="00E23B35"/>
    <w:rsid w:val="00E23B7F"/>
    <w:rsid w:val="00E23CFF"/>
    <w:rsid w:val="00E23F55"/>
    <w:rsid w:val="00E2433E"/>
    <w:rsid w:val="00E245C7"/>
    <w:rsid w:val="00E24795"/>
    <w:rsid w:val="00E24EAB"/>
    <w:rsid w:val="00E2500C"/>
    <w:rsid w:val="00E25021"/>
    <w:rsid w:val="00E253BB"/>
    <w:rsid w:val="00E254E7"/>
    <w:rsid w:val="00E25DEF"/>
    <w:rsid w:val="00E25E08"/>
    <w:rsid w:val="00E25EB8"/>
    <w:rsid w:val="00E25F5A"/>
    <w:rsid w:val="00E268DB"/>
    <w:rsid w:val="00E26BF1"/>
    <w:rsid w:val="00E26D3B"/>
    <w:rsid w:val="00E26D6F"/>
    <w:rsid w:val="00E27B83"/>
    <w:rsid w:val="00E27BE7"/>
    <w:rsid w:val="00E27F09"/>
    <w:rsid w:val="00E27F40"/>
    <w:rsid w:val="00E3071E"/>
    <w:rsid w:val="00E30916"/>
    <w:rsid w:val="00E312A7"/>
    <w:rsid w:val="00E312D6"/>
    <w:rsid w:val="00E312E0"/>
    <w:rsid w:val="00E315AF"/>
    <w:rsid w:val="00E3174F"/>
    <w:rsid w:val="00E31822"/>
    <w:rsid w:val="00E31A9E"/>
    <w:rsid w:val="00E31EB9"/>
    <w:rsid w:val="00E3242E"/>
    <w:rsid w:val="00E324BB"/>
    <w:rsid w:val="00E32D6B"/>
    <w:rsid w:val="00E33155"/>
    <w:rsid w:val="00E33372"/>
    <w:rsid w:val="00E33419"/>
    <w:rsid w:val="00E334A0"/>
    <w:rsid w:val="00E33568"/>
    <w:rsid w:val="00E3361C"/>
    <w:rsid w:val="00E33DD5"/>
    <w:rsid w:val="00E33E5F"/>
    <w:rsid w:val="00E33E67"/>
    <w:rsid w:val="00E3403C"/>
    <w:rsid w:val="00E3410F"/>
    <w:rsid w:val="00E34140"/>
    <w:rsid w:val="00E3414F"/>
    <w:rsid w:val="00E34410"/>
    <w:rsid w:val="00E34578"/>
    <w:rsid w:val="00E34683"/>
    <w:rsid w:val="00E34DC1"/>
    <w:rsid w:val="00E350DE"/>
    <w:rsid w:val="00E35791"/>
    <w:rsid w:val="00E359D8"/>
    <w:rsid w:val="00E35ADF"/>
    <w:rsid w:val="00E35C65"/>
    <w:rsid w:val="00E35EF1"/>
    <w:rsid w:val="00E36616"/>
    <w:rsid w:val="00E36687"/>
    <w:rsid w:val="00E36C8E"/>
    <w:rsid w:val="00E36DF2"/>
    <w:rsid w:val="00E37083"/>
    <w:rsid w:val="00E37098"/>
    <w:rsid w:val="00E372B4"/>
    <w:rsid w:val="00E37A16"/>
    <w:rsid w:val="00E37FD8"/>
    <w:rsid w:val="00E4027F"/>
    <w:rsid w:val="00E402DB"/>
    <w:rsid w:val="00E40906"/>
    <w:rsid w:val="00E40938"/>
    <w:rsid w:val="00E40ABE"/>
    <w:rsid w:val="00E40BF7"/>
    <w:rsid w:val="00E416A1"/>
    <w:rsid w:val="00E418EA"/>
    <w:rsid w:val="00E41A3B"/>
    <w:rsid w:val="00E41D89"/>
    <w:rsid w:val="00E420A7"/>
    <w:rsid w:val="00E4296E"/>
    <w:rsid w:val="00E42B37"/>
    <w:rsid w:val="00E42C64"/>
    <w:rsid w:val="00E43142"/>
    <w:rsid w:val="00E43164"/>
    <w:rsid w:val="00E43402"/>
    <w:rsid w:val="00E43680"/>
    <w:rsid w:val="00E43A93"/>
    <w:rsid w:val="00E43CDA"/>
    <w:rsid w:val="00E43E4E"/>
    <w:rsid w:val="00E43EE5"/>
    <w:rsid w:val="00E44053"/>
    <w:rsid w:val="00E441D8"/>
    <w:rsid w:val="00E44781"/>
    <w:rsid w:val="00E44F5B"/>
    <w:rsid w:val="00E4508C"/>
    <w:rsid w:val="00E4533D"/>
    <w:rsid w:val="00E455DC"/>
    <w:rsid w:val="00E4585C"/>
    <w:rsid w:val="00E45904"/>
    <w:rsid w:val="00E45B4D"/>
    <w:rsid w:val="00E45C31"/>
    <w:rsid w:val="00E45F91"/>
    <w:rsid w:val="00E46033"/>
    <w:rsid w:val="00E46440"/>
    <w:rsid w:val="00E464A4"/>
    <w:rsid w:val="00E4671C"/>
    <w:rsid w:val="00E46946"/>
    <w:rsid w:val="00E46B91"/>
    <w:rsid w:val="00E46F69"/>
    <w:rsid w:val="00E46F97"/>
    <w:rsid w:val="00E47192"/>
    <w:rsid w:val="00E474E3"/>
    <w:rsid w:val="00E477A2"/>
    <w:rsid w:val="00E5014E"/>
    <w:rsid w:val="00E50257"/>
    <w:rsid w:val="00E502DC"/>
    <w:rsid w:val="00E50494"/>
    <w:rsid w:val="00E504C9"/>
    <w:rsid w:val="00E50626"/>
    <w:rsid w:val="00E50821"/>
    <w:rsid w:val="00E509BC"/>
    <w:rsid w:val="00E50BD9"/>
    <w:rsid w:val="00E50C49"/>
    <w:rsid w:val="00E50CF8"/>
    <w:rsid w:val="00E50F7D"/>
    <w:rsid w:val="00E50FC1"/>
    <w:rsid w:val="00E5101F"/>
    <w:rsid w:val="00E511DA"/>
    <w:rsid w:val="00E513E0"/>
    <w:rsid w:val="00E5144A"/>
    <w:rsid w:val="00E514DF"/>
    <w:rsid w:val="00E517A5"/>
    <w:rsid w:val="00E51BEC"/>
    <w:rsid w:val="00E51FF1"/>
    <w:rsid w:val="00E528C5"/>
    <w:rsid w:val="00E52D1C"/>
    <w:rsid w:val="00E531D9"/>
    <w:rsid w:val="00E535CC"/>
    <w:rsid w:val="00E5366E"/>
    <w:rsid w:val="00E5370C"/>
    <w:rsid w:val="00E5377C"/>
    <w:rsid w:val="00E537CF"/>
    <w:rsid w:val="00E53A24"/>
    <w:rsid w:val="00E53F26"/>
    <w:rsid w:val="00E5427F"/>
    <w:rsid w:val="00E543E6"/>
    <w:rsid w:val="00E54436"/>
    <w:rsid w:val="00E5462C"/>
    <w:rsid w:val="00E546D5"/>
    <w:rsid w:val="00E547D4"/>
    <w:rsid w:val="00E548A9"/>
    <w:rsid w:val="00E54956"/>
    <w:rsid w:val="00E54A70"/>
    <w:rsid w:val="00E54B51"/>
    <w:rsid w:val="00E54C76"/>
    <w:rsid w:val="00E54E23"/>
    <w:rsid w:val="00E550E3"/>
    <w:rsid w:val="00E55215"/>
    <w:rsid w:val="00E5556B"/>
    <w:rsid w:val="00E55BD4"/>
    <w:rsid w:val="00E55CD3"/>
    <w:rsid w:val="00E5600A"/>
    <w:rsid w:val="00E5683D"/>
    <w:rsid w:val="00E56E54"/>
    <w:rsid w:val="00E5707A"/>
    <w:rsid w:val="00E57090"/>
    <w:rsid w:val="00E5714C"/>
    <w:rsid w:val="00E571B1"/>
    <w:rsid w:val="00E5741D"/>
    <w:rsid w:val="00E57431"/>
    <w:rsid w:val="00E57471"/>
    <w:rsid w:val="00E576B1"/>
    <w:rsid w:val="00E57832"/>
    <w:rsid w:val="00E57BD1"/>
    <w:rsid w:val="00E57CB4"/>
    <w:rsid w:val="00E57DBC"/>
    <w:rsid w:val="00E57E8D"/>
    <w:rsid w:val="00E60395"/>
    <w:rsid w:val="00E603FD"/>
    <w:rsid w:val="00E60485"/>
    <w:rsid w:val="00E60532"/>
    <w:rsid w:val="00E6057D"/>
    <w:rsid w:val="00E605E8"/>
    <w:rsid w:val="00E606B7"/>
    <w:rsid w:val="00E60AF0"/>
    <w:rsid w:val="00E60D62"/>
    <w:rsid w:val="00E61394"/>
    <w:rsid w:val="00E61632"/>
    <w:rsid w:val="00E61D53"/>
    <w:rsid w:val="00E62BB9"/>
    <w:rsid w:val="00E62D7B"/>
    <w:rsid w:val="00E62DF8"/>
    <w:rsid w:val="00E62FD3"/>
    <w:rsid w:val="00E63199"/>
    <w:rsid w:val="00E6324D"/>
    <w:rsid w:val="00E63252"/>
    <w:rsid w:val="00E63286"/>
    <w:rsid w:val="00E632A2"/>
    <w:rsid w:val="00E63393"/>
    <w:rsid w:val="00E633C9"/>
    <w:rsid w:val="00E63536"/>
    <w:rsid w:val="00E63B71"/>
    <w:rsid w:val="00E63B8A"/>
    <w:rsid w:val="00E63F07"/>
    <w:rsid w:val="00E63F60"/>
    <w:rsid w:val="00E64377"/>
    <w:rsid w:val="00E64567"/>
    <w:rsid w:val="00E65526"/>
    <w:rsid w:val="00E65607"/>
    <w:rsid w:val="00E65645"/>
    <w:rsid w:val="00E659DD"/>
    <w:rsid w:val="00E65E24"/>
    <w:rsid w:val="00E65F40"/>
    <w:rsid w:val="00E6639E"/>
    <w:rsid w:val="00E666B8"/>
    <w:rsid w:val="00E667D1"/>
    <w:rsid w:val="00E67116"/>
    <w:rsid w:val="00E6711B"/>
    <w:rsid w:val="00E671B9"/>
    <w:rsid w:val="00E67F92"/>
    <w:rsid w:val="00E70388"/>
    <w:rsid w:val="00E703B5"/>
    <w:rsid w:val="00E70452"/>
    <w:rsid w:val="00E705A2"/>
    <w:rsid w:val="00E707CB"/>
    <w:rsid w:val="00E70A1E"/>
    <w:rsid w:val="00E70BEE"/>
    <w:rsid w:val="00E70DFE"/>
    <w:rsid w:val="00E715BD"/>
    <w:rsid w:val="00E71677"/>
    <w:rsid w:val="00E7172E"/>
    <w:rsid w:val="00E7176A"/>
    <w:rsid w:val="00E717F8"/>
    <w:rsid w:val="00E71884"/>
    <w:rsid w:val="00E71903"/>
    <w:rsid w:val="00E71945"/>
    <w:rsid w:val="00E71ABB"/>
    <w:rsid w:val="00E71CDC"/>
    <w:rsid w:val="00E72506"/>
    <w:rsid w:val="00E7283F"/>
    <w:rsid w:val="00E72926"/>
    <w:rsid w:val="00E72AEE"/>
    <w:rsid w:val="00E72B35"/>
    <w:rsid w:val="00E72F8A"/>
    <w:rsid w:val="00E730AF"/>
    <w:rsid w:val="00E73411"/>
    <w:rsid w:val="00E73663"/>
    <w:rsid w:val="00E73B2C"/>
    <w:rsid w:val="00E73C5C"/>
    <w:rsid w:val="00E73FCB"/>
    <w:rsid w:val="00E741AA"/>
    <w:rsid w:val="00E7439F"/>
    <w:rsid w:val="00E74649"/>
    <w:rsid w:val="00E747B8"/>
    <w:rsid w:val="00E74909"/>
    <w:rsid w:val="00E74AC9"/>
    <w:rsid w:val="00E74FFD"/>
    <w:rsid w:val="00E75118"/>
    <w:rsid w:val="00E7517B"/>
    <w:rsid w:val="00E7555C"/>
    <w:rsid w:val="00E7566F"/>
    <w:rsid w:val="00E75943"/>
    <w:rsid w:val="00E75F23"/>
    <w:rsid w:val="00E76084"/>
    <w:rsid w:val="00E76363"/>
    <w:rsid w:val="00E76393"/>
    <w:rsid w:val="00E767D3"/>
    <w:rsid w:val="00E772E6"/>
    <w:rsid w:val="00E77395"/>
    <w:rsid w:val="00E77838"/>
    <w:rsid w:val="00E77D4F"/>
    <w:rsid w:val="00E77DBD"/>
    <w:rsid w:val="00E77E44"/>
    <w:rsid w:val="00E77F13"/>
    <w:rsid w:val="00E804F1"/>
    <w:rsid w:val="00E806B1"/>
    <w:rsid w:val="00E8072A"/>
    <w:rsid w:val="00E8084E"/>
    <w:rsid w:val="00E80946"/>
    <w:rsid w:val="00E80BD2"/>
    <w:rsid w:val="00E80C0D"/>
    <w:rsid w:val="00E80E66"/>
    <w:rsid w:val="00E80FE1"/>
    <w:rsid w:val="00E810C0"/>
    <w:rsid w:val="00E811D4"/>
    <w:rsid w:val="00E814FB"/>
    <w:rsid w:val="00E81A8B"/>
    <w:rsid w:val="00E81B3C"/>
    <w:rsid w:val="00E81B7C"/>
    <w:rsid w:val="00E81CE5"/>
    <w:rsid w:val="00E8240E"/>
    <w:rsid w:val="00E82975"/>
    <w:rsid w:val="00E82BD0"/>
    <w:rsid w:val="00E82FDA"/>
    <w:rsid w:val="00E832B9"/>
    <w:rsid w:val="00E8338B"/>
    <w:rsid w:val="00E834F4"/>
    <w:rsid w:val="00E83B89"/>
    <w:rsid w:val="00E84177"/>
    <w:rsid w:val="00E8455E"/>
    <w:rsid w:val="00E846C3"/>
    <w:rsid w:val="00E8477D"/>
    <w:rsid w:val="00E84D54"/>
    <w:rsid w:val="00E850FF"/>
    <w:rsid w:val="00E85198"/>
    <w:rsid w:val="00E8597E"/>
    <w:rsid w:val="00E85C58"/>
    <w:rsid w:val="00E85C7B"/>
    <w:rsid w:val="00E85CD3"/>
    <w:rsid w:val="00E85E07"/>
    <w:rsid w:val="00E85F34"/>
    <w:rsid w:val="00E86091"/>
    <w:rsid w:val="00E8628B"/>
    <w:rsid w:val="00E86439"/>
    <w:rsid w:val="00E866D6"/>
    <w:rsid w:val="00E867E7"/>
    <w:rsid w:val="00E86A1E"/>
    <w:rsid w:val="00E875FA"/>
    <w:rsid w:val="00E876FC"/>
    <w:rsid w:val="00E87B18"/>
    <w:rsid w:val="00E87C4B"/>
    <w:rsid w:val="00E87C73"/>
    <w:rsid w:val="00E900FC"/>
    <w:rsid w:val="00E9019A"/>
    <w:rsid w:val="00E90779"/>
    <w:rsid w:val="00E90E08"/>
    <w:rsid w:val="00E90E3D"/>
    <w:rsid w:val="00E910BF"/>
    <w:rsid w:val="00E91626"/>
    <w:rsid w:val="00E91734"/>
    <w:rsid w:val="00E91745"/>
    <w:rsid w:val="00E91979"/>
    <w:rsid w:val="00E91AAD"/>
    <w:rsid w:val="00E91BD4"/>
    <w:rsid w:val="00E91BFA"/>
    <w:rsid w:val="00E91C89"/>
    <w:rsid w:val="00E92317"/>
    <w:rsid w:val="00E92ADD"/>
    <w:rsid w:val="00E92EB1"/>
    <w:rsid w:val="00E9307E"/>
    <w:rsid w:val="00E93140"/>
    <w:rsid w:val="00E93798"/>
    <w:rsid w:val="00E937E2"/>
    <w:rsid w:val="00E938F7"/>
    <w:rsid w:val="00E93EA9"/>
    <w:rsid w:val="00E94392"/>
    <w:rsid w:val="00E9442C"/>
    <w:rsid w:val="00E9484A"/>
    <w:rsid w:val="00E94FB6"/>
    <w:rsid w:val="00E9564B"/>
    <w:rsid w:val="00E9568A"/>
    <w:rsid w:val="00E9591B"/>
    <w:rsid w:val="00E95998"/>
    <w:rsid w:val="00E95DA4"/>
    <w:rsid w:val="00E9600D"/>
    <w:rsid w:val="00E9627B"/>
    <w:rsid w:val="00E9641B"/>
    <w:rsid w:val="00E96472"/>
    <w:rsid w:val="00E968E6"/>
    <w:rsid w:val="00E96DEB"/>
    <w:rsid w:val="00E96DF3"/>
    <w:rsid w:val="00E97483"/>
    <w:rsid w:val="00E9751C"/>
    <w:rsid w:val="00E976F4"/>
    <w:rsid w:val="00E97986"/>
    <w:rsid w:val="00E97A69"/>
    <w:rsid w:val="00E97AD2"/>
    <w:rsid w:val="00E97B0C"/>
    <w:rsid w:val="00E97C66"/>
    <w:rsid w:val="00E97E48"/>
    <w:rsid w:val="00E97FB5"/>
    <w:rsid w:val="00EA0114"/>
    <w:rsid w:val="00EA0337"/>
    <w:rsid w:val="00EA05CD"/>
    <w:rsid w:val="00EA09D7"/>
    <w:rsid w:val="00EA0B3C"/>
    <w:rsid w:val="00EA0DC6"/>
    <w:rsid w:val="00EA0F87"/>
    <w:rsid w:val="00EA121B"/>
    <w:rsid w:val="00EA16A8"/>
    <w:rsid w:val="00EA1CD8"/>
    <w:rsid w:val="00EA1D3A"/>
    <w:rsid w:val="00EA1DA0"/>
    <w:rsid w:val="00EA1ED3"/>
    <w:rsid w:val="00EA1FCC"/>
    <w:rsid w:val="00EA1FD3"/>
    <w:rsid w:val="00EA20B7"/>
    <w:rsid w:val="00EA211B"/>
    <w:rsid w:val="00EA21F5"/>
    <w:rsid w:val="00EA2244"/>
    <w:rsid w:val="00EA251C"/>
    <w:rsid w:val="00EA2A06"/>
    <w:rsid w:val="00EA2B82"/>
    <w:rsid w:val="00EA2BC1"/>
    <w:rsid w:val="00EA31FC"/>
    <w:rsid w:val="00EA32F5"/>
    <w:rsid w:val="00EA3599"/>
    <w:rsid w:val="00EA3C96"/>
    <w:rsid w:val="00EA3CEF"/>
    <w:rsid w:val="00EA40E8"/>
    <w:rsid w:val="00EA40F2"/>
    <w:rsid w:val="00EA4178"/>
    <w:rsid w:val="00EA438E"/>
    <w:rsid w:val="00EA4557"/>
    <w:rsid w:val="00EA4579"/>
    <w:rsid w:val="00EA4797"/>
    <w:rsid w:val="00EA481A"/>
    <w:rsid w:val="00EA4A5B"/>
    <w:rsid w:val="00EA4B90"/>
    <w:rsid w:val="00EA4C62"/>
    <w:rsid w:val="00EA4F35"/>
    <w:rsid w:val="00EA55A1"/>
    <w:rsid w:val="00EA5BD7"/>
    <w:rsid w:val="00EA5F68"/>
    <w:rsid w:val="00EA6095"/>
    <w:rsid w:val="00EA6260"/>
    <w:rsid w:val="00EA6348"/>
    <w:rsid w:val="00EA64B8"/>
    <w:rsid w:val="00EA6663"/>
    <w:rsid w:val="00EA69CF"/>
    <w:rsid w:val="00EA6B6D"/>
    <w:rsid w:val="00EA6FB8"/>
    <w:rsid w:val="00EA721A"/>
    <w:rsid w:val="00EA7313"/>
    <w:rsid w:val="00EA73BF"/>
    <w:rsid w:val="00EA7861"/>
    <w:rsid w:val="00EA78B2"/>
    <w:rsid w:val="00EA7AE0"/>
    <w:rsid w:val="00EA7B74"/>
    <w:rsid w:val="00EA7F0B"/>
    <w:rsid w:val="00EB017C"/>
    <w:rsid w:val="00EB1732"/>
    <w:rsid w:val="00EB24A8"/>
    <w:rsid w:val="00EB2500"/>
    <w:rsid w:val="00EB2ACA"/>
    <w:rsid w:val="00EB2B56"/>
    <w:rsid w:val="00EB2BC1"/>
    <w:rsid w:val="00EB2CA0"/>
    <w:rsid w:val="00EB3370"/>
    <w:rsid w:val="00EB342A"/>
    <w:rsid w:val="00EB39C3"/>
    <w:rsid w:val="00EB3AA4"/>
    <w:rsid w:val="00EB3ED1"/>
    <w:rsid w:val="00EB4376"/>
    <w:rsid w:val="00EB4C11"/>
    <w:rsid w:val="00EB4CC8"/>
    <w:rsid w:val="00EB4FBA"/>
    <w:rsid w:val="00EB5224"/>
    <w:rsid w:val="00EB52AC"/>
    <w:rsid w:val="00EB536F"/>
    <w:rsid w:val="00EB53BA"/>
    <w:rsid w:val="00EB5906"/>
    <w:rsid w:val="00EB5D04"/>
    <w:rsid w:val="00EB5DAE"/>
    <w:rsid w:val="00EB6102"/>
    <w:rsid w:val="00EB612A"/>
    <w:rsid w:val="00EB6133"/>
    <w:rsid w:val="00EB61FB"/>
    <w:rsid w:val="00EB6F41"/>
    <w:rsid w:val="00EB74DF"/>
    <w:rsid w:val="00EB7F2C"/>
    <w:rsid w:val="00EC0245"/>
    <w:rsid w:val="00EC043E"/>
    <w:rsid w:val="00EC058D"/>
    <w:rsid w:val="00EC0905"/>
    <w:rsid w:val="00EC0A1B"/>
    <w:rsid w:val="00EC0AFD"/>
    <w:rsid w:val="00EC0EB8"/>
    <w:rsid w:val="00EC0FD4"/>
    <w:rsid w:val="00EC1203"/>
    <w:rsid w:val="00EC137D"/>
    <w:rsid w:val="00EC14D5"/>
    <w:rsid w:val="00EC16F8"/>
    <w:rsid w:val="00EC1ACB"/>
    <w:rsid w:val="00EC1F3D"/>
    <w:rsid w:val="00EC2056"/>
    <w:rsid w:val="00EC2190"/>
    <w:rsid w:val="00EC2707"/>
    <w:rsid w:val="00EC2727"/>
    <w:rsid w:val="00EC27FF"/>
    <w:rsid w:val="00EC2C61"/>
    <w:rsid w:val="00EC2CE2"/>
    <w:rsid w:val="00EC2D0B"/>
    <w:rsid w:val="00EC3109"/>
    <w:rsid w:val="00EC3314"/>
    <w:rsid w:val="00EC35BA"/>
    <w:rsid w:val="00EC3682"/>
    <w:rsid w:val="00EC3E5A"/>
    <w:rsid w:val="00EC4907"/>
    <w:rsid w:val="00EC493E"/>
    <w:rsid w:val="00EC4F2D"/>
    <w:rsid w:val="00EC527E"/>
    <w:rsid w:val="00EC530D"/>
    <w:rsid w:val="00EC54DA"/>
    <w:rsid w:val="00EC584A"/>
    <w:rsid w:val="00EC591D"/>
    <w:rsid w:val="00EC5948"/>
    <w:rsid w:val="00EC5D81"/>
    <w:rsid w:val="00EC5E13"/>
    <w:rsid w:val="00EC5F5B"/>
    <w:rsid w:val="00EC6041"/>
    <w:rsid w:val="00EC6636"/>
    <w:rsid w:val="00EC66D3"/>
    <w:rsid w:val="00EC67E9"/>
    <w:rsid w:val="00EC6AFE"/>
    <w:rsid w:val="00EC7151"/>
    <w:rsid w:val="00EC7225"/>
    <w:rsid w:val="00EC7739"/>
    <w:rsid w:val="00EC777B"/>
    <w:rsid w:val="00EC77A3"/>
    <w:rsid w:val="00ED000F"/>
    <w:rsid w:val="00ED023F"/>
    <w:rsid w:val="00ED0821"/>
    <w:rsid w:val="00ED0B2C"/>
    <w:rsid w:val="00ED0B54"/>
    <w:rsid w:val="00ED0BA2"/>
    <w:rsid w:val="00ED0BEF"/>
    <w:rsid w:val="00ED0D69"/>
    <w:rsid w:val="00ED14C9"/>
    <w:rsid w:val="00ED154B"/>
    <w:rsid w:val="00ED1C07"/>
    <w:rsid w:val="00ED1CBF"/>
    <w:rsid w:val="00ED22C2"/>
    <w:rsid w:val="00ED2BFF"/>
    <w:rsid w:val="00ED2D82"/>
    <w:rsid w:val="00ED2EC9"/>
    <w:rsid w:val="00ED3163"/>
    <w:rsid w:val="00ED32F7"/>
    <w:rsid w:val="00ED33EA"/>
    <w:rsid w:val="00ED36D1"/>
    <w:rsid w:val="00ED3833"/>
    <w:rsid w:val="00ED3D2C"/>
    <w:rsid w:val="00ED3D48"/>
    <w:rsid w:val="00ED3F74"/>
    <w:rsid w:val="00ED40C4"/>
    <w:rsid w:val="00ED4399"/>
    <w:rsid w:val="00ED4439"/>
    <w:rsid w:val="00ED4692"/>
    <w:rsid w:val="00ED46D3"/>
    <w:rsid w:val="00ED485C"/>
    <w:rsid w:val="00ED4A72"/>
    <w:rsid w:val="00ED4C1A"/>
    <w:rsid w:val="00ED4C1D"/>
    <w:rsid w:val="00ED4F16"/>
    <w:rsid w:val="00ED5C92"/>
    <w:rsid w:val="00ED5ED7"/>
    <w:rsid w:val="00ED60EF"/>
    <w:rsid w:val="00ED65C2"/>
    <w:rsid w:val="00ED66CB"/>
    <w:rsid w:val="00ED6AB5"/>
    <w:rsid w:val="00ED6C66"/>
    <w:rsid w:val="00ED6CD6"/>
    <w:rsid w:val="00ED6E73"/>
    <w:rsid w:val="00ED6F89"/>
    <w:rsid w:val="00ED705B"/>
    <w:rsid w:val="00ED70F7"/>
    <w:rsid w:val="00ED7168"/>
    <w:rsid w:val="00ED72A6"/>
    <w:rsid w:val="00ED76CE"/>
    <w:rsid w:val="00ED785B"/>
    <w:rsid w:val="00ED7A7F"/>
    <w:rsid w:val="00ED7AB8"/>
    <w:rsid w:val="00ED7F4A"/>
    <w:rsid w:val="00EE0421"/>
    <w:rsid w:val="00EE07F2"/>
    <w:rsid w:val="00EE0D90"/>
    <w:rsid w:val="00EE1142"/>
    <w:rsid w:val="00EE119C"/>
    <w:rsid w:val="00EE1DC5"/>
    <w:rsid w:val="00EE1E54"/>
    <w:rsid w:val="00EE1F9E"/>
    <w:rsid w:val="00EE2017"/>
    <w:rsid w:val="00EE24AC"/>
    <w:rsid w:val="00EE25B7"/>
    <w:rsid w:val="00EE27D6"/>
    <w:rsid w:val="00EE3140"/>
    <w:rsid w:val="00EE3355"/>
    <w:rsid w:val="00EE3984"/>
    <w:rsid w:val="00EE3BE0"/>
    <w:rsid w:val="00EE3C2B"/>
    <w:rsid w:val="00EE3DA2"/>
    <w:rsid w:val="00EE4067"/>
    <w:rsid w:val="00EE49EA"/>
    <w:rsid w:val="00EE4A34"/>
    <w:rsid w:val="00EE4A45"/>
    <w:rsid w:val="00EE4E1C"/>
    <w:rsid w:val="00EE51D0"/>
    <w:rsid w:val="00EE53C2"/>
    <w:rsid w:val="00EE5B79"/>
    <w:rsid w:val="00EE5EB7"/>
    <w:rsid w:val="00EE5FC5"/>
    <w:rsid w:val="00EE604D"/>
    <w:rsid w:val="00EE62C5"/>
    <w:rsid w:val="00EE640C"/>
    <w:rsid w:val="00EE649F"/>
    <w:rsid w:val="00EE66C2"/>
    <w:rsid w:val="00EE66C5"/>
    <w:rsid w:val="00EE6733"/>
    <w:rsid w:val="00EE67DF"/>
    <w:rsid w:val="00EE68A4"/>
    <w:rsid w:val="00EE68A6"/>
    <w:rsid w:val="00EE6B71"/>
    <w:rsid w:val="00EE71A9"/>
    <w:rsid w:val="00EE735F"/>
    <w:rsid w:val="00EE779C"/>
    <w:rsid w:val="00EE7B78"/>
    <w:rsid w:val="00EE7CD9"/>
    <w:rsid w:val="00EE7E60"/>
    <w:rsid w:val="00EE7FA0"/>
    <w:rsid w:val="00EE7FF1"/>
    <w:rsid w:val="00EF01AA"/>
    <w:rsid w:val="00EF02C0"/>
    <w:rsid w:val="00EF0349"/>
    <w:rsid w:val="00EF0609"/>
    <w:rsid w:val="00EF0614"/>
    <w:rsid w:val="00EF0825"/>
    <w:rsid w:val="00EF093A"/>
    <w:rsid w:val="00EF09E0"/>
    <w:rsid w:val="00EF0A76"/>
    <w:rsid w:val="00EF0BF7"/>
    <w:rsid w:val="00EF0FC1"/>
    <w:rsid w:val="00EF1330"/>
    <w:rsid w:val="00EF13EC"/>
    <w:rsid w:val="00EF1520"/>
    <w:rsid w:val="00EF179F"/>
    <w:rsid w:val="00EF1B3A"/>
    <w:rsid w:val="00EF1E86"/>
    <w:rsid w:val="00EF2381"/>
    <w:rsid w:val="00EF240C"/>
    <w:rsid w:val="00EF2BB4"/>
    <w:rsid w:val="00EF2DAF"/>
    <w:rsid w:val="00EF2DF0"/>
    <w:rsid w:val="00EF2ECA"/>
    <w:rsid w:val="00EF30E2"/>
    <w:rsid w:val="00EF33A6"/>
    <w:rsid w:val="00EF3F82"/>
    <w:rsid w:val="00EF4297"/>
    <w:rsid w:val="00EF45C4"/>
    <w:rsid w:val="00EF46BF"/>
    <w:rsid w:val="00EF4925"/>
    <w:rsid w:val="00EF4C76"/>
    <w:rsid w:val="00EF4CC0"/>
    <w:rsid w:val="00EF4CDC"/>
    <w:rsid w:val="00EF4E7D"/>
    <w:rsid w:val="00EF5169"/>
    <w:rsid w:val="00EF5191"/>
    <w:rsid w:val="00EF53A2"/>
    <w:rsid w:val="00EF5961"/>
    <w:rsid w:val="00EF5E41"/>
    <w:rsid w:val="00EF5FA4"/>
    <w:rsid w:val="00EF650F"/>
    <w:rsid w:val="00EF6784"/>
    <w:rsid w:val="00EF6902"/>
    <w:rsid w:val="00EF6EB5"/>
    <w:rsid w:val="00EF6FD9"/>
    <w:rsid w:val="00EF70B8"/>
    <w:rsid w:val="00EF72BD"/>
    <w:rsid w:val="00EF755C"/>
    <w:rsid w:val="00EF7606"/>
    <w:rsid w:val="00EF7794"/>
    <w:rsid w:val="00EF7911"/>
    <w:rsid w:val="00EF7B8C"/>
    <w:rsid w:val="00EF7C2C"/>
    <w:rsid w:val="00EF7D97"/>
    <w:rsid w:val="00F00316"/>
    <w:rsid w:val="00F0042C"/>
    <w:rsid w:val="00F0043F"/>
    <w:rsid w:val="00F00A47"/>
    <w:rsid w:val="00F01330"/>
    <w:rsid w:val="00F013A0"/>
    <w:rsid w:val="00F01711"/>
    <w:rsid w:val="00F01878"/>
    <w:rsid w:val="00F018CA"/>
    <w:rsid w:val="00F01DB7"/>
    <w:rsid w:val="00F01DEA"/>
    <w:rsid w:val="00F0212E"/>
    <w:rsid w:val="00F02674"/>
    <w:rsid w:val="00F026E1"/>
    <w:rsid w:val="00F02934"/>
    <w:rsid w:val="00F02993"/>
    <w:rsid w:val="00F02A26"/>
    <w:rsid w:val="00F02EBA"/>
    <w:rsid w:val="00F030BE"/>
    <w:rsid w:val="00F030CC"/>
    <w:rsid w:val="00F03120"/>
    <w:rsid w:val="00F031A6"/>
    <w:rsid w:val="00F03202"/>
    <w:rsid w:val="00F0334D"/>
    <w:rsid w:val="00F03ABB"/>
    <w:rsid w:val="00F03D8B"/>
    <w:rsid w:val="00F03E97"/>
    <w:rsid w:val="00F04498"/>
    <w:rsid w:val="00F04A50"/>
    <w:rsid w:val="00F04DE9"/>
    <w:rsid w:val="00F04ED6"/>
    <w:rsid w:val="00F04EE6"/>
    <w:rsid w:val="00F04F03"/>
    <w:rsid w:val="00F0501C"/>
    <w:rsid w:val="00F055C4"/>
    <w:rsid w:val="00F05854"/>
    <w:rsid w:val="00F0596F"/>
    <w:rsid w:val="00F05AD3"/>
    <w:rsid w:val="00F05AE1"/>
    <w:rsid w:val="00F05C5B"/>
    <w:rsid w:val="00F05E2D"/>
    <w:rsid w:val="00F05F96"/>
    <w:rsid w:val="00F06826"/>
    <w:rsid w:val="00F06ECF"/>
    <w:rsid w:val="00F070DB"/>
    <w:rsid w:val="00F07501"/>
    <w:rsid w:val="00F07709"/>
    <w:rsid w:val="00F07768"/>
    <w:rsid w:val="00F078D1"/>
    <w:rsid w:val="00F07976"/>
    <w:rsid w:val="00F07C03"/>
    <w:rsid w:val="00F07F3D"/>
    <w:rsid w:val="00F10091"/>
    <w:rsid w:val="00F100EC"/>
    <w:rsid w:val="00F1033B"/>
    <w:rsid w:val="00F10485"/>
    <w:rsid w:val="00F105D3"/>
    <w:rsid w:val="00F10CCA"/>
    <w:rsid w:val="00F10EDA"/>
    <w:rsid w:val="00F10F80"/>
    <w:rsid w:val="00F11603"/>
    <w:rsid w:val="00F11658"/>
    <w:rsid w:val="00F11865"/>
    <w:rsid w:val="00F11A6A"/>
    <w:rsid w:val="00F11AED"/>
    <w:rsid w:val="00F11AF6"/>
    <w:rsid w:val="00F123D7"/>
    <w:rsid w:val="00F12A2C"/>
    <w:rsid w:val="00F12BD6"/>
    <w:rsid w:val="00F12F9B"/>
    <w:rsid w:val="00F1342C"/>
    <w:rsid w:val="00F135AF"/>
    <w:rsid w:val="00F138C9"/>
    <w:rsid w:val="00F13918"/>
    <w:rsid w:val="00F1403C"/>
    <w:rsid w:val="00F14229"/>
    <w:rsid w:val="00F145DF"/>
    <w:rsid w:val="00F1470D"/>
    <w:rsid w:val="00F147D7"/>
    <w:rsid w:val="00F1502B"/>
    <w:rsid w:val="00F150DB"/>
    <w:rsid w:val="00F1536A"/>
    <w:rsid w:val="00F1567B"/>
    <w:rsid w:val="00F1590A"/>
    <w:rsid w:val="00F15A0F"/>
    <w:rsid w:val="00F15F2A"/>
    <w:rsid w:val="00F15FA5"/>
    <w:rsid w:val="00F163FF"/>
    <w:rsid w:val="00F164A1"/>
    <w:rsid w:val="00F16736"/>
    <w:rsid w:val="00F16AD4"/>
    <w:rsid w:val="00F16C49"/>
    <w:rsid w:val="00F16E9A"/>
    <w:rsid w:val="00F17015"/>
    <w:rsid w:val="00F174BA"/>
    <w:rsid w:val="00F1754C"/>
    <w:rsid w:val="00F17730"/>
    <w:rsid w:val="00F17775"/>
    <w:rsid w:val="00F17A32"/>
    <w:rsid w:val="00F17AE6"/>
    <w:rsid w:val="00F17C43"/>
    <w:rsid w:val="00F17CDC"/>
    <w:rsid w:val="00F17E6E"/>
    <w:rsid w:val="00F20020"/>
    <w:rsid w:val="00F20213"/>
    <w:rsid w:val="00F202E4"/>
    <w:rsid w:val="00F2080F"/>
    <w:rsid w:val="00F2165D"/>
    <w:rsid w:val="00F21781"/>
    <w:rsid w:val="00F2188B"/>
    <w:rsid w:val="00F219EB"/>
    <w:rsid w:val="00F21E51"/>
    <w:rsid w:val="00F21ED6"/>
    <w:rsid w:val="00F21F1D"/>
    <w:rsid w:val="00F229F7"/>
    <w:rsid w:val="00F22BC2"/>
    <w:rsid w:val="00F22BFD"/>
    <w:rsid w:val="00F23087"/>
    <w:rsid w:val="00F2308B"/>
    <w:rsid w:val="00F23235"/>
    <w:rsid w:val="00F23600"/>
    <w:rsid w:val="00F23614"/>
    <w:rsid w:val="00F23AE8"/>
    <w:rsid w:val="00F23C90"/>
    <w:rsid w:val="00F23D85"/>
    <w:rsid w:val="00F23EE8"/>
    <w:rsid w:val="00F24068"/>
    <w:rsid w:val="00F241A9"/>
    <w:rsid w:val="00F24221"/>
    <w:rsid w:val="00F243A9"/>
    <w:rsid w:val="00F243EC"/>
    <w:rsid w:val="00F246D6"/>
    <w:rsid w:val="00F247C8"/>
    <w:rsid w:val="00F2488B"/>
    <w:rsid w:val="00F248A9"/>
    <w:rsid w:val="00F24B2F"/>
    <w:rsid w:val="00F24BF0"/>
    <w:rsid w:val="00F24BFE"/>
    <w:rsid w:val="00F24F24"/>
    <w:rsid w:val="00F25168"/>
    <w:rsid w:val="00F255EC"/>
    <w:rsid w:val="00F25668"/>
    <w:rsid w:val="00F258A2"/>
    <w:rsid w:val="00F258F7"/>
    <w:rsid w:val="00F2593B"/>
    <w:rsid w:val="00F25ACD"/>
    <w:rsid w:val="00F25B26"/>
    <w:rsid w:val="00F25C14"/>
    <w:rsid w:val="00F25D3F"/>
    <w:rsid w:val="00F260C8"/>
    <w:rsid w:val="00F26251"/>
    <w:rsid w:val="00F26328"/>
    <w:rsid w:val="00F26364"/>
    <w:rsid w:val="00F2646A"/>
    <w:rsid w:val="00F26B93"/>
    <w:rsid w:val="00F26E77"/>
    <w:rsid w:val="00F2707B"/>
    <w:rsid w:val="00F27225"/>
    <w:rsid w:val="00F27345"/>
    <w:rsid w:val="00F27B5A"/>
    <w:rsid w:val="00F27ECF"/>
    <w:rsid w:val="00F3099F"/>
    <w:rsid w:val="00F30A22"/>
    <w:rsid w:val="00F30BB4"/>
    <w:rsid w:val="00F30C3B"/>
    <w:rsid w:val="00F30E22"/>
    <w:rsid w:val="00F31030"/>
    <w:rsid w:val="00F310D9"/>
    <w:rsid w:val="00F316E3"/>
    <w:rsid w:val="00F316ED"/>
    <w:rsid w:val="00F31844"/>
    <w:rsid w:val="00F3186F"/>
    <w:rsid w:val="00F318BC"/>
    <w:rsid w:val="00F31A26"/>
    <w:rsid w:val="00F31E01"/>
    <w:rsid w:val="00F32080"/>
    <w:rsid w:val="00F3217E"/>
    <w:rsid w:val="00F323B1"/>
    <w:rsid w:val="00F3254B"/>
    <w:rsid w:val="00F32BC2"/>
    <w:rsid w:val="00F32E6D"/>
    <w:rsid w:val="00F33221"/>
    <w:rsid w:val="00F33551"/>
    <w:rsid w:val="00F33A99"/>
    <w:rsid w:val="00F33B50"/>
    <w:rsid w:val="00F33E54"/>
    <w:rsid w:val="00F3404F"/>
    <w:rsid w:val="00F3473F"/>
    <w:rsid w:val="00F35215"/>
    <w:rsid w:val="00F354B2"/>
    <w:rsid w:val="00F35614"/>
    <w:rsid w:val="00F35708"/>
    <w:rsid w:val="00F3576D"/>
    <w:rsid w:val="00F3598D"/>
    <w:rsid w:val="00F359BF"/>
    <w:rsid w:val="00F35A48"/>
    <w:rsid w:val="00F35F17"/>
    <w:rsid w:val="00F35F25"/>
    <w:rsid w:val="00F364DA"/>
    <w:rsid w:val="00F366DC"/>
    <w:rsid w:val="00F36ABA"/>
    <w:rsid w:val="00F36BC0"/>
    <w:rsid w:val="00F36E29"/>
    <w:rsid w:val="00F36EC5"/>
    <w:rsid w:val="00F370B7"/>
    <w:rsid w:val="00F3718A"/>
    <w:rsid w:val="00F3734C"/>
    <w:rsid w:val="00F374DB"/>
    <w:rsid w:val="00F3777B"/>
    <w:rsid w:val="00F37AF6"/>
    <w:rsid w:val="00F37CD8"/>
    <w:rsid w:val="00F37E43"/>
    <w:rsid w:val="00F37EDD"/>
    <w:rsid w:val="00F37F8E"/>
    <w:rsid w:val="00F37F97"/>
    <w:rsid w:val="00F4021D"/>
    <w:rsid w:val="00F4022C"/>
    <w:rsid w:val="00F403BB"/>
    <w:rsid w:val="00F40420"/>
    <w:rsid w:val="00F4042E"/>
    <w:rsid w:val="00F4085D"/>
    <w:rsid w:val="00F40892"/>
    <w:rsid w:val="00F40CD8"/>
    <w:rsid w:val="00F40DC3"/>
    <w:rsid w:val="00F40E20"/>
    <w:rsid w:val="00F41253"/>
    <w:rsid w:val="00F41613"/>
    <w:rsid w:val="00F4161C"/>
    <w:rsid w:val="00F417BE"/>
    <w:rsid w:val="00F41DAA"/>
    <w:rsid w:val="00F42402"/>
    <w:rsid w:val="00F427D3"/>
    <w:rsid w:val="00F42B5C"/>
    <w:rsid w:val="00F42BD5"/>
    <w:rsid w:val="00F42D66"/>
    <w:rsid w:val="00F4312D"/>
    <w:rsid w:val="00F4329A"/>
    <w:rsid w:val="00F433EF"/>
    <w:rsid w:val="00F43567"/>
    <w:rsid w:val="00F4398A"/>
    <w:rsid w:val="00F43B87"/>
    <w:rsid w:val="00F441A2"/>
    <w:rsid w:val="00F445A5"/>
    <w:rsid w:val="00F44713"/>
    <w:rsid w:val="00F448FC"/>
    <w:rsid w:val="00F44A56"/>
    <w:rsid w:val="00F44E15"/>
    <w:rsid w:val="00F44F59"/>
    <w:rsid w:val="00F44F8E"/>
    <w:rsid w:val="00F451CA"/>
    <w:rsid w:val="00F454B8"/>
    <w:rsid w:val="00F456B4"/>
    <w:rsid w:val="00F4583B"/>
    <w:rsid w:val="00F45C63"/>
    <w:rsid w:val="00F45D6D"/>
    <w:rsid w:val="00F46115"/>
    <w:rsid w:val="00F4698D"/>
    <w:rsid w:val="00F46B9A"/>
    <w:rsid w:val="00F470DB"/>
    <w:rsid w:val="00F472AA"/>
    <w:rsid w:val="00F47866"/>
    <w:rsid w:val="00F47C0D"/>
    <w:rsid w:val="00F47EC2"/>
    <w:rsid w:val="00F47FB4"/>
    <w:rsid w:val="00F50011"/>
    <w:rsid w:val="00F500C8"/>
    <w:rsid w:val="00F50152"/>
    <w:rsid w:val="00F502C0"/>
    <w:rsid w:val="00F5085D"/>
    <w:rsid w:val="00F50B4F"/>
    <w:rsid w:val="00F50C1C"/>
    <w:rsid w:val="00F50D03"/>
    <w:rsid w:val="00F50DF1"/>
    <w:rsid w:val="00F50F1D"/>
    <w:rsid w:val="00F50F25"/>
    <w:rsid w:val="00F50F68"/>
    <w:rsid w:val="00F51138"/>
    <w:rsid w:val="00F51293"/>
    <w:rsid w:val="00F513CF"/>
    <w:rsid w:val="00F51444"/>
    <w:rsid w:val="00F515E4"/>
    <w:rsid w:val="00F519B2"/>
    <w:rsid w:val="00F51FD7"/>
    <w:rsid w:val="00F5204E"/>
    <w:rsid w:val="00F522C6"/>
    <w:rsid w:val="00F52822"/>
    <w:rsid w:val="00F52B41"/>
    <w:rsid w:val="00F52CB4"/>
    <w:rsid w:val="00F52DF4"/>
    <w:rsid w:val="00F52EB8"/>
    <w:rsid w:val="00F53324"/>
    <w:rsid w:val="00F536C9"/>
    <w:rsid w:val="00F53724"/>
    <w:rsid w:val="00F538DB"/>
    <w:rsid w:val="00F539FF"/>
    <w:rsid w:val="00F53AF3"/>
    <w:rsid w:val="00F53BE7"/>
    <w:rsid w:val="00F53C5B"/>
    <w:rsid w:val="00F53FD8"/>
    <w:rsid w:val="00F545A8"/>
    <w:rsid w:val="00F5478B"/>
    <w:rsid w:val="00F54D2C"/>
    <w:rsid w:val="00F54D8F"/>
    <w:rsid w:val="00F550B6"/>
    <w:rsid w:val="00F550F9"/>
    <w:rsid w:val="00F5573F"/>
    <w:rsid w:val="00F55A98"/>
    <w:rsid w:val="00F55AE7"/>
    <w:rsid w:val="00F5622B"/>
    <w:rsid w:val="00F565F9"/>
    <w:rsid w:val="00F56647"/>
    <w:rsid w:val="00F56D2A"/>
    <w:rsid w:val="00F56DA6"/>
    <w:rsid w:val="00F56E29"/>
    <w:rsid w:val="00F57290"/>
    <w:rsid w:val="00F57303"/>
    <w:rsid w:val="00F5736D"/>
    <w:rsid w:val="00F57AA9"/>
    <w:rsid w:val="00F57BFF"/>
    <w:rsid w:val="00F57F32"/>
    <w:rsid w:val="00F60036"/>
    <w:rsid w:val="00F60301"/>
    <w:rsid w:val="00F609F8"/>
    <w:rsid w:val="00F60E88"/>
    <w:rsid w:val="00F60E9E"/>
    <w:rsid w:val="00F60EAB"/>
    <w:rsid w:val="00F6125D"/>
    <w:rsid w:val="00F612FB"/>
    <w:rsid w:val="00F613F7"/>
    <w:rsid w:val="00F614B1"/>
    <w:rsid w:val="00F61927"/>
    <w:rsid w:val="00F6192E"/>
    <w:rsid w:val="00F61D31"/>
    <w:rsid w:val="00F62104"/>
    <w:rsid w:val="00F621A4"/>
    <w:rsid w:val="00F6228F"/>
    <w:rsid w:val="00F6254C"/>
    <w:rsid w:val="00F62806"/>
    <w:rsid w:val="00F62933"/>
    <w:rsid w:val="00F62A7B"/>
    <w:rsid w:val="00F62FCF"/>
    <w:rsid w:val="00F6309A"/>
    <w:rsid w:val="00F630DD"/>
    <w:rsid w:val="00F63A89"/>
    <w:rsid w:val="00F63C01"/>
    <w:rsid w:val="00F63F78"/>
    <w:rsid w:val="00F64239"/>
    <w:rsid w:val="00F64293"/>
    <w:rsid w:val="00F643AD"/>
    <w:rsid w:val="00F64BBD"/>
    <w:rsid w:val="00F64E16"/>
    <w:rsid w:val="00F64F1F"/>
    <w:rsid w:val="00F65050"/>
    <w:rsid w:val="00F65185"/>
    <w:rsid w:val="00F65305"/>
    <w:rsid w:val="00F65552"/>
    <w:rsid w:val="00F655CD"/>
    <w:rsid w:val="00F6576A"/>
    <w:rsid w:val="00F6592C"/>
    <w:rsid w:val="00F65B8F"/>
    <w:rsid w:val="00F65DBE"/>
    <w:rsid w:val="00F65EFF"/>
    <w:rsid w:val="00F65F25"/>
    <w:rsid w:val="00F65F7A"/>
    <w:rsid w:val="00F66315"/>
    <w:rsid w:val="00F664B0"/>
    <w:rsid w:val="00F667C3"/>
    <w:rsid w:val="00F66854"/>
    <w:rsid w:val="00F66DEA"/>
    <w:rsid w:val="00F67029"/>
    <w:rsid w:val="00F671A2"/>
    <w:rsid w:val="00F672AD"/>
    <w:rsid w:val="00F6746D"/>
    <w:rsid w:val="00F676BF"/>
    <w:rsid w:val="00F678F2"/>
    <w:rsid w:val="00F679EA"/>
    <w:rsid w:val="00F67C42"/>
    <w:rsid w:val="00F67D18"/>
    <w:rsid w:val="00F67E0C"/>
    <w:rsid w:val="00F7096D"/>
    <w:rsid w:val="00F709A6"/>
    <w:rsid w:val="00F70D8D"/>
    <w:rsid w:val="00F70ED7"/>
    <w:rsid w:val="00F71138"/>
    <w:rsid w:val="00F711C0"/>
    <w:rsid w:val="00F713B7"/>
    <w:rsid w:val="00F71446"/>
    <w:rsid w:val="00F71B04"/>
    <w:rsid w:val="00F71B40"/>
    <w:rsid w:val="00F71F31"/>
    <w:rsid w:val="00F72027"/>
    <w:rsid w:val="00F7205C"/>
    <w:rsid w:val="00F721DA"/>
    <w:rsid w:val="00F7231F"/>
    <w:rsid w:val="00F72656"/>
    <w:rsid w:val="00F72660"/>
    <w:rsid w:val="00F7266E"/>
    <w:rsid w:val="00F729AB"/>
    <w:rsid w:val="00F72EF6"/>
    <w:rsid w:val="00F72F41"/>
    <w:rsid w:val="00F7333A"/>
    <w:rsid w:val="00F73393"/>
    <w:rsid w:val="00F734A9"/>
    <w:rsid w:val="00F73513"/>
    <w:rsid w:val="00F73657"/>
    <w:rsid w:val="00F736BC"/>
    <w:rsid w:val="00F7378D"/>
    <w:rsid w:val="00F73B87"/>
    <w:rsid w:val="00F73C88"/>
    <w:rsid w:val="00F74095"/>
    <w:rsid w:val="00F741F7"/>
    <w:rsid w:val="00F7425F"/>
    <w:rsid w:val="00F74388"/>
    <w:rsid w:val="00F74762"/>
    <w:rsid w:val="00F74772"/>
    <w:rsid w:val="00F748AE"/>
    <w:rsid w:val="00F748C7"/>
    <w:rsid w:val="00F74DE8"/>
    <w:rsid w:val="00F74E11"/>
    <w:rsid w:val="00F750CA"/>
    <w:rsid w:val="00F750CD"/>
    <w:rsid w:val="00F7525C"/>
    <w:rsid w:val="00F75400"/>
    <w:rsid w:val="00F7587C"/>
    <w:rsid w:val="00F75927"/>
    <w:rsid w:val="00F75ACE"/>
    <w:rsid w:val="00F75D61"/>
    <w:rsid w:val="00F7607E"/>
    <w:rsid w:val="00F764C6"/>
    <w:rsid w:val="00F76563"/>
    <w:rsid w:val="00F767C5"/>
    <w:rsid w:val="00F76833"/>
    <w:rsid w:val="00F7685C"/>
    <w:rsid w:val="00F769B0"/>
    <w:rsid w:val="00F76B6D"/>
    <w:rsid w:val="00F76C17"/>
    <w:rsid w:val="00F76C9D"/>
    <w:rsid w:val="00F76EC4"/>
    <w:rsid w:val="00F77095"/>
    <w:rsid w:val="00F77119"/>
    <w:rsid w:val="00F7750F"/>
    <w:rsid w:val="00F77519"/>
    <w:rsid w:val="00F77575"/>
    <w:rsid w:val="00F77C50"/>
    <w:rsid w:val="00F77E04"/>
    <w:rsid w:val="00F77E23"/>
    <w:rsid w:val="00F8033C"/>
    <w:rsid w:val="00F806CE"/>
    <w:rsid w:val="00F80744"/>
    <w:rsid w:val="00F80E6D"/>
    <w:rsid w:val="00F810D0"/>
    <w:rsid w:val="00F810E1"/>
    <w:rsid w:val="00F81495"/>
    <w:rsid w:val="00F814F6"/>
    <w:rsid w:val="00F8165D"/>
    <w:rsid w:val="00F81884"/>
    <w:rsid w:val="00F819F6"/>
    <w:rsid w:val="00F81E0E"/>
    <w:rsid w:val="00F81FD2"/>
    <w:rsid w:val="00F81FE9"/>
    <w:rsid w:val="00F8209A"/>
    <w:rsid w:val="00F82171"/>
    <w:rsid w:val="00F82179"/>
    <w:rsid w:val="00F821B7"/>
    <w:rsid w:val="00F824B0"/>
    <w:rsid w:val="00F824E5"/>
    <w:rsid w:val="00F8252A"/>
    <w:rsid w:val="00F827F0"/>
    <w:rsid w:val="00F82A1E"/>
    <w:rsid w:val="00F82BBF"/>
    <w:rsid w:val="00F832DB"/>
    <w:rsid w:val="00F8354F"/>
    <w:rsid w:val="00F839D0"/>
    <w:rsid w:val="00F83C81"/>
    <w:rsid w:val="00F83FEF"/>
    <w:rsid w:val="00F84131"/>
    <w:rsid w:val="00F84361"/>
    <w:rsid w:val="00F84450"/>
    <w:rsid w:val="00F84606"/>
    <w:rsid w:val="00F846F1"/>
    <w:rsid w:val="00F84B8B"/>
    <w:rsid w:val="00F84C06"/>
    <w:rsid w:val="00F84C26"/>
    <w:rsid w:val="00F84D4A"/>
    <w:rsid w:val="00F84E1D"/>
    <w:rsid w:val="00F8501C"/>
    <w:rsid w:val="00F8503E"/>
    <w:rsid w:val="00F8530A"/>
    <w:rsid w:val="00F8566A"/>
    <w:rsid w:val="00F8585C"/>
    <w:rsid w:val="00F85A2B"/>
    <w:rsid w:val="00F85B59"/>
    <w:rsid w:val="00F85BC5"/>
    <w:rsid w:val="00F85BC8"/>
    <w:rsid w:val="00F85BEE"/>
    <w:rsid w:val="00F85C9A"/>
    <w:rsid w:val="00F85FD2"/>
    <w:rsid w:val="00F86039"/>
    <w:rsid w:val="00F862D6"/>
    <w:rsid w:val="00F8638E"/>
    <w:rsid w:val="00F86CD3"/>
    <w:rsid w:val="00F86F58"/>
    <w:rsid w:val="00F86F9E"/>
    <w:rsid w:val="00F87091"/>
    <w:rsid w:val="00F870B4"/>
    <w:rsid w:val="00F87196"/>
    <w:rsid w:val="00F875DC"/>
    <w:rsid w:val="00F879A6"/>
    <w:rsid w:val="00F879AF"/>
    <w:rsid w:val="00F87A79"/>
    <w:rsid w:val="00F87CD1"/>
    <w:rsid w:val="00F87EC1"/>
    <w:rsid w:val="00F87F5F"/>
    <w:rsid w:val="00F90290"/>
    <w:rsid w:val="00F906E1"/>
    <w:rsid w:val="00F90BC8"/>
    <w:rsid w:val="00F90C98"/>
    <w:rsid w:val="00F90CCC"/>
    <w:rsid w:val="00F90FA8"/>
    <w:rsid w:val="00F9120C"/>
    <w:rsid w:val="00F91215"/>
    <w:rsid w:val="00F91265"/>
    <w:rsid w:val="00F915F9"/>
    <w:rsid w:val="00F9166E"/>
    <w:rsid w:val="00F9202B"/>
    <w:rsid w:val="00F92051"/>
    <w:rsid w:val="00F920CD"/>
    <w:rsid w:val="00F9226D"/>
    <w:rsid w:val="00F9230D"/>
    <w:rsid w:val="00F9267E"/>
    <w:rsid w:val="00F9268F"/>
    <w:rsid w:val="00F926C2"/>
    <w:rsid w:val="00F92886"/>
    <w:rsid w:val="00F92993"/>
    <w:rsid w:val="00F92B27"/>
    <w:rsid w:val="00F92B2C"/>
    <w:rsid w:val="00F92DEA"/>
    <w:rsid w:val="00F93083"/>
    <w:rsid w:val="00F930BF"/>
    <w:rsid w:val="00F93245"/>
    <w:rsid w:val="00F9383A"/>
    <w:rsid w:val="00F93992"/>
    <w:rsid w:val="00F93CD7"/>
    <w:rsid w:val="00F94005"/>
    <w:rsid w:val="00F942AE"/>
    <w:rsid w:val="00F942D4"/>
    <w:rsid w:val="00F9465E"/>
    <w:rsid w:val="00F946D0"/>
    <w:rsid w:val="00F947D9"/>
    <w:rsid w:val="00F9484A"/>
    <w:rsid w:val="00F94A33"/>
    <w:rsid w:val="00F94CD0"/>
    <w:rsid w:val="00F94D8D"/>
    <w:rsid w:val="00F94E49"/>
    <w:rsid w:val="00F94EBD"/>
    <w:rsid w:val="00F952FC"/>
    <w:rsid w:val="00F95788"/>
    <w:rsid w:val="00F95BC4"/>
    <w:rsid w:val="00F95CEE"/>
    <w:rsid w:val="00F95F05"/>
    <w:rsid w:val="00F9659C"/>
    <w:rsid w:val="00F970BF"/>
    <w:rsid w:val="00F972B7"/>
    <w:rsid w:val="00F97544"/>
    <w:rsid w:val="00F9762B"/>
    <w:rsid w:val="00F976F3"/>
    <w:rsid w:val="00F97A73"/>
    <w:rsid w:val="00F97CA1"/>
    <w:rsid w:val="00F97DFA"/>
    <w:rsid w:val="00F97F90"/>
    <w:rsid w:val="00FA001C"/>
    <w:rsid w:val="00FA0192"/>
    <w:rsid w:val="00FA0230"/>
    <w:rsid w:val="00FA02E2"/>
    <w:rsid w:val="00FA08C6"/>
    <w:rsid w:val="00FA08E4"/>
    <w:rsid w:val="00FA0BA4"/>
    <w:rsid w:val="00FA1603"/>
    <w:rsid w:val="00FA1F7A"/>
    <w:rsid w:val="00FA239D"/>
    <w:rsid w:val="00FA23FD"/>
    <w:rsid w:val="00FA26EA"/>
    <w:rsid w:val="00FA29A2"/>
    <w:rsid w:val="00FA2C89"/>
    <w:rsid w:val="00FA2F1F"/>
    <w:rsid w:val="00FA3049"/>
    <w:rsid w:val="00FA30F8"/>
    <w:rsid w:val="00FA30FD"/>
    <w:rsid w:val="00FA3472"/>
    <w:rsid w:val="00FA360A"/>
    <w:rsid w:val="00FA3766"/>
    <w:rsid w:val="00FA3AEE"/>
    <w:rsid w:val="00FA3DEF"/>
    <w:rsid w:val="00FA3E04"/>
    <w:rsid w:val="00FA409F"/>
    <w:rsid w:val="00FA411D"/>
    <w:rsid w:val="00FA41FE"/>
    <w:rsid w:val="00FA4607"/>
    <w:rsid w:val="00FA460F"/>
    <w:rsid w:val="00FA4C2C"/>
    <w:rsid w:val="00FA53DA"/>
    <w:rsid w:val="00FA54E4"/>
    <w:rsid w:val="00FA554C"/>
    <w:rsid w:val="00FA568F"/>
    <w:rsid w:val="00FA576C"/>
    <w:rsid w:val="00FA5970"/>
    <w:rsid w:val="00FA5A9B"/>
    <w:rsid w:val="00FA5D61"/>
    <w:rsid w:val="00FA5D68"/>
    <w:rsid w:val="00FA5E9D"/>
    <w:rsid w:val="00FA6084"/>
    <w:rsid w:val="00FA60C9"/>
    <w:rsid w:val="00FA6638"/>
    <w:rsid w:val="00FA6D54"/>
    <w:rsid w:val="00FA6F9C"/>
    <w:rsid w:val="00FA7035"/>
    <w:rsid w:val="00FA71A3"/>
    <w:rsid w:val="00FA72AD"/>
    <w:rsid w:val="00FA79A3"/>
    <w:rsid w:val="00FA7FFE"/>
    <w:rsid w:val="00FB00A1"/>
    <w:rsid w:val="00FB026E"/>
    <w:rsid w:val="00FB04C1"/>
    <w:rsid w:val="00FB079A"/>
    <w:rsid w:val="00FB0881"/>
    <w:rsid w:val="00FB08A0"/>
    <w:rsid w:val="00FB09CA"/>
    <w:rsid w:val="00FB0A27"/>
    <w:rsid w:val="00FB0BF7"/>
    <w:rsid w:val="00FB0EEC"/>
    <w:rsid w:val="00FB12AB"/>
    <w:rsid w:val="00FB1384"/>
    <w:rsid w:val="00FB1C9C"/>
    <w:rsid w:val="00FB2040"/>
    <w:rsid w:val="00FB23C0"/>
    <w:rsid w:val="00FB24B1"/>
    <w:rsid w:val="00FB2745"/>
    <w:rsid w:val="00FB2EC3"/>
    <w:rsid w:val="00FB3072"/>
    <w:rsid w:val="00FB32B6"/>
    <w:rsid w:val="00FB391A"/>
    <w:rsid w:val="00FB3992"/>
    <w:rsid w:val="00FB399B"/>
    <w:rsid w:val="00FB3ABB"/>
    <w:rsid w:val="00FB3F83"/>
    <w:rsid w:val="00FB4137"/>
    <w:rsid w:val="00FB419F"/>
    <w:rsid w:val="00FB4826"/>
    <w:rsid w:val="00FB4915"/>
    <w:rsid w:val="00FB4BDE"/>
    <w:rsid w:val="00FB5000"/>
    <w:rsid w:val="00FB5670"/>
    <w:rsid w:val="00FB5675"/>
    <w:rsid w:val="00FB592F"/>
    <w:rsid w:val="00FB5C6E"/>
    <w:rsid w:val="00FB5CB0"/>
    <w:rsid w:val="00FB5E76"/>
    <w:rsid w:val="00FB6086"/>
    <w:rsid w:val="00FB612A"/>
    <w:rsid w:val="00FB667F"/>
    <w:rsid w:val="00FB68F6"/>
    <w:rsid w:val="00FB6F50"/>
    <w:rsid w:val="00FB705B"/>
    <w:rsid w:val="00FB70E0"/>
    <w:rsid w:val="00FB712A"/>
    <w:rsid w:val="00FB7525"/>
    <w:rsid w:val="00FB7550"/>
    <w:rsid w:val="00FB7836"/>
    <w:rsid w:val="00FB7D88"/>
    <w:rsid w:val="00FC01F2"/>
    <w:rsid w:val="00FC0574"/>
    <w:rsid w:val="00FC0703"/>
    <w:rsid w:val="00FC07C0"/>
    <w:rsid w:val="00FC0B98"/>
    <w:rsid w:val="00FC0CD2"/>
    <w:rsid w:val="00FC1049"/>
    <w:rsid w:val="00FC12FF"/>
    <w:rsid w:val="00FC145F"/>
    <w:rsid w:val="00FC17E3"/>
    <w:rsid w:val="00FC1CE7"/>
    <w:rsid w:val="00FC1EBE"/>
    <w:rsid w:val="00FC2317"/>
    <w:rsid w:val="00FC24C5"/>
    <w:rsid w:val="00FC2ED2"/>
    <w:rsid w:val="00FC30DA"/>
    <w:rsid w:val="00FC32E3"/>
    <w:rsid w:val="00FC365C"/>
    <w:rsid w:val="00FC3670"/>
    <w:rsid w:val="00FC3957"/>
    <w:rsid w:val="00FC3CDA"/>
    <w:rsid w:val="00FC3EF4"/>
    <w:rsid w:val="00FC421E"/>
    <w:rsid w:val="00FC444B"/>
    <w:rsid w:val="00FC45E2"/>
    <w:rsid w:val="00FC4939"/>
    <w:rsid w:val="00FC4D78"/>
    <w:rsid w:val="00FC4E70"/>
    <w:rsid w:val="00FC4E87"/>
    <w:rsid w:val="00FC4EA4"/>
    <w:rsid w:val="00FC506C"/>
    <w:rsid w:val="00FC5391"/>
    <w:rsid w:val="00FC553D"/>
    <w:rsid w:val="00FC5F3A"/>
    <w:rsid w:val="00FC5FE8"/>
    <w:rsid w:val="00FC6256"/>
    <w:rsid w:val="00FC66B3"/>
    <w:rsid w:val="00FC66D5"/>
    <w:rsid w:val="00FC6725"/>
    <w:rsid w:val="00FC69ED"/>
    <w:rsid w:val="00FC6A22"/>
    <w:rsid w:val="00FC6C8C"/>
    <w:rsid w:val="00FC6F43"/>
    <w:rsid w:val="00FC6F4F"/>
    <w:rsid w:val="00FC788E"/>
    <w:rsid w:val="00FC7A7B"/>
    <w:rsid w:val="00FC7B65"/>
    <w:rsid w:val="00FC7B9C"/>
    <w:rsid w:val="00FC7D48"/>
    <w:rsid w:val="00FD03E2"/>
    <w:rsid w:val="00FD05FF"/>
    <w:rsid w:val="00FD0B5A"/>
    <w:rsid w:val="00FD0E5C"/>
    <w:rsid w:val="00FD0ED3"/>
    <w:rsid w:val="00FD0FE7"/>
    <w:rsid w:val="00FD1080"/>
    <w:rsid w:val="00FD1171"/>
    <w:rsid w:val="00FD1597"/>
    <w:rsid w:val="00FD1BC3"/>
    <w:rsid w:val="00FD1E7B"/>
    <w:rsid w:val="00FD1E8C"/>
    <w:rsid w:val="00FD1F5E"/>
    <w:rsid w:val="00FD227C"/>
    <w:rsid w:val="00FD2296"/>
    <w:rsid w:val="00FD27ED"/>
    <w:rsid w:val="00FD2D45"/>
    <w:rsid w:val="00FD2DE6"/>
    <w:rsid w:val="00FD2EBC"/>
    <w:rsid w:val="00FD3175"/>
    <w:rsid w:val="00FD363B"/>
    <w:rsid w:val="00FD3B8C"/>
    <w:rsid w:val="00FD3BE4"/>
    <w:rsid w:val="00FD3C96"/>
    <w:rsid w:val="00FD3CE0"/>
    <w:rsid w:val="00FD4404"/>
    <w:rsid w:val="00FD44FE"/>
    <w:rsid w:val="00FD46B6"/>
    <w:rsid w:val="00FD4A20"/>
    <w:rsid w:val="00FD4F9E"/>
    <w:rsid w:val="00FD5107"/>
    <w:rsid w:val="00FD5758"/>
    <w:rsid w:val="00FD5B5D"/>
    <w:rsid w:val="00FD5DB5"/>
    <w:rsid w:val="00FD6062"/>
    <w:rsid w:val="00FD6513"/>
    <w:rsid w:val="00FD668C"/>
    <w:rsid w:val="00FD6705"/>
    <w:rsid w:val="00FD6878"/>
    <w:rsid w:val="00FD6A09"/>
    <w:rsid w:val="00FD6FF3"/>
    <w:rsid w:val="00FD720C"/>
    <w:rsid w:val="00FD73FE"/>
    <w:rsid w:val="00FD75C7"/>
    <w:rsid w:val="00FD75D2"/>
    <w:rsid w:val="00FD7690"/>
    <w:rsid w:val="00FE0448"/>
    <w:rsid w:val="00FE0A41"/>
    <w:rsid w:val="00FE0DDB"/>
    <w:rsid w:val="00FE0E95"/>
    <w:rsid w:val="00FE1007"/>
    <w:rsid w:val="00FE1118"/>
    <w:rsid w:val="00FE12A8"/>
    <w:rsid w:val="00FE1898"/>
    <w:rsid w:val="00FE18B0"/>
    <w:rsid w:val="00FE1B33"/>
    <w:rsid w:val="00FE1CBF"/>
    <w:rsid w:val="00FE21EF"/>
    <w:rsid w:val="00FE23B1"/>
    <w:rsid w:val="00FE2796"/>
    <w:rsid w:val="00FE2A29"/>
    <w:rsid w:val="00FE2F35"/>
    <w:rsid w:val="00FE304D"/>
    <w:rsid w:val="00FE3103"/>
    <w:rsid w:val="00FE346B"/>
    <w:rsid w:val="00FE3538"/>
    <w:rsid w:val="00FE3985"/>
    <w:rsid w:val="00FE3A60"/>
    <w:rsid w:val="00FE3BE3"/>
    <w:rsid w:val="00FE41AA"/>
    <w:rsid w:val="00FE41D3"/>
    <w:rsid w:val="00FE4A4E"/>
    <w:rsid w:val="00FE4C47"/>
    <w:rsid w:val="00FE4C81"/>
    <w:rsid w:val="00FE4EB7"/>
    <w:rsid w:val="00FE4FC1"/>
    <w:rsid w:val="00FE4FFA"/>
    <w:rsid w:val="00FE50F0"/>
    <w:rsid w:val="00FE51FA"/>
    <w:rsid w:val="00FE55B7"/>
    <w:rsid w:val="00FE5876"/>
    <w:rsid w:val="00FE59C7"/>
    <w:rsid w:val="00FE5B2E"/>
    <w:rsid w:val="00FE5F52"/>
    <w:rsid w:val="00FE5F9D"/>
    <w:rsid w:val="00FE5FEE"/>
    <w:rsid w:val="00FE60B6"/>
    <w:rsid w:val="00FE68E8"/>
    <w:rsid w:val="00FE6BEE"/>
    <w:rsid w:val="00FE6E78"/>
    <w:rsid w:val="00FE72F0"/>
    <w:rsid w:val="00FE74E8"/>
    <w:rsid w:val="00FE7885"/>
    <w:rsid w:val="00FE7BCE"/>
    <w:rsid w:val="00FE7FCD"/>
    <w:rsid w:val="00FF0057"/>
    <w:rsid w:val="00FF02CC"/>
    <w:rsid w:val="00FF05B7"/>
    <w:rsid w:val="00FF05E9"/>
    <w:rsid w:val="00FF06F3"/>
    <w:rsid w:val="00FF070C"/>
    <w:rsid w:val="00FF0FEA"/>
    <w:rsid w:val="00FF118D"/>
    <w:rsid w:val="00FF1500"/>
    <w:rsid w:val="00FF16BB"/>
    <w:rsid w:val="00FF171D"/>
    <w:rsid w:val="00FF1A49"/>
    <w:rsid w:val="00FF1A91"/>
    <w:rsid w:val="00FF1AE8"/>
    <w:rsid w:val="00FF1B33"/>
    <w:rsid w:val="00FF1B97"/>
    <w:rsid w:val="00FF1ECE"/>
    <w:rsid w:val="00FF2457"/>
    <w:rsid w:val="00FF2543"/>
    <w:rsid w:val="00FF25E7"/>
    <w:rsid w:val="00FF28A7"/>
    <w:rsid w:val="00FF2BC3"/>
    <w:rsid w:val="00FF31AD"/>
    <w:rsid w:val="00FF32E3"/>
    <w:rsid w:val="00FF3686"/>
    <w:rsid w:val="00FF3790"/>
    <w:rsid w:val="00FF3B84"/>
    <w:rsid w:val="00FF3D10"/>
    <w:rsid w:val="00FF3F32"/>
    <w:rsid w:val="00FF3F3A"/>
    <w:rsid w:val="00FF4005"/>
    <w:rsid w:val="00FF47B2"/>
    <w:rsid w:val="00FF48A3"/>
    <w:rsid w:val="00FF4C30"/>
    <w:rsid w:val="00FF5047"/>
    <w:rsid w:val="00FF54D7"/>
    <w:rsid w:val="00FF573C"/>
    <w:rsid w:val="00FF5A0C"/>
    <w:rsid w:val="00FF5A5E"/>
    <w:rsid w:val="00FF5C7A"/>
    <w:rsid w:val="00FF5C9B"/>
    <w:rsid w:val="00FF6113"/>
    <w:rsid w:val="00FF6380"/>
    <w:rsid w:val="00FF64FF"/>
    <w:rsid w:val="00FF6653"/>
    <w:rsid w:val="00FF6ACB"/>
    <w:rsid w:val="00FF6B12"/>
    <w:rsid w:val="00FF6E7E"/>
    <w:rsid w:val="00FF6F05"/>
    <w:rsid w:val="00FF713A"/>
    <w:rsid w:val="00FF72B5"/>
    <w:rsid w:val="00FF7776"/>
    <w:rsid w:val="00FF7A18"/>
    <w:rsid w:val="00FF7C57"/>
    <w:rsid w:val="00FF7C59"/>
    <w:rsid w:val="00FF7D6D"/>
    <w:rsid w:val="00FF7EEC"/>
    <w:rsid w:val="00FF7FA4"/>
    <w:rsid w:val="021E71A1"/>
    <w:rsid w:val="023C4E17"/>
    <w:rsid w:val="02A05595"/>
    <w:rsid w:val="035B0AD2"/>
    <w:rsid w:val="03C11B67"/>
    <w:rsid w:val="03D91250"/>
    <w:rsid w:val="04084402"/>
    <w:rsid w:val="048E6891"/>
    <w:rsid w:val="04ED631E"/>
    <w:rsid w:val="063E1A78"/>
    <w:rsid w:val="06723FA8"/>
    <w:rsid w:val="06AE5749"/>
    <w:rsid w:val="06E647F1"/>
    <w:rsid w:val="07B639AE"/>
    <w:rsid w:val="08054815"/>
    <w:rsid w:val="08AC025B"/>
    <w:rsid w:val="09C40713"/>
    <w:rsid w:val="0A5F6817"/>
    <w:rsid w:val="0B0274B0"/>
    <w:rsid w:val="0B30529B"/>
    <w:rsid w:val="0B697F63"/>
    <w:rsid w:val="0B705F87"/>
    <w:rsid w:val="0BEBD5EE"/>
    <w:rsid w:val="0D26527C"/>
    <w:rsid w:val="0E566264"/>
    <w:rsid w:val="0E5F4350"/>
    <w:rsid w:val="0EEE432C"/>
    <w:rsid w:val="0F1A529E"/>
    <w:rsid w:val="0F5E688A"/>
    <w:rsid w:val="0FA37291"/>
    <w:rsid w:val="1163049F"/>
    <w:rsid w:val="119D3356"/>
    <w:rsid w:val="11A967B3"/>
    <w:rsid w:val="11D61A73"/>
    <w:rsid w:val="11F663AD"/>
    <w:rsid w:val="12FF0EBB"/>
    <w:rsid w:val="148020E8"/>
    <w:rsid w:val="14D822E3"/>
    <w:rsid w:val="15440333"/>
    <w:rsid w:val="15AF05DF"/>
    <w:rsid w:val="16E7E115"/>
    <w:rsid w:val="16FE0496"/>
    <w:rsid w:val="176F369C"/>
    <w:rsid w:val="18645548"/>
    <w:rsid w:val="197411F5"/>
    <w:rsid w:val="198C7285"/>
    <w:rsid w:val="19CD4C6E"/>
    <w:rsid w:val="1A4E73BF"/>
    <w:rsid w:val="1B062482"/>
    <w:rsid w:val="1B3D3B26"/>
    <w:rsid w:val="1C1538F9"/>
    <w:rsid w:val="1CB704F1"/>
    <w:rsid w:val="1D684100"/>
    <w:rsid w:val="1D843C32"/>
    <w:rsid w:val="1DBC69B5"/>
    <w:rsid w:val="1F4501D6"/>
    <w:rsid w:val="1F7A7982"/>
    <w:rsid w:val="1F940120"/>
    <w:rsid w:val="20466DC6"/>
    <w:rsid w:val="2077085B"/>
    <w:rsid w:val="219F2875"/>
    <w:rsid w:val="22297C26"/>
    <w:rsid w:val="237C24E7"/>
    <w:rsid w:val="23B610C8"/>
    <w:rsid w:val="254A6A85"/>
    <w:rsid w:val="25597DA7"/>
    <w:rsid w:val="26E147CF"/>
    <w:rsid w:val="28092B37"/>
    <w:rsid w:val="28246B07"/>
    <w:rsid w:val="28483C85"/>
    <w:rsid w:val="28AE6E5B"/>
    <w:rsid w:val="28D72B81"/>
    <w:rsid w:val="295A5A95"/>
    <w:rsid w:val="29820AB2"/>
    <w:rsid w:val="29894E79"/>
    <w:rsid w:val="2BE1223A"/>
    <w:rsid w:val="2C3342E6"/>
    <w:rsid w:val="2C8135C5"/>
    <w:rsid w:val="2CD0409F"/>
    <w:rsid w:val="2DDA471B"/>
    <w:rsid w:val="2DDE404C"/>
    <w:rsid w:val="2DE37F3B"/>
    <w:rsid w:val="2EFF26B5"/>
    <w:rsid w:val="2F5E167A"/>
    <w:rsid w:val="2F954C7E"/>
    <w:rsid w:val="2FAA0D63"/>
    <w:rsid w:val="2FD13178"/>
    <w:rsid w:val="2FFFD86C"/>
    <w:rsid w:val="30466CDD"/>
    <w:rsid w:val="305701CE"/>
    <w:rsid w:val="307F31FC"/>
    <w:rsid w:val="30823A8E"/>
    <w:rsid w:val="30D875C9"/>
    <w:rsid w:val="31483496"/>
    <w:rsid w:val="327E5C17"/>
    <w:rsid w:val="330108CA"/>
    <w:rsid w:val="34127E88"/>
    <w:rsid w:val="34327A1E"/>
    <w:rsid w:val="344105F8"/>
    <w:rsid w:val="34DB0348"/>
    <w:rsid w:val="35656C57"/>
    <w:rsid w:val="36F5608B"/>
    <w:rsid w:val="378123A9"/>
    <w:rsid w:val="379FC396"/>
    <w:rsid w:val="37E66B6C"/>
    <w:rsid w:val="385201EA"/>
    <w:rsid w:val="386A2D6E"/>
    <w:rsid w:val="38D46E50"/>
    <w:rsid w:val="38DA5BB4"/>
    <w:rsid w:val="38EFD9DD"/>
    <w:rsid w:val="39952495"/>
    <w:rsid w:val="3A3A76C4"/>
    <w:rsid w:val="3A9833AA"/>
    <w:rsid w:val="3B105209"/>
    <w:rsid w:val="3B794874"/>
    <w:rsid w:val="3B7B3BCF"/>
    <w:rsid w:val="3C5A58BF"/>
    <w:rsid w:val="3D170DEA"/>
    <w:rsid w:val="3D422171"/>
    <w:rsid w:val="3D5E56EE"/>
    <w:rsid w:val="3D7B7BB9"/>
    <w:rsid w:val="3D8B49DF"/>
    <w:rsid w:val="3DC2E179"/>
    <w:rsid w:val="3DE34E3C"/>
    <w:rsid w:val="3E5D3F61"/>
    <w:rsid w:val="3F006C62"/>
    <w:rsid w:val="3F3E117A"/>
    <w:rsid w:val="3F4F3271"/>
    <w:rsid w:val="3F62288F"/>
    <w:rsid w:val="3FC01EDD"/>
    <w:rsid w:val="3FDFF474"/>
    <w:rsid w:val="40730CFD"/>
    <w:rsid w:val="424512BE"/>
    <w:rsid w:val="424961B9"/>
    <w:rsid w:val="42FF0359"/>
    <w:rsid w:val="440134DA"/>
    <w:rsid w:val="4449590D"/>
    <w:rsid w:val="444C428D"/>
    <w:rsid w:val="44E126B9"/>
    <w:rsid w:val="4584438A"/>
    <w:rsid w:val="4637424C"/>
    <w:rsid w:val="46426935"/>
    <w:rsid w:val="464661D2"/>
    <w:rsid w:val="46710CC1"/>
    <w:rsid w:val="46FAE850"/>
    <w:rsid w:val="474927B8"/>
    <w:rsid w:val="482D1666"/>
    <w:rsid w:val="48854979"/>
    <w:rsid w:val="48D96AB5"/>
    <w:rsid w:val="49007AF4"/>
    <w:rsid w:val="49823F83"/>
    <w:rsid w:val="499E503D"/>
    <w:rsid w:val="4AFA0963"/>
    <w:rsid w:val="4CD3324F"/>
    <w:rsid w:val="4D336545"/>
    <w:rsid w:val="4D9B249D"/>
    <w:rsid w:val="4DF7A50E"/>
    <w:rsid w:val="4E810729"/>
    <w:rsid w:val="4EF55341"/>
    <w:rsid w:val="4F8634CC"/>
    <w:rsid w:val="4FD33884"/>
    <w:rsid w:val="4FEB4B28"/>
    <w:rsid w:val="503E38CF"/>
    <w:rsid w:val="50B43398"/>
    <w:rsid w:val="50B909AE"/>
    <w:rsid w:val="515D7DFC"/>
    <w:rsid w:val="51F422B7"/>
    <w:rsid w:val="522A25A9"/>
    <w:rsid w:val="522B0225"/>
    <w:rsid w:val="52F34726"/>
    <w:rsid w:val="534948EF"/>
    <w:rsid w:val="53672AC4"/>
    <w:rsid w:val="538B017C"/>
    <w:rsid w:val="53A66A65"/>
    <w:rsid w:val="53B32CE2"/>
    <w:rsid w:val="54AA125C"/>
    <w:rsid w:val="54B87AA1"/>
    <w:rsid w:val="54BF0B25"/>
    <w:rsid w:val="54C12C11"/>
    <w:rsid w:val="555148AC"/>
    <w:rsid w:val="55607796"/>
    <w:rsid w:val="55AF1596"/>
    <w:rsid w:val="55C44E63"/>
    <w:rsid w:val="55FF0B34"/>
    <w:rsid w:val="57DD8026"/>
    <w:rsid w:val="585B0E51"/>
    <w:rsid w:val="5886386C"/>
    <w:rsid w:val="58883859"/>
    <w:rsid w:val="58B36E48"/>
    <w:rsid w:val="5945604A"/>
    <w:rsid w:val="59901BBF"/>
    <w:rsid w:val="59BE6212"/>
    <w:rsid w:val="59ED140E"/>
    <w:rsid w:val="5A3A490E"/>
    <w:rsid w:val="5A6E187C"/>
    <w:rsid w:val="5A744D07"/>
    <w:rsid w:val="5A7D1322"/>
    <w:rsid w:val="5AAB70C5"/>
    <w:rsid w:val="5AE86A15"/>
    <w:rsid w:val="5AEFE228"/>
    <w:rsid w:val="5BE76220"/>
    <w:rsid w:val="5BF066A5"/>
    <w:rsid w:val="5CB7E740"/>
    <w:rsid w:val="5CF72095"/>
    <w:rsid w:val="5D6F0D72"/>
    <w:rsid w:val="5DD21301"/>
    <w:rsid w:val="5E1611EE"/>
    <w:rsid w:val="5E6F1F0D"/>
    <w:rsid w:val="5ED00740"/>
    <w:rsid w:val="5F4D3981"/>
    <w:rsid w:val="6065645C"/>
    <w:rsid w:val="60AD3039"/>
    <w:rsid w:val="60C42E5F"/>
    <w:rsid w:val="61000BA7"/>
    <w:rsid w:val="622C2C5A"/>
    <w:rsid w:val="62562A5E"/>
    <w:rsid w:val="629A6EF3"/>
    <w:rsid w:val="63DD4346"/>
    <w:rsid w:val="64AA1608"/>
    <w:rsid w:val="64E06649"/>
    <w:rsid w:val="654F1051"/>
    <w:rsid w:val="65B574C0"/>
    <w:rsid w:val="67334DBA"/>
    <w:rsid w:val="677347DE"/>
    <w:rsid w:val="67AB43EB"/>
    <w:rsid w:val="68D211CD"/>
    <w:rsid w:val="691D7C84"/>
    <w:rsid w:val="69291FC0"/>
    <w:rsid w:val="69462402"/>
    <w:rsid w:val="69CF9229"/>
    <w:rsid w:val="6A1F58CE"/>
    <w:rsid w:val="6A5F4E18"/>
    <w:rsid w:val="6B6E109C"/>
    <w:rsid w:val="6C3E8684"/>
    <w:rsid w:val="6C50600C"/>
    <w:rsid w:val="6C77379F"/>
    <w:rsid w:val="6D0971AD"/>
    <w:rsid w:val="6D4867D9"/>
    <w:rsid w:val="6D7E0B5E"/>
    <w:rsid w:val="6DFD205B"/>
    <w:rsid w:val="6EA705FB"/>
    <w:rsid w:val="6F973D20"/>
    <w:rsid w:val="6FCF56A0"/>
    <w:rsid w:val="6FEBAFE6"/>
    <w:rsid w:val="6FEC3A7D"/>
    <w:rsid w:val="6FF51466"/>
    <w:rsid w:val="70682C9E"/>
    <w:rsid w:val="70A1528F"/>
    <w:rsid w:val="70FFEF72"/>
    <w:rsid w:val="713110D9"/>
    <w:rsid w:val="725148C4"/>
    <w:rsid w:val="72A05935"/>
    <w:rsid w:val="73964118"/>
    <w:rsid w:val="750878F5"/>
    <w:rsid w:val="75137DDD"/>
    <w:rsid w:val="756449A5"/>
    <w:rsid w:val="75E95BCF"/>
    <w:rsid w:val="76CB9A0F"/>
    <w:rsid w:val="775C2592"/>
    <w:rsid w:val="77B39846"/>
    <w:rsid w:val="784527F6"/>
    <w:rsid w:val="78924CE3"/>
    <w:rsid w:val="79276069"/>
    <w:rsid w:val="79FA31BB"/>
    <w:rsid w:val="7A046A1E"/>
    <w:rsid w:val="7A3E3B4E"/>
    <w:rsid w:val="7B6735C3"/>
    <w:rsid w:val="7B9D2695"/>
    <w:rsid w:val="7BE80FE7"/>
    <w:rsid w:val="7C57720E"/>
    <w:rsid w:val="7C7E629A"/>
    <w:rsid w:val="7D74D8D9"/>
    <w:rsid w:val="7DBFA258"/>
    <w:rsid w:val="7DDFD57E"/>
    <w:rsid w:val="7DE67ABA"/>
    <w:rsid w:val="7E590254"/>
    <w:rsid w:val="7EA565B6"/>
    <w:rsid w:val="7ECD54D8"/>
    <w:rsid w:val="7EDDC41E"/>
    <w:rsid w:val="7EE2286E"/>
    <w:rsid w:val="7F77F701"/>
    <w:rsid w:val="7F823B4F"/>
    <w:rsid w:val="7FB50B04"/>
    <w:rsid w:val="7FE7B06A"/>
    <w:rsid w:val="7FF16483"/>
    <w:rsid w:val="7FFF421A"/>
    <w:rsid w:val="CFE2D49C"/>
    <w:rsid w:val="DF4DD1E8"/>
    <w:rsid w:val="DFEDD3A8"/>
    <w:rsid w:val="DFFF6979"/>
    <w:rsid w:val="E6BF3357"/>
    <w:rsid w:val="E77FB63F"/>
    <w:rsid w:val="E9FFA699"/>
    <w:rsid w:val="EDFF63E2"/>
    <w:rsid w:val="EF36B3E0"/>
    <w:rsid w:val="EFCE3A2C"/>
    <w:rsid w:val="F4F79D69"/>
    <w:rsid w:val="F63ACC2C"/>
    <w:rsid w:val="F7BA92C2"/>
    <w:rsid w:val="F7F240BF"/>
    <w:rsid w:val="F97FE475"/>
    <w:rsid w:val="FB57FFDC"/>
    <w:rsid w:val="FD6D3146"/>
    <w:rsid w:val="FF7D6DCB"/>
    <w:rsid w:val="FF9FE0B7"/>
    <w:rsid w:val="FFC4433D"/>
    <w:rsid w:val="FFDE39AE"/>
    <w:rsid w:val="FFFA0495"/>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9" w:semiHidden="0" w:name="heading 9"/>
    <w:lsdException w:uiPriority="0" w:name="index 1"/>
    <w:lsdException w:uiPriority="0" w:name="index 2"/>
    <w:lsdException w:uiPriority="0" w:name="index 3"/>
    <w:lsdException w:uiPriority="0" w:name="index 4"/>
    <w:lsdException w:uiPriority="0" w:name="index 5"/>
    <w:lsdException w:uiPriority="0" w:name="index 6"/>
    <w:lsdException w:qFormat="1" w:uiPriority="0" w:semiHidden="0" w:name="index 7"/>
    <w:lsdException w:uiPriority="0" w:name="index 8"/>
    <w:lsdException w:uiPriority="0" w:name="index 9"/>
    <w:lsdException w:qFormat="1" w:unhideWhenUsed="0" w:uiPriority="39" w:semiHidden="0" w:name="toc 1"/>
    <w:lsdException w:qFormat="1" w:unhideWhenUsed="0"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99" w:semiHidden="0" w:name="Normal Indent"/>
    <w:lsdException w:qFormat="1" w:unhideWhenUsed="0" w:uiPriority="0" w:name="footnote text"/>
    <w:lsdException w:qFormat="1" w:uiPriority="0" w:semiHidden="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uiPriority="0" w:name="table of figures"/>
    <w:lsdException w:uiPriority="0" w:name="envelope address"/>
    <w:lsdException w:uiPriority="0" w:name="envelope return"/>
    <w:lsdException w:qFormat="1" w:unhideWhenUsed="0" w:uiPriority="0" w:name="footnote reference"/>
    <w:lsdException w:qFormat="1" w:uiPriority="0" w:semiHidden="0" w:name="annotation reference"/>
    <w:lsdException w:uiPriority="0" w:name="line number"/>
    <w:lsdException w:qFormat="1" w:unhideWhenUsed="0" w:uiPriority="0" w:semiHidden="0" w:name="page number"/>
    <w:lsdException w:qFormat="1" w:unhideWhenUsed="0" w:uiPriority="99" w:name="endnote reference"/>
    <w:lsdException w:qFormat="1" w:unhideWhenUsed="0" w:uiPriority="0" w:name="endnote text"/>
    <w:lsdException w:uiPriority="0" w:name="table of authorities"/>
    <w:lsdException w:uiPriority="0" w:name="macro"/>
    <w:lsdException w:uiPriority="0" w:name="toa heading"/>
    <w:lsdException w:uiPriority="0" w:name="List"/>
    <w:lsdException w:uiPriority="0" w:name="List Bullet"/>
    <w:lsdException w:unhideWhenUsed="0" w:uiPriority="0" w:semiHidden="0" w:name="List Number"/>
    <w:lsdException w:uiPriority="0" w:name="List 2"/>
    <w:lsdException w:uiPriority="0" w:name="List 3"/>
    <w:lsdException w:unhideWhenUsed="0" w:uiPriority="0" w:semiHidden="0" w:name="List 4"/>
    <w:lsdException w:unhideWhenUsed="0" w:uiPriority="0" w:semiHidden="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unhideWhenUsed="0" w:uiPriority="0" w:semiHidden="0" w:name="Title"/>
    <w:lsdException w:uiPriority="0" w:name="Closing"/>
    <w:lsdException w:uiPriority="0" w:name="Signature"/>
    <w:lsdException w:qFormat="1" w:uiPriority="1" w:name="Default Paragraph Font"/>
    <w:lsdException w:qFormat="1" w:uiPriority="0" w:name="Body Text"/>
    <w:lsdException w:qFormat="1" w:unhideWhenUsed="0" w:uiPriority="0" w:semiHidden="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unhideWhenUsed="0" w:uiPriority="11" w:semiHidden="0" w:name="Subtitle"/>
    <w:lsdException w:unhideWhenUsed="0" w:uiPriority="0" w:semiHidden="0" w:name="Salutation"/>
    <w:lsdException w:qFormat="1" w:uiPriority="99" w:semiHidden="0" w:name="Date"/>
    <w:lsdException w:unhideWhenUsed="0" w:uiPriority="0" w:semiHidden="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qFormat="1" w:unhideWhenUsed="0" w:uiPriority="99"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qFormat="1" w:uiPriority="99" w:semiHidden="0" w:name="HTML Preformatted"/>
    <w:lsdException w:uiPriority="0" w:name="HTML Sample"/>
    <w:lsdException w:uiPriority="0" w:name="HTML Typewriter"/>
    <w:lsdException w:uiPriority="0" w:name="HTML Variable"/>
    <w:lsdException w:qFormat="1" w:uiPriority="99" w:name="Normal Table"/>
    <w:lsdException w:qFormat="1" w:uiPriority="99" w:semiHidden="0" w:name="annotation subject"/>
    <w:lsdException w:uiPriority="0" w:name="Table Simple 1"/>
    <w:lsdException w:uiPriority="0" w:name="Table Simple 2"/>
    <w:lsdException w:uiPriority="0" w:name="Table Simple 3"/>
    <w:lsdException w:qFormat="1" w:unhideWhenUsed="0" w:uiPriority="0" w:semiHidden="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99" w:name="Balloon Text"/>
    <w:lsdException w:qFormat="1" w:unhideWhenUsed="0" w:uiPriority="39" w:semiHidden="0" w:name="Table Grid"/>
    <w:lsdException w:qFormat="1"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qFormat="1"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topLinePunct/>
      <w:adjustRightInd w:val="0"/>
      <w:snapToGrid w:val="0"/>
      <w:spacing w:after="50" w:afterLines="50"/>
      <w:ind w:firstLine="200" w:firstLineChars="200"/>
      <w:jc w:val="both"/>
    </w:pPr>
    <w:rPr>
      <w:rFonts w:ascii="Times New Roman" w:hAnsi="Times New Roman" w:eastAsia="宋体" w:cs="Times New Roman"/>
      <w:kern w:val="2"/>
      <w:sz w:val="25"/>
      <w:szCs w:val="25"/>
      <w:lang w:val="zh-CN" w:eastAsia="zh-CN" w:bidi="ar-SA"/>
    </w:rPr>
  </w:style>
  <w:style w:type="paragraph" w:styleId="2">
    <w:name w:val="heading 1"/>
    <w:next w:val="1"/>
    <w:link w:val="50"/>
    <w:autoRedefine/>
    <w:qFormat/>
    <w:uiPriority w:val="0"/>
    <w:pPr>
      <w:numPr>
        <w:ilvl w:val="0"/>
        <w:numId w:val="1"/>
      </w:numPr>
      <w:adjustRightInd w:val="0"/>
      <w:snapToGrid w:val="0"/>
      <w:spacing w:after="332" w:afterLines="100"/>
      <w:jc w:val="center"/>
      <w:outlineLvl w:val="0"/>
    </w:pPr>
    <w:rPr>
      <w:rFonts w:ascii="黑体" w:hAnsi="黑体" w:eastAsia="黑体" w:cs="Times New Roman"/>
      <w:bCs/>
      <w:kern w:val="44"/>
      <w:sz w:val="32"/>
      <w:szCs w:val="28"/>
      <w:lang w:val="en-US" w:eastAsia="zh-CN" w:bidi="ar-SA"/>
    </w:rPr>
  </w:style>
  <w:style w:type="paragraph" w:styleId="3">
    <w:name w:val="heading 2"/>
    <w:basedOn w:val="1"/>
    <w:next w:val="1"/>
    <w:link w:val="51"/>
    <w:autoRedefine/>
    <w:qFormat/>
    <w:uiPriority w:val="0"/>
    <w:pPr>
      <w:keepNext/>
      <w:keepLines/>
      <w:numPr>
        <w:ilvl w:val="1"/>
        <w:numId w:val="1"/>
      </w:numPr>
      <w:wordWrap w:val="0"/>
      <w:spacing w:before="100" w:beforeLines="100"/>
      <w:ind w:firstLineChars="0"/>
      <w:outlineLvl w:val="1"/>
    </w:pPr>
    <w:rPr>
      <w:rFonts w:ascii="黑体" w:hAnsi="黑体" w:eastAsia="黑体" w:cs="黑体"/>
      <w:bCs/>
      <w:sz w:val="28"/>
      <w:szCs w:val="28"/>
      <w:lang w:val="en-US"/>
    </w:rPr>
  </w:style>
  <w:style w:type="paragraph" w:styleId="4">
    <w:name w:val="heading 3"/>
    <w:basedOn w:val="1"/>
    <w:next w:val="1"/>
    <w:link w:val="52"/>
    <w:autoRedefine/>
    <w:qFormat/>
    <w:uiPriority w:val="0"/>
    <w:pPr>
      <w:numPr>
        <w:ilvl w:val="2"/>
        <w:numId w:val="1"/>
      </w:numPr>
      <w:spacing w:before="100" w:beforeLines="100"/>
      <w:ind w:firstLineChars="0"/>
      <w:jc w:val="left"/>
      <w:outlineLvl w:val="2"/>
    </w:pPr>
    <w:rPr>
      <w:rFonts w:ascii="黑体" w:hAnsi="黑体" w:eastAsia="黑体"/>
      <w:bCs/>
      <w:szCs w:val="32"/>
    </w:rPr>
  </w:style>
  <w:style w:type="paragraph" w:styleId="5">
    <w:name w:val="heading 4"/>
    <w:basedOn w:val="6"/>
    <w:next w:val="1"/>
    <w:link w:val="53"/>
    <w:autoRedefine/>
    <w:qFormat/>
    <w:uiPriority w:val="0"/>
    <w:pPr>
      <w:numPr>
        <w:ilvl w:val="0"/>
        <w:numId w:val="2"/>
      </w:numPr>
      <w:spacing w:after="166" w:afterLines="50"/>
      <w:outlineLvl w:val="3"/>
    </w:pPr>
    <w:rPr>
      <w:rFonts w:eastAsia="楷体_GB2312"/>
    </w:rPr>
  </w:style>
  <w:style w:type="paragraph" w:styleId="6">
    <w:name w:val="heading 5"/>
    <w:basedOn w:val="1"/>
    <w:next w:val="1"/>
    <w:link w:val="54"/>
    <w:autoRedefine/>
    <w:qFormat/>
    <w:uiPriority w:val="0"/>
    <w:pPr>
      <w:numPr>
        <w:ilvl w:val="4"/>
        <w:numId w:val="3"/>
      </w:numPr>
      <w:spacing w:after="0" w:afterLines="0"/>
      <w:ind w:left="1008" w:hanging="1008" w:firstLineChars="0"/>
      <w:outlineLvl w:val="4"/>
    </w:pPr>
    <w:rPr>
      <w:rFonts w:eastAsia="黑体"/>
      <w:lang w:val="en-US"/>
    </w:rPr>
  </w:style>
  <w:style w:type="paragraph" w:styleId="7">
    <w:name w:val="heading 6"/>
    <w:basedOn w:val="1"/>
    <w:next w:val="1"/>
    <w:link w:val="55"/>
    <w:autoRedefine/>
    <w:qFormat/>
    <w:uiPriority w:val="0"/>
    <w:pPr>
      <w:numPr>
        <w:ilvl w:val="5"/>
        <w:numId w:val="1"/>
      </w:numPr>
      <w:tabs>
        <w:tab w:val="left" w:pos="5040"/>
      </w:tabs>
      <w:ind w:firstLineChars="0"/>
      <w:jc w:val="left"/>
      <w:outlineLvl w:val="5"/>
    </w:pPr>
    <w:rPr>
      <w:rFonts w:ascii="黑体" w:hAnsi="黑体" w:eastAsia="黑体"/>
      <w:b/>
      <w:bCs/>
      <w:lang w:val="en-US"/>
    </w:rPr>
  </w:style>
  <w:style w:type="paragraph" w:styleId="8">
    <w:name w:val="heading 7"/>
    <w:basedOn w:val="1"/>
    <w:next w:val="1"/>
    <w:link w:val="56"/>
    <w:autoRedefine/>
    <w:qFormat/>
    <w:uiPriority w:val="0"/>
    <w:pPr>
      <w:keepNext/>
      <w:keepLines/>
      <w:numPr>
        <w:ilvl w:val="6"/>
        <w:numId w:val="1"/>
      </w:numPr>
      <w:spacing w:before="120"/>
      <w:ind w:firstLineChars="0"/>
      <w:jc w:val="center"/>
      <w:outlineLvl w:val="6"/>
    </w:pPr>
    <w:rPr>
      <w:rFonts w:eastAsia="黑体"/>
      <w:kern w:val="0"/>
      <w:sz w:val="18"/>
    </w:rPr>
  </w:style>
  <w:style w:type="paragraph" w:styleId="9">
    <w:name w:val="heading 8"/>
    <w:basedOn w:val="1"/>
    <w:next w:val="1"/>
    <w:link w:val="57"/>
    <w:autoRedefine/>
    <w:qFormat/>
    <w:uiPriority w:val="0"/>
    <w:pPr>
      <w:numPr>
        <w:ilvl w:val="7"/>
        <w:numId w:val="1"/>
      </w:numPr>
      <w:jc w:val="center"/>
      <w:outlineLvl w:val="7"/>
    </w:pPr>
    <w:rPr>
      <w:rFonts w:eastAsia="黑体"/>
      <w:sz w:val="18"/>
      <w:szCs w:val="24"/>
    </w:rPr>
  </w:style>
  <w:style w:type="paragraph" w:styleId="10">
    <w:name w:val="heading 9"/>
    <w:basedOn w:val="11"/>
    <w:next w:val="1"/>
    <w:link w:val="58"/>
    <w:autoRedefine/>
    <w:qFormat/>
    <w:uiPriority w:val="9"/>
    <w:pPr>
      <w:keepNext/>
      <w:keepLines/>
      <w:numPr>
        <w:ilvl w:val="8"/>
        <w:numId w:val="1"/>
      </w:numPr>
      <w:ind w:leftChars="0" w:firstLineChars="0"/>
      <w:jc w:val="left"/>
      <w:outlineLvl w:val="8"/>
    </w:pPr>
    <w:rPr>
      <w:rFonts w:ascii="Arial" w:hAnsi="Arial"/>
      <w:szCs w:val="21"/>
    </w:rPr>
  </w:style>
  <w:style w:type="character" w:default="1" w:styleId="41">
    <w:name w:val="Default Paragraph Font"/>
    <w:semiHidden/>
    <w:unhideWhenUsed/>
    <w:qFormat/>
    <w:uiPriority w:val="1"/>
  </w:style>
  <w:style w:type="table" w:default="1" w:styleId="36">
    <w:name w:val="Normal Table"/>
    <w:autoRedefine/>
    <w:semiHidden/>
    <w:unhideWhenUsed/>
    <w:qFormat/>
    <w:uiPriority w:val="99"/>
    <w:tblPr>
      <w:tblCellMar>
        <w:top w:w="0" w:type="dxa"/>
        <w:left w:w="108" w:type="dxa"/>
        <w:bottom w:w="0" w:type="dxa"/>
        <w:right w:w="108" w:type="dxa"/>
      </w:tblCellMar>
    </w:tblPr>
  </w:style>
  <w:style w:type="paragraph" w:styleId="11">
    <w:name w:val="index 7"/>
    <w:basedOn w:val="1"/>
    <w:next w:val="1"/>
    <w:autoRedefine/>
    <w:unhideWhenUsed/>
    <w:qFormat/>
    <w:uiPriority w:val="0"/>
    <w:pPr>
      <w:ind w:left="1200" w:leftChars="1200" w:firstLine="0"/>
    </w:pPr>
  </w:style>
  <w:style w:type="paragraph" w:styleId="12">
    <w:name w:val="toc 7"/>
    <w:basedOn w:val="1"/>
    <w:next w:val="1"/>
    <w:autoRedefine/>
    <w:unhideWhenUsed/>
    <w:qFormat/>
    <w:uiPriority w:val="39"/>
    <w:pPr>
      <w:ind w:left="1320"/>
      <w:jc w:val="left"/>
    </w:pPr>
    <w:rPr>
      <w:rFonts w:asciiTheme="minorHAnsi" w:hAnsiTheme="minorHAnsi"/>
      <w:sz w:val="20"/>
      <w:szCs w:val="20"/>
    </w:rPr>
  </w:style>
  <w:style w:type="paragraph" w:styleId="13">
    <w:name w:val="Normal Indent"/>
    <w:basedOn w:val="1"/>
    <w:qFormat/>
    <w:uiPriority w:val="99"/>
    <w:pPr>
      <w:adjustRightInd/>
      <w:snapToGrid/>
      <w:ind w:firstLine="420"/>
    </w:pPr>
    <w:rPr>
      <w:rFonts w:ascii="宋体" w:hAnsi="宋体"/>
      <w:sz w:val="24"/>
      <w:szCs w:val="20"/>
    </w:rPr>
  </w:style>
  <w:style w:type="paragraph" w:styleId="14">
    <w:name w:val="caption"/>
    <w:basedOn w:val="1"/>
    <w:next w:val="1"/>
    <w:autoRedefine/>
    <w:unhideWhenUsed/>
    <w:qFormat/>
    <w:uiPriority w:val="0"/>
    <w:rPr>
      <w:rFonts w:eastAsia="黑体" w:asciiTheme="majorHAnsi" w:hAnsiTheme="majorHAnsi" w:cstheme="majorBidi"/>
      <w:sz w:val="20"/>
      <w:szCs w:val="20"/>
    </w:rPr>
  </w:style>
  <w:style w:type="paragraph" w:styleId="15">
    <w:name w:val="Document Map"/>
    <w:basedOn w:val="1"/>
    <w:link w:val="59"/>
    <w:autoRedefine/>
    <w:semiHidden/>
    <w:qFormat/>
    <w:uiPriority w:val="99"/>
    <w:pPr>
      <w:shd w:val="clear" w:color="auto" w:fill="000080"/>
    </w:pPr>
  </w:style>
  <w:style w:type="paragraph" w:styleId="16">
    <w:name w:val="annotation text"/>
    <w:basedOn w:val="1"/>
    <w:link w:val="60"/>
    <w:autoRedefine/>
    <w:unhideWhenUsed/>
    <w:qFormat/>
    <w:uiPriority w:val="0"/>
    <w:pPr>
      <w:jc w:val="left"/>
    </w:pPr>
  </w:style>
  <w:style w:type="paragraph" w:styleId="17">
    <w:name w:val="Body Text"/>
    <w:basedOn w:val="1"/>
    <w:link w:val="265"/>
    <w:semiHidden/>
    <w:unhideWhenUsed/>
    <w:qFormat/>
    <w:uiPriority w:val="0"/>
    <w:pPr>
      <w:spacing w:after="120"/>
    </w:pPr>
  </w:style>
  <w:style w:type="paragraph" w:styleId="18">
    <w:name w:val="Body Text Indent"/>
    <w:basedOn w:val="1"/>
    <w:link w:val="61"/>
    <w:autoRedefine/>
    <w:qFormat/>
    <w:uiPriority w:val="0"/>
    <w:pPr>
      <w:widowControl/>
      <w:spacing w:after="120"/>
      <w:ind w:left="420" w:leftChars="200" w:firstLine="0" w:firstLineChars="0"/>
      <w:jc w:val="left"/>
    </w:pPr>
    <w:rPr>
      <w:sz w:val="21"/>
      <w:lang w:val="en-US"/>
    </w:rPr>
  </w:style>
  <w:style w:type="paragraph" w:styleId="19">
    <w:name w:val="toc 5"/>
    <w:basedOn w:val="1"/>
    <w:next w:val="1"/>
    <w:autoRedefine/>
    <w:unhideWhenUsed/>
    <w:qFormat/>
    <w:uiPriority w:val="39"/>
    <w:pPr>
      <w:ind w:left="880"/>
      <w:jc w:val="left"/>
    </w:pPr>
    <w:rPr>
      <w:rFonts w:asciiTheme="minorHAnsi" w:hAnsiTheme="minorHAnsi"/>
      <w:sz w:val="20"/>
      <w:szCs w:val="20"/>
    </w:rPr>
  </w:style>
  <w:style w:type="paragraph" w:styleId="20">
    <w:name w:val="toc 3"/>
    <w:basedOn w:val="1"/>
    <w:next w:val="1"/>
    <w:autoRedefine/>
    <w:unhideWhenUsed/>
    <w:qFormat/>
    <w:uiPriority w:val="39"/>
    <w:pPr>
      <w:ind w:left="440"/>
      <w:jc w:val="left"/>
    </w:pPr>
    <w:rPr>
      <w:rFonts w:asciiTheme="minorHAnsi" w:hAnsiTheme="minorHAnsi"/>
      <w:szCs w:val="22"/>
    </w:rPr>
  </w:style>
  <w:style w:type="paragraph" w:styleId="21">
    <w:name w:val="toc 8"/>
    <w:basedOn w:val="1"/>
    <w:next w:val="1"/>
    <w:autoRedefine/>
    <w:unhideWhenUsed/>
    <w:qFormat/>
    <w:uiPriority w:val="39"/>
    <w:pPr>
      <w:ind w:left="1540"/>
      <w:jc w:val="left"/>
    </w:pPr>
    <w:rPr>
      <w:rFonts w:asciiTheme="minorHAnsi" w:hAnsiTheme="minorHAnsi"/>
      <w:sz w:val="20"/>
      <w:szCs w:val="20"/>
    </w:rPr>
  </w:style>
  <w:style w:type="paragraph" w:styleId="22">
    <w:name w:val="Date"/>
    <w:basedOn w:val="1"/>
    <w:next w:val="1"/>
    <w:link w:val="62"/>
    <w:autoRedefine/>
    <w:unhideWhenUsed/>
    <w:qFormat/>
    <w:uiPriority w:val="99"/>
    <w:pPr>
      <w:spacing w:line="360" w:lineRule="auto"/>
      <w:ind w:left="100" w:leftChars="2500"/>
    </w:pPr>
    <w:rPr>
      <w:szCs w:val="20"/>
    </w:rPr>
  </w:style>
  <w:style w:type="paragraph" w:styleId="23">
    <w:name w:val="endnote text"/>
    <w:basedOn w:val="1"/>
    <w:link w:val="63"/>
    <w:autoRedefine/>
    <w:semiHidden/>
    <w:qFormat/>
    <w:uiPriority w:val="0"/>
    <w:pPr>
      <w:jc w:val="left"/>
    </w:pPr>
  </w:style>
  <w:style w:type="paragraph" w:styleId="24">
    <w:name w:val="Balloon Text"/>
    <w:basedOn w:val="1"/>
    <w:link w:val="64"/>
    <w:autoRedefine/>
    <w:semiHidden/>
    <w:qFormat/>
    <w:uiPriority w:val="99"/>
    <w:rPr>
      <w:sz w:val="18"/>
      <w:szCs w:val="18"/>
    </w:rPr>
  </w:style>
  <w:style w:type="paragraph" w:styleId="25">
    <w:name w:val="footer"/>
    <w:basedOn w:val="1"/>
    <w:link w:val="65"/>
    <w:autoRedefine/>
    <w:qFormat/>
    <w:uiPriority w:val="99"/>
    <w:pPr>
      <w:tabs>
        <w:tab w:val="center" w:pos="4153"/>
        <w:tab w:val="right" w:pos="8306"/>
      </w:tabs>
      <w:spacing w:line="240" w:lineRule="atLeast"/>
      <w:jc w:val="left"/>
    </w:pPr>
    <w:rPr>
      <w:sz w:val="18"/>
      <w:szCs w:val="18"/>
    </w:rPr>
  </w:style>
  <w:style w:type="paragraph" w:styleId="26">
    <w:name w:val="header"/>
    <w:basedOn w:val="1"/>
    <w:link w:val="66"/>
    <w:autoRedefine/>
    <w:qFormat/>
    <w:uiPriority w:val="0"/>
    <w:pPr>
      <w:pBdr>
        <w:bottom w:val="single" w:color="auto" w:sz="6" w:space="1"/>
      </w:pBdr>
      <w:tabs>
        <w:tab w:val="center" w:pos="4153"/>
        <w:tab w:val="right" w:pos="8306"/>
      </w:tabs>
      <w:spacing w:after="120" w:line="240" w:lineRule="atLeast"/>
      <w:ind w:firstLine="0" w:firstLineChars="0"/>
      <w:jc w:val="center"/>
    </w:pPr>
    <w:rPr>
      <w:b/>
      <w:color w:val="376092" w:themeColor="accent1" w:themeShade="BF"/>
      <w:szCs w:val="22"/>
    </w:rPr>
  </w:style>
  <w:style w:type="paragraph" w:styleId="27">
    <w:name w:val="toc 1"/>
    <w:basedOn w:val="1"/>
    <w:next w:val="1"/>
    <w:autoRedefine/>
    <w:qFormat/>
    <w:uiPriority w:val="39"/>
    <w:pPr>
      <w:tabs>
        <w:tab w:val="right" w:leader="dot" w:pos="8303"/>
      </w:tabs>
      <w:ind w:firstLine="420"/>
      <w:jc w:val="left"/>
    </w:pPr>
    <w:rPr>
      <w:rFonts w:eastAsia="黑体" w:asciiTheme="minorHAnsi" w:hAnsiTheme="minorHAnsi"/>
      <w:bCs/>
    </w:rPr>
  </w:style>
  <w:style w:type="paragraph" w:styleId="28">
    <w:name w:val="toc 4"/>
    <w:basedOn w:val="1"/>
    <w:next w:val="1"/>
    <w:link w:val="67"/>
    <w:autoRedefine/>
    <w:unhideWhenUsed/>
    <w:qFormat/>
    <w:uiPriority w:val="39"/>
    <w:pPr>
      <w:ind w:left="660"/>
      <w:jc w:val="left"/>
    </w:pPr>
    <w:rPr>
      <w:rFonts w:asciiTheme="minorHAnsi" w:hAnsiTheme="minorHAnsi"/>
      <w:sz w:val="20"/>
      <w:szCs w:val="20"/>
    </w:rPr>
  </w:style>
  <w:style w:type="paragraph" w:styleId="29">
    <w:name w:val="footnote text"/>
    <w:basedOn w:val="1"/>
    <w:link w:val="68"/>
    <w:autoRedefine/>
    <w:semiHidden/>
    <w:qFormat/>
    <w:uiPriority w:val="0"/>
    <w:pPr>
      <w:keepLines/>
      <w:jc w:val="left"/>
    </w:pPr>
    <w:rPr>
      <w:sz w:val="18"/>
      <w:szCs w:val="18"/>
    </w:rPr>
  </w:style>
  <w:style w:type="paragraph" w:styleId="30">
    <w:name w:val="toc 6"/>
    <w:basedOn w:val="1"/>
    <w:next w:val="1"/>
    <w:autoRedefine/>
    <w:unhideWhenUsed/>
    <w:qFormat/>
    <w:uiPriority w:val="39"/>
    <w:pPr>
      <w:ind w:left="1100"/>
      <w:jc w:val="left"/>
    </w:pPr>
    <w:rPr>
      <w:rFonts w:asciiTheme="minorHAnsi" w:hAnsiTheme="minorHAnsi"/>
      <w:sz w:val="20"/>
      <w:szCs w:val="20"/>
    </w:rPr>
  </w:style>
  <w:style w:type="paragraph" w:styleId="31">
    <w:name w:val="toc 2"/>
    <w:basedOn w:val="1"/>
    <w:next w:val="1"/>
    <w:autoRedefine/>
    <w:qFormat/>
    <w:uiPriority w:val="39"/>
    <w:pPr>
      <w:ind w:left="220"/>
      <w:jc w:val="left"/>
    </w:pPr>
    <w:rPr>
      <w:rFonts w:eastAsia="楷体_GB2312" w:asciiTheme="minorHAnsi" w:hAnsiTheme="minorHAnsi"/>
      <w:bCs/>
      <w:sz w:val="24"/>
      <w:szCs w:val="22"/>
    </w:rPr>
  </w:style>
  <w:style w:type="paragraph" w:styleId="32">
    <w:name w:val="toc 9"/>
    <w:basedOn w:val="1"/>
    <w:next w:val="1"/>
    <w:autoRedefine/>
    <w:unhideWhenUsed/>
    <w:qFormat/>
    <w:uiPriority w:val="39"/>
    <w:pPr>
      <w:ind w:left="1760"/>
      <w:jc w:val="left"/>
    </w:pPr>
    <w:rPr>
      <w:rFonts w:asciiTheme="minorHAnsi" w:hAnsiTheme="minorHAnsi"/>
      <w:sz w:val="20"/>
      <w:szCs w:val="20"/>
    </w:rPr>
  </w:style>
  <w:style w:type="paragraph" w:styleId="33">
    <w:name w:val="HTML Preformatted"/>
    <w:basedOn w:val="1"/>
    <w:link w:val="69"/>
    <w:autoRedefine/>
    <w:unhideWhenUsed/>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firstLineChars="0"/>
      <w:jc w:val="left"/>
    </w:pPr>
    <w:rPr>
      <w:rFonts w:cs="宋体"/>
      <w:kern w:val="0"/>
    </w:rPr>
  </w:style>
  <w:style w:type="paragraph" w:styleId="34">
    <w:name w:val="Normal (Web)"/>
    <w:basedOn w:val="1"/>
    <w:autoRedefine/>
    <w:unhideWhenUsed/>
    <w:qFormat/>
    <w:uiPriority w:val="99"/>
    <w:pPr>
      <w:widowControl/>
      <w:spacing w:before="100" w:beforeAutospacing="1" w:after="100" w:afterAutospacing="1"/>
      <w:ind w:firstLine="0" w:firstLineChars="0"/>
      <w:jc w:val="left"/>
    </w:pPr>
    <w:rPr>
      <w:rFonts w:eastAsiaTheme="minorEastAsia"/>
      <w:kern w:val="0"/>
      <w:lang w:val="en-US"/>
    </w:rPr>
  </w:style>
  <w:style w:type="paragraph" w:styleId="35">
    <w:name w:val="annotation subject"/>
    <w:basedOn w:val="16"/>
    <w:next w:val="16"/>
    <w:link w:val="70"/>
    <w:autoRedefine/>
    <w:unhideWhenUsed/>
    <w:qFormat/>
    <w:uiPriority w:val="99"/>
    <w:rPr>
      <w:b/>
      <w:bCs/>
    </w:rPr>
  </w:style>
  <w:style w:type="table" w:styleId="37">
    <w:name w:val="Table Grid"/>
    <w:basedOn w:val="36"/>
    <w:autoRedefine/>
    <w:qFormat/>
    <w:uiPriority w:val="39"/>
    <w:pPr>
      <w:widowControl w:val="0"/>
      <w:jc w:val="center"/>
    </w:p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jc w:val="center"/>
    </w:trPr>
    <w:tcPr>
      <w:vAlign w:val="center"/>
    </w:tcPr>
  </w:style>
  <w:style w:type="table" w:styleId="38">
    <w:name w:val="Table Theme"/>
    <w:basedOn w:val="36"/>
    <w:autoRedefine/>
    <w:qFormat/>
    <w:uiPriority w:val="0"/>
    <w:pPr>
      <w:widowControl w:val="0"/>
      <w:jc w:val="both"/>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39">
    <w:name w:val="Table Classic 1"/>
    <w:basedOn w:val="36"/>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blPr/>
      <w:tcPr>
        <w:tcBorders>
          <w:bottom w:val="single" w:color="000000" w:sz="6" w:space="0"/>
          <w:tl2br w:val="nil"/>
          <w:tr2bl w:val="nil"/>
        </w:tcBorders>
      </w:tcPr>
    </w:tblStylePr>
    <w:tblStylePr w:type="lastRow">
      <w:rPr>
        <w:color w:val="auto"/>
      </w:rPr>
      <w:tblPr/>
      <w:tcPr>
        <w:tcBorders>
          <w:top w:val="single" w:color="000000" w:sz="6" w:space="0"/>
          <w:tl2br w:val="nil"/>
          <w:tr2bl w:val="nil"/>
        </w:tcBorders>
      </w:tcPr>
    </w:tblStylePr>
    <w:tblStylePr w:type="firstCol">
      <w:tblPr/>
      <w:tcPr>
        <w:tcBorders>
          <w:right w:val="single" w:color="000000" w:sz="6" w:space="0"/>
          <w:tl2br w:val="nil"/>
          <w:tr2bl w:val="nil"/>
        </w:tcBorders>
      </w:tcPr>
    </w:tblStylePr>
    <w:tblStylePr w:type="neCell">
      <w:rPr>
        <w:b/>
        <w:bCs/>
        <w:i w:val="0"/>
        <w:iCs w:val="0"/>
      </w:rPr>
      <w:tblPr/>
      <w:tcPr>
        <w:tcBorders>
          <w:tl2br w:val="nil"/>
          <w:tr2bl w:val="nil"/>
        </w:tcBorders>
      </w:tcPr>
    </w:tblStylePr>
    <w:tblStylePr w:type="swCell">
      <w:rPr>
        <w:b/>
        <w:bCs/>
      </w:rPr>
      <w:tblPr/>
      <w:tcPr>
        <w:tcBorders>
          <w:tl2br w:val="nil"/>
          <w:tr2bl w:val="nil"/>
        </w:tcBorders>
      </w:tcPr>
    </w:tblStylePr>
  </w:style>
  <w:style w:type="table" w:styleId="40">
    <w:name w:val="Light Shading Accent 1"/>
    <w:basedOn w:val="36"/>
    <w:autoRedefine/>
    <w:qFormat/>
    <w:uiPriority w:val="60"/>
    <w:rPr>
      <w:color w:val="376092" w:themeColor="accent1" w:themeShade="BF"/>
    </w:rPr>
    <w:tblPr>
      <w:tblBorders>
        <w:top w:val="single" w:color="4F81BD" w:themeColor="accent1" w:sz="8" w:space="0"/>
        <w:bottom w:val="single" w:color="4F81BD" w:themeColor="accent1" w:sz="8" w:space="0"/>
      </w:tblBorders>
    </w:tblPr>
    <w:tblStylePr w:type="firstRow">
      <w:pPr>
        <w:spacing w:before="0" w:after="0" w:line="240" w:lineRule="auto"/>
      </w:pPr>
      <w:rPr>
        <w:b/>
        <w:bCs/>
      </w:rPr>
      <w:tblPr/>
      <w:tcPr>
        <w:tcBorders>
          <w:top w:val="single" w:color="4F81BD" w:themeColor="accent1" w:sz="8" w:space="0"/>
          <w:left w:val="nil"/>
          <w:bottom w:val="single" w:color="4F81BD" w:themeColor="accent1" w:sz="8" w:space="0"/>
          <w:right w:val="nil"/>
          <w:insideH w:val="nil"/>
          <w:insideV w:val="nil"/>
        </w:tcBorders>
      </w:tcPr>
    </w:tblStylePr>
    <w:tblStylePr w:type="lastRow">
      <w:pPr>
        <w:spacing w:before="0" w:after="0" w:line="240" w:lineRule="auto"/>
      </w:pPr>
      <w:rPr>
        <w:b/>
        <w:bCs/>
      </w:rPr>
      <w:tblPr/>
      <w:tcPr>
        <w:tcBorders>
          <w:top w:val="single" w:color="4F81BD" w:themeColor="accent1" w:sz="8" w:space="0"/>
          <w:left w:val="nil"/>
          <w:bottom w:val="single" w:color="4F81BD" w:themeColor="accen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42">
    <w:name w:val="Strong"/>
    <w:basedOn w:val="41"/>
    <w:autoRedefine/>
    <w:qFormat/>
    <w:uiPriority w:val="22"/>
    <w:rPr>
      <w:b/>
      <w:bCs/>
    </w:rPr>
  </w:style>
  <w:style w:type="character" w:styleId="43">
    <w:name w:val="endnote reference"/>
    <w:autoRedefine/>
    <w:semiHidden/>
    <w:qFormat/>
    <w:uiPriority w:val="99"/>
    <w:rPr>
      <w:vertAlign w:val="superscript"/>
    </w:rPr>
  </w:style>
  <w:style w:type="character" w:styleId="44">
    <w:name w:val="page number"/>
    <w:basedOn w:val="41"/>
    <w:autoRedefine/>
    <w:qFormat/>
    <w:uiPriority w:val="0"/>
    <w:rPr>
      <w:rFonts w:eastAsia="宋体"/>
      <w:sz w:val="21"/>
    </w:rPr>
  </w:style>
  <w:style w:type="character" w:styleId="45">
    <w:name w:val="FollowedHyperlink"/>
    <w:basedOn w:val="41"/>
    <w:autoRedefine/>
    <w:unhideWhenUsed/>
    <w:qFormat/>
    <w:uiPriority w:val="99"/>
    <w:rPr>
      <w:color w:val="800080" w:themeColor="followedHyperlink"/>
      <w:u w:val="single"/>
      <w14:textFill>
        <w14:solidFill>
          <w14:schemeClr w14:val="folHlink"/>
        </w14:solidFill>
      </w14:textFill>
    </w:rPr>
  </w:style>
  <w:style w:type="character" w:styleId="46">
    <w:name w:val="Emphasis"/>
    <w:basedOn w:val="41"/>
    <w:autoRedefine/>
    <w:qFormat/>
    <w:uiPriority w:val="20"/>
    <w:rPr>
      <w:i/>
      <w:iCs/>
    </w:rPr>
  </w:style>
  <w:style w:type="character" w:styleId="47">
    <w:name w:val="Hyperlink"/>
    <w:basedOn w:val="41"/>
    <w:autoRedefine/>
    <w:unhideWhenUsed/>
    <w:qFormat/>
    <w:uiPriority w:val="99"/>
    <w:rPr>
      <w:color w:val="0000FF" w:themeColor="hyperlink"/>
      <w:u w:val="single"/>
      <w14:textFill>
        <w14:solidFill>
          <w14:schemeClr w14:val="hlink"/>
        </w14:solidFill>
      </w14:textFill>
    </w:rPr>
  </w:style>
  <w:style w:type="character" w:styleId="48">
    <w:name w:val="annotation reference"/>
    <w:basedOn w:val="41"/>
    <w:autoRedefine/>
    <w:unhideWhenUsed/>
    <w:qFormat/>
    <w:uiPriority w:val="0"/>
    <w:rPr>
      <w:sz w:val="21"/>
      <w:szCs w:val="21"/>
    </w:rPr>
  </w:style>
  <w:style w:type="character" w:styleId="49">
    <w:name w:val="footnote reference"/>
    <w:autoRedefine/>
    <w:semiHidden/>
    <w:qFormat/>
    <w:uiPriority w:val="0"/>
    <w:rPr>
      <w:vertAlign w:val="superscript"/>
    </w:rPr>
  </w:style>
  <w:style w:type="character" w:customStyle="1" w:styleId="50">
    <w:name w:val="标题 1 字符"/>
    <w:link w:val="2"/>
    <w:autoRedefine/>
    <w:qFormat/>
    <w:uiPriority w:val="0"/>
    <w:rPr>
      <w:rFonts w:ascii="黑体" w:hAnsi="黑体" w:eastAsia="黑体"/>
      <w:bCs/>
      <w:kern w:val="44"/>
      <w:sz w:val="32"/>
      <w:szCs w:val="28"/>
    </w:rPr>
  </w:style>
  <w:style w:type="character" w:customStyle="1" w:styleId="51">
    <w:name w:val="标题 2 字符"/>
    <w:link w:val="3"/>
    <w:autoRedefine/>
    <w:qFormat/>
    <w:uiPriority w:val="0"/>
    <w:rPr>
      <w:rFonts w:ascii="黑体" w:hAnsi="黑体" w:eastAsia="黑体" w:cs="黑体"/>
      <w:bCs/>
      <w:kern w:val="2"/>
      <w:sz w:val="28"/>
      <w:szCs w:val="28"/>
    </w:rPr>
  </w:style>
  <w:style w:type="character" w:customStyle="1" w:styleId="52">
    <w:name w:val="标题 3 字符"/>
    <w:link w:val="4"/>
    <w:autoRedefine/>
    <w:qFormat/>
    <w:uiPriority w:val="0"/>
    <w:rPr>
      <w:rFonts w:ascii="黑体" w:hAnsi="黑体" w:eastAsia="黑体"/>
      <w:bCs/>
      <w:kern w:val="2"/>
      <w:sz w:val="25"/>
      <w:szCs w:val="32"/>
      <w:lang w:val="zh-CN"/>
    </w:rPr>
  </w:style>
  <w:style w:type="character" w:customStyle="1" w:styleId="53">
    <w:name w:val="标题 4 字符"/>
    <w:link w:val="5"/>
    <w:autoRedefine/>
    <w:qFormat/>
    <w:uiPriority w:val="0"/>
    <w:rPr>
      <w:rFonts w:eastAsia="楷体_GB2312"/>
      <w:kern w:val="2"/>
      <w:sz w:val="25"/>
      <w:szCs w:val="25"/>
    </w:rPr>
  </w:style>
  <w:style w:type="character" w:customStyle="1" w:styleId="54">
    <w:name w:val="标题 5 字符"/>
    <w:link w:val="6"/>
    <w:autoRedefine/>
    <w:qFormat/>
    <w:uiPriority w:val="0"/>
    <w:rPr>
      <w:rFonts w:ascii="Times New Roman" w:hAnsi="Times New Roman" w:eastAsia="黑体" w:cs="Times New Roman"/>
      <w:kern w:val="2"/>
      <w:sz w:val="25"/>
      <w:szCs w:val="25"/>
      <w:lang w:val="en-US" w:eastAsia="zh-CN" w:bidi="ar-SA"/>
    </w:rPr>
  </w:style>
  <w:style w:type="character" w:customStyle="1" w:styleId="55">
    <w:name w:val="标题 6 字符"/>
    <w:link w:val="7"/>
    <w:autoRedefine/>
    <w:qFormat/>
    <w:uiPriority w:val="0"/>
    <w:rPr>
      <w:rFonts w:ascii="黑体" w:hAnsi="黑体" w:eastAsia="黑体"/>
      <w:b/>
      <w:bCs/>
      <w:kern w:val="2"/>
      <w:sz w:val="25"/>
      <w:szCs w:val="24"/>
    </w:rPr>
  </w:style>
  <w:style w:type="character" w:customStyle="1" w:styleId="56">
    <w:name w:val="标题 7 字符"/>
    <w:link w:val="8"/>
    <w:autoRedefine/>
    <w:qFormat/>
    <w:uiPriority w:val="0"/>
    <w:rPr>
      <w:rFonts w:eastAsia="黑体"/>
      <w:sz w:val="18"/>
      <w:szCs w:val="24"/>
      <w:lang w:val="zh-CN"/>
    </w:rPr>
  </w:style>
  <w:style w:type="character" w:customStyle="1" w:styleId="57">
    <w:name w:val="标题 8 字符"/>
    <w:link w:val="9"/>
    <w:autoRedefine/>
    <w:qFormat/>
    <w:uiPriority w:val="0"/>
    <w:rPr>
      <w:rFonts w:eastAsia="黑体"/>
      <w:sz w:val="18"/>
      <w:szCs w:val="24"/>
      <w:lang w:val="zh-CN"/>
    </w:rPr>
  </w:style>
  <w:style w:type="character" w:customStyle="1" w:styleId="58">
    <w:name w:val="标题 9 字符"/>
    <w:link w:val="10"/>
    <w:autoRedefine/>
    <w:qFormat/>
    <w:uiPriority w:val="9"/>
    <w:rPr>
      <w:rFonts w:ascii="Arial" w:hAnsi="Arial"/>
      <w:kern w:val="2"/>
      <w:sz w:val="25"/>
      <w:szCs w:val="21"/>
      <w:lang w:val="zh-CN"/>
    </w:rPr>
  </w:style>
  <w:style w:type="character" w:customStyle="1" w:styleId="59">
    <w:name w:val="文档结构图 字符"/>
    <w:link w:val="15"/>
    <w:autoRedefine/>
    <w:semiHidden/>
    <w:qFormat/>
    <w:uiPriority w:val="99"/>
    <w:rPr>
      <w:kern w:val="2"/>
      <w:sz w:val="24"/>
      <w:szCs w:val="24"/>
      <w:shd w:val="clear" w:color="auto" w:fill="000080"/>
    </w:rPr>
  </w:style>
  <w:style w:type="character" w:customStyle="1" w:styleId="60">
    <w:name w:val="批注文字 字符"/>
    <w:basedOn w:val="41"/>
    <w:link w:val="16"/>
    <w:autoRedefine/>
    <w:qFormat/>
    <w:uiPriority w:val="0"/>
    <w:rPr>
      <w:kern w:val="2"/>
      <w:sz w:val="22"/>
      <w:szCs w:val="24"/>
      <w:lang w:val="zh-CN"/>
    </w:rPr>
  </w:style>
  <w:style w:type="character" w:customStyle="1" w:styleId="61">
    <w:name w:val="正文文本缩进 字符1"/>
    <w:basedOn w:val="41"/>
    <w:link w:val="18"/>
    <w:autoRedefine/>
    <w:qFormat/>
    <w:uiPriority w:val="0"/>
    <w:rPr>
      <w:kern w:val="2"/>
      <w:sz w:val="21"/>
      <w:szCs w:val="24"/>
    </w:rPr>
  </w:style>
  <w:style w:type="character" w:customStyle="1" w:styleId="62">
    <w:name w:val="日期 字符"/>
    <w:link w:val="22"/>
    <w:autoRedefine/>
    <w:qFormat/>
    <w:uiPriority w:val="99"/>
    <w:rPr>
      <w:kern w:val="2"/>
      <w:sz w:val="24"/>
    </w:rPr>
  </w:style>
  <w:style w:type="character" w:customStyle="1" w:styleId="63">
    <w:name w:val="尾注文本 字符"/>
    <w:basedOn w:val="41"/>
    <w:link w:val="23"/>
    <w:autoRedefine/>
    <w:semiHidden/>
    <w:qFormat/>
    <w:uiPriority w:val="0"/>
    <w:rPr>
      <w:kern w:val="2"/>
      <w:sz w:val="24"/>
      <w:szCs w:val="24"/>
      <w:lang w:val="zh-CN"/>
    </w:rPr>
  </w:style>
  <w:style w:type="character" w:customStyle="1" w:styleId="64">
    <w:name w:val="批注框文本 字符"/>
    <w:link w:val="24"/>
    <w:autoRedefine/>
    <w:semiHidden/>
    <w:qFormat/>
    <w:uiPriority w:val="99"/>
    <w:rPr>
      <w:kern w:val="2"/>
      <w:sz w:val="18"/>
      <w:szCs w:val="18"/>
    </w:rPr>
  </w:style>
  <w:style w:type="character" w:customStyle="1" w:styleId="65">
    <w:name w:val="页脚 字符"/>
    <w:link w:val="25"/>
    <w:autoRedefine/>
    <w:qFormat/>
    <w:uiPriority w:val="99"/>
    <w:rPr>
      <w:kern w:val="2"/>
      <w:sz w:val="18"/>
      <w:szCs w:val="18"/>
    </w:rPr>
  </w:style>
  <w:style w:type="character" w:customStyle="1" w:styleId="66">
    <w:name w:val="页眉 字符"/>
    <w:link w:val="26"/>
    <w:autoRedefine/>
    <w:qFormat/>
    <w:uiPriority w:val="0"/>
    <w:rPr>
      <w:b/>
      <w:color w:val="376092" w:themeColor="accent1" w:themeShade="BF"/>
      <w:kern w:val="2"/>
      <w:sz w:val="22"/>
      <w:szCs w:val="22"/>
      <w:lang w:val="zh-CN" w:eastAsia="zh-CN"/>
    </w:rPr>
  </w:style>
  <w:style w:type="character" w:customStyle="1" w:styleId="67">
    <w:name w:val="TOC 4 字符"/>
    <w:link w:val="28"/>
    <w:autoRedefine/>
    <w:qFormat/>
    <w:uiPriority w:val="0"/>
    <w:rPr>
      <w:rFonts w:asciiTheme="minorHAnsi" w:hAnsiTheme="minorHAnsi"/>
      <w:kern w:val="2"/>
      <w:lang w:val="zh-CN"/>
    </w:rPr>
  </w:style>
  <w:style w:type="character" w:customStyle="1" w:styleId="68">
    <w:name w:val="脚注文本 字符"/>
    <w:link w:val="29"/>
    <w:autoRedefine/>
    <w:semiHidden/>
    <w:qFormat/>
    <w:uiPriority w:val="0"/>
    <w:rPr>
      <w:rFonts w:eastAsia="宋体"/>
      <w:kern w:val="2"/>
      <w:sz w:val="18"/>
      <w:szCs w:val="18"/>
      <w:lang w:val="en-US" w:eastAsia="zh-CN" w:bidi="ar-SA"/>
    </w:rPr>
  </w:style>
  <w:style w:type="character" w:customStyle="1" w:styleId="69">
    <w:name w:val="HTML 预设格式 字符"/>
    <w:basedOn w:val="41"/>
    <w:link w:val="33"/>
    <w:autoRedefine/>
    <w:qFormat/>
    <w:uiPriority w:val="99"/>
    <w:rPr>
      <w:rFonts w:ascii="宋体" w:hAnsi="宋体" w:cs="宋体"/>
      <w:sz w:val="24"/>
      <w:szCs w:val="24"/>
      <w:lang w:val="zh-CN"/>
    </w:rPr>
  </w:style>
  <w:style w:type="character" w:customStyle="1" w:styleId="70">
    <w:name w:val="批注主题 字符"/>
    <w:basedOn w:val="60"/>
    <w:link w:val="35"/>
    <w:autoRedefine/>
    <w:semiHidden/>
    <w:qFormat/>
    <w:uiPriority w:val="99"/>
    <w:rPr>
      <w:b/>
      <w:bCs/>
      <w:kern w:val="2"/>
      <w:sz w:val="22"/>
      <w:szCs w:val="24"/>
      <w:lang w:val="zh-CN"/>
    </w:rPr>
  </w:style>
  <w:style w:type="paragraph" w:customStyle="1" w:styleId="71">
    <w:name w:val="图表注"/>
    <w:next w:val="1"/>
    <w:link w:val="72"/>
    <w:autoRedefine/>
    <w:qFormat/>
    <w:uiPriority w:val="0"/>
    <w:pPr>
      <w:spacing w:after="163" w:afterLines="50"/>
      <w:jc w:val="center"/>
    </w:pPr>
    <w:rPr>
      <w:rFonts w:ascii="Times New Roman" w:hAnsi="Times New Roman" w:eastAsia="华文楷体" w:cs="Times New Roman"/>
      <w:sz w:val="18"/>
      <w:lang w:val="en-US" w:eastAsia="zh-CN" w:bidi="ar-SA"/>
    </w:rPr>
  </w:style>
  <w:style w:type="character" w:customStyle="1" w:styleId="72">
    <w:name w:val="图表注字符"/>
    <w:link w:val="71"/>
    <w:autoRedefine/>
    <w:qFormat/>
    <w:uiPriority w:val="0"/>
    <w:rPr>
      <w:rFonts w:eastAsia="华文楷体"/>
      <w:sz w:val="18"/>
    </w:rPr>
  </w:style>
  <w:style w:type="paragraph" w:customStyle="1" w:styleId="73">
    <w:name w:val="图片格式"/>
    <w:basedOn w:val="1"/>
    <w:autoRedefine/>
    <w:qFormat/>
    <w:uiPriority w:val="0"/>
    <w:pPr>
      <w:tabs>
        <w:tab w:val="center" w:pos="4153"/>
        <w:tab w:val="right" w:pos="8306"/>
      </w:tabs>
      <w:ind w:firstLine="0" w:firstLineChars="0"/>
      <w:jc w:val="center"/>
    </w:pPr>
    <w:rPr>
      <w:rFonts w:cs="宋体"/>
      <w:sz w:val="21"/>
      <w:szCs w:val="20"/>
      <w:lang w:val="en-US"/>
    </w:rPr>
  </w:style>
  <w:style w:type="paragraph" w:customStyle="1" w:styleId="74">
    <w:name w:val="尾注"/>
    <w:basedOn w:val="1"/>
    <w:link w:val="75"/>
    <w:autoRedefine/>
    <w:qFormat/>
    <w:uiPriority w:val="0"/>
    <w:pPr>
      <w:tabs>
        <w:tab w:val="left" w:pos="0"/>
      </w:tabs>
      <w:ind w:firstLine="0" w:firstLineChars="0"/>
    </w:pPr>
    <w:rPr>
      <w:rFonts w:eastAsia="华文楷体"/>
      <w:sz w:val="18"/>
    </w:rPr>
  </w:style>
  <w:style w:type="character" w:customStyle="1" w:styleId="75">
    <w:name w:val="尾注 Char Char"/>
    <w:link w:val="74"/>
    <w:autoRedefine/>
    <w:qFormat/>
    <w:uiPriority w:val="0"/>
    <w:rPr>
      <w:rFonts w:eastAsia="华文楷体"/>
      <w:kern w:val="2"/>
      <w:sz w:val="18"/>
      <w:szCs w:val="24"/>
      <w:lang w:val="zh-CN" w:eastAsia="zh-CN"/>
    </w:rPr>
  </w:style>
  <w:style w:type="paragraph" w:customStyle="1" w:styleId="76">
    <w:name w:val="修订1"/>
    <w:autoRedefine/>
    <w:hidden/>
    <w:semiHidden/>
    <w:qFormat/>
    <w:uiPriority w:val="99"/>
    <w:rPr>
      <w:rFonts w:ascii="Times New Roman" w:hAnsi="Times New Roman" w:eastAsia="宋体" w:cs="Times New Roman"/>
      <w:kern w:val="2"/>
      <w:sz w:val="24"/>
      <w:szCs w:val="24"/>
      <w:lang w:val="en-US" w:eastAsia="zh-CN" w:bidi="ar-SA"/>
    </w:rPr>
  </w:style>
  <w:style w:type="character" w:customStyle="1" w:styleId="77">
    <w:name w:val="占位符文本1"/>
    <w:basedOn w:val="41"/>
    <w:autoRedefine/>
    <w:semiHidden/>
    <w:qFormat/>
    <w:uiPriority w:val="99"/>
    <w:rPr>
      <w:color w:val="808080"/>
    </w:rPr>
  </w:style>
  <w:style w:type="character" w:customStyle="1" w:styleId="78">
    <w:name w:val="脚注文本 Char1"/>
    <w:basedOn w:val="41"/>
    <w:autoRedefine/>
    <w:semiHidden/>
    <w:qFormat/>
    <w:uiPriority w:val="99"/>
    <w:rPr>
      <w:kern w:val="2"/>
      <w:sz w:val="18"/>
      <w:szCs w:val="18"/>
      <w:lang w:val="zh-CN"/>
    </w:rPr>
  </w:style>
  <w:style w:type="paragraph" w:customStyle="1" w:styleId="79">
    <w:name w:val="文本格式"/>
    <w:basedOn w:val="1"/>
    <w:autoRedefine/>
    <w:qFormat/>
    <w:uiPriority w:val="0"/>
    <w:pPr>
      <w:spacing w:line="440" w:lineRule="exact"/>
      <w:ind w:firstLine="478" w:firstLineChars="199"/>
      <w:jc w:val="left"/>
    </w:pPr>
    <w:rPr>
      <w:rFonts w:cs="宋体"/>
      <w:kern w:val="0"/>
    </w:rPr>
  </w:style>
  <w:style w:type="character" w:customStyle="1" w:styleId="80">
    <w:name w:val="样式 宋体 小四"/>
    <w:autoRedefine/>
    <w:qFormat/>
    <w:uiPriority w:val="0"/>
    <w:rPr>
      <w:rFonts w:ascii="宋体" w:hAnsi="宋体"/>
      <w:sz w:val="24"/>
    </w:rPr>
  </w:style>
  <w:style w:type="paragraph" w:customStyle="1" w:styleId="81">
    <w:name w:val="TOC 标题1"/>
    <w:basedOn w:val="2"/>
    <w:next w:val="1"/>
    <w:autoRedefine/>
    <w:unhideWhenUsed/>
    <w:qFormat/>
    <w:uiPriority w:val="39"/>
    <w:pPr>
      <w:spacing w:before="480" w:line="276" w:lineRule="auto"/>
      <w:ind w:left="0" w:firstLine="0"/>
      <w:jc w:val="left"/>
      <w:outlineLvl w:val="9"/>
    </w:pPr>
    <w:rPr>
      <w:rFonts w:asciiTheme="majorHAnsi" w:hAnsiTheme="majorHAnsi" w:eastAsiaTheme="majorEastAsia" w:cstheme="majorBidi"/>
      <w:color w:val="376092" w:themeColor="accent1" w:themeShade="BF"/>
      <w:kern w:val="0"/>
      <w:sz w:val="28"/>
    </w:rPr>
  </w:style>
  <w:style w:type="paragraph" w:customStyle="1" w:styleId="82">
    <w:name w:val="目录"/>
    <w:basedOn w:val="2"/>
    <w:link w:val="83"/>
    <w:autoRedefine/>
    <w:qFormat/>
    <w:uiPriority w:val="0"/>
    <w:pPr>
      <w:ind w:left="360" w:firstLine="0"/>
    </w:pPr>
    <w:rPr>
      <w:rFonts w:cstheme="minorBidi"/>
      <w:bCs w:val="0"/>
      <w:kern w:val="2"/>
      <w:szCs w:val="24"/>
    </w:rPr>
  </w:style>
  <w:style w:type="character" w:customStyle="1" w:styleId="83">
    <w:name w:val="目录 Char"/>
    <w:basedOn w:val="50"/>
    <w:link w:val="82"/>
    <w:autoRedefine/>
    <w:qFormat/>
    <w:uiPriority w:val="0"/>
    <w:rPr>
      <w:rFonts w:ascii="黑体" w:hAnsi="黑体" w:eastAsia="黑体" w:cstheme="minorBidi"/>
      <w:bCs w:val="0"/>
      <w:kern w:val="2"/>
      <w:sz w:val="32"/>
      <w:szCs w:val="24"/>
      <w:lang w:val="zh-CN" w:eastAsia="zh-CN"/>
    </w:rPr>
  </w:style>
  <w:style w:type="paragraph" w:customStyle="1" w:styleId="84">
    <w:name w:val="列出段落1"/>
    <w:basedOn w:val="1"/>
    <w:autoRedefine/>
    <w:qFormat/>
    <w:uiPriority w:val="0"/>
    <w:pPr>
      <w:ind w:firstLine="420"/>
      <w:outlineLvl w:val="2"/>
    </w:pPr>
    <w:rPr>
      <w:rFonts w:cstheme="minorBidi"/>
      <w:sz w:val="21"/>
      <w:lang w:val="en-US"/>
    </w:rPr>
  </w:style>
  <w:style w:type="paragraph" w:customStyle="1" w:styleId="85">
    <w:name w:val="无间隔1"/>
    <w:autoRedefine/>
    <w:qFormat/>
    <w:uiPriority w:val="1"/>
    <w:pPr>
      <w:widowControl w:val="0"/>
      <w:ind w:firstLine="480"/>
      <w:jc w:val="both"/>
    </w:pPr>
    <w:rPr>
      <w:rFonts w:ascii="宋体" w:hAnsi="宋体" w:eastAsia="宋体" w:cstheme="minorBidi"/>
      <w:kern w:val="2"/>
      <w:sz w:val="24"/>
      <w:szCs w:val="22"/>
      <w:lang w:val="en-US" w:eastAsia="zh-CN" w:bidi="ar-SA"/>
    </w:rPr>
  </w:style>
  <w:style w:type="character" w:customStyle="1" w:styleId="86">
    <w:name w:val="明显强调1"/>
    <w:basedOn w:val="41"/>
    <w:autoRedefine/>
    <w:qFormat/>
    <w:uiPriority w:val="21"/>
    <w:rPr>
      <w:i/>
      <w:iCs/>
      <w:color w:val="4F81BD" w:themeColor="accent1"/>
      <w14:textFill>
        <w14:solidFill>
          <w14:schemeClr w14:val="accent1"/>
        </w14:solidFill>
      </w14:textFill>
    </w:rPr>
  </w:style>
  <w:style w:type="character" w:customStyle="1" w:styleId="87">
    <w:name w:val="不明显强调1"/>
    <w:basedOn w:val="41"/>
    <w:autoRedefine/>
    <w:qFormat/>
    <w:uiPriority w:val="19"/>
    <w:rPr>
      <w:i/>
      <w:iCs/>
      <w:color w:val="404040" w:themeColor="text1" w:themeTint="BF"/>
      <w14:textFill>
        <w14:solidFill>
          <w14:schemeClr w14:val="tx1">
            <w14:lumMod w14:val="75000"/>
            <w14:lumOff w14:val="25000"/>
          </w14:schemeClr>
        </w14:solidFill>
      </w14:textFill>
    </w:rPr>
  </w:style>
  <w:style w:type="character" w:customStyle="1" w:styleId="88">
    <w:name w:val="正文文本缩进 字符"/>
    <w:basedOn w:val="41"/>
    <w:autoRedefine/>
    <w:semiHidden/>
    <w:qFormat/>
    <w:uiPriority w:val="0"/>
    <w:rPr>
      <w:kern w:val="2"/>
      <w:sz w:val="22"/>
      <w:szCs w:val="24"/>
      <w:lang w:val="zh-CN"/>
    </w:rPr>
  </w:style>
  <w:style w:type="paragraph" w:customStyle="1" w:styleId="89">
    <w:name w:val="表格格式"/>
    <w:basedOn w:val="1"/>
    <w:autoRedefine/>
    <w:qFormat/>
    <w:uiPriority w:val="0"/>
    <w:pPr>
      <w:widowControl/>
      <w:ind w:right="40" w:rightChars="18" w:firstLine="0" w:firstLineChars="0"/>
    </w:pPr>
    <w:rPr>
      <w:rFonts w:ascii="宋体" w:hAnsi="宋体" w:cs="宋体" w:eastAsiaTheme="minorEastAsia"/>
      <w:bCs/>
      <w:sz w:val="20"/>
      <w:szCs w:val="21"/>
      <w:lang w:val="en-US"/>
    </w:rPr>
  </w:style>
  <w:style w:type="paragraph" w:customStyle="1" w:styleId="90">
    <w:name w:val="样式 首行缩进:  0.74 厘米 段前: 7.8 磅 段后: 7.8 磅 行距: 固定值 18 磅"/>
    <w:basedOn w:val="1"/>
    <w:autoRedefine/>
    <w:qFormat/>
    <w:uiPriority w:val="0"/>
    <w:pPr>
      <w:widowControl/>
      <w:ind w:firstLine="0" w:firstLineChars="0"/>
      <w:jc w:val="left"/>
    </w:pPr>
    <w:rPr>
      <w:rFonts w:ascii="楷体_GB2312" w:hAnsi="宋体" w:eastAsia="楷体_GB2312" w:cs="宋体"/>
      <w:sz w:val="20"/>
      <w:szCs w:val="18"/>
      <w:lang w:val="en-US"/>
    </w:rPr>
  </w:style>
  <w:style w:type="paragraph" w:customStyle="1" w:styleId="91">
    <w:name w:val="三级标题"/>
    <w:basedOn w:val="4"/>
    <w:autoRedefine/>
    <w:semiHidden/>
    <w:qFormat/>
    <w:uiPriority w:val="0"/>
    <w:pPr>
      <w:keepNext/>
      <w:keepLines/>
      <w:widowControl/>
      <w:numPr>
        <w:numId w:val="0"/>
      </w:numPr>
      <w:spacing w:before="240" w:line="360" w:lineRule="auto"/>
    </w:pPr>
    <w:rPr>
      <w:rFonts w:hAnsi="宋体" w:cs="宋体"/>
      <w:b/>
      <w:sz w:val="24"/>
      <w:szCs w:val="20"/>
      <w:lang w:val="en-US"/>
    </w:rPr>
  </w:style>
  <w:style w:type="paragraph" w:customStyle="1" w:styleId="92">
    <w:name w:val="一级标题"/>
    <w:basedOn w:val="1"/>
    <w:autoRedefine/>
    <w:semiHidden/>
    <w:qFormat/>
    <w:uiPriority w:val="99"/>
    <w:pPr>
      <w:keepNext/>
      <w:keepLines/>
      <w:widowControl/>
      <w:spacing w:before="600" w:line="480" w:lineRule="auto"/>
      <w:ind w:firstLine="0" w:firstLineChars="0"/>
      <w:jc w:val="center"/>
      <w:outlineLvl w:val="0"/>
    </w:pPr>
    <w:rPr>
      <w:rFonts w:ascii="黑体" w:hAnsi="黑体" w:eastAsia="黑体" w:cs="宋体"/>
      <w:bCs/>
      <w:kern w:val="44"/>
      <w:sz w:val="32"/>
      <w:szCs w:val="20"/>
      <w:lang w:val="en-US"/>
    </w:rPr>
  </w:style>
  <w:style w:type="paragraph" w:customStyle="1" w:styleId="93">
    <w:name w:val="Default"/>
    <w:autoRedefine/>
    <w:qFormat/>
    <w:uiPriority w:val="0"/>
    <w:pPr>
      <w:widowControl w:val="0"/>
      <w:autoSpaceDE w:val="0"/>
      <w:autoSpaceDN w:val="0"/>
      <w:adjustRightInd w:val="0"/>
    </w:pPr>
    <w:rPr>
      <w:rFonts w:ascii="仿宋" w:hAnsi="仿宋" w:cs="仿宋" w:eastAsiaTheme="minorEastAsia"/>
      <w:color w:val="000000"/>
      <w:sz w:val="24"/>
      <w:szCs w:val="24"/>
      <w:lang w:val="en-US" w:eastAsia="zh-CN" w:bidi="ar-SA"/>
    </w:rPr>
  </w:style>
  <w:style w:type="paragraph" w:customStyle="1" w:styleId="94">
    <w:name w:val="条例"/>
    <w:basedOn w:val="1"/>
    <w:autoRedefine/>
    <w:semiHidden/>
    <w:qFormat/>
    <w:uiPriority w:val="99"/>
    <w:pPr>
      <w:widowControl/>
      <w:spacing w:before="40" w:line="360" w:lineRule="auto"/>
      <w:ind w:firstLine="0" w:firstLineChars="0"/>
      <w:jc w:val="left"/>
    </w:pPr>
    <w:rPr>
      <w:rFonts w:ascii="宋体" w:hAnsi="宋体" w:cs="宋体"/>
      <w:szCs w:val="20"/>
      <w:lang w:val="en-US"/>
    </w:rPr>
  </w:style>
  <w:style w:type="paragraph" w:customStyle="1" w:styleId="95">
    <w:name w:val="正文-第几条"/>
    <w:basedOn w:val="1"/>
    <w:autoRedefine/>
    <w:qFormat/>
    <w:uiPriority w:val="0"/>
    <w:pPr>
      <w:spacing w:line="360" w:lineRule="auto"/>
      <w:ind w:firstLine="0" w:firstLineChars="0"/>
    </w:pPr>
    <w:rPr>
      <w:sz w:val="21"/>
      <w:lang w:val="en-US"/>
    </w:rPr>
  </w:style>
  <w:style w:type="table" w:customStyle="1" w:styleId="96">
    <w:name w:val="网格型1"/>
    <w:basedOn w:val="36"/>
    <w:autoRedefine/>
    <w:qFormat/>
    <w:uiPriority w:val="59"/>
    <w:rPr>
      <w:rFonts w:ascii="Calibri" w:hAnsi="Calibri"/>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paragraph" w:customStyle="1" w:styleId="97">
    <w:name w:val="正文体"/>
    <w:basedOn w:val="1"/>
    <w:link w:val="98"/>
    <w:autoRedefine/>
    <w:qFormat/>
    <w:uiPriority w:val="0"/>
    <w:pPr>
      <w:widowControl/>
      <w:spacing w:line="360" w:lineRule="auto"/>
      <w:ind w:firstLine="480"/>
      <w:jc w:val="left"/>
    </w:pPr>
    <w:rPr>
      <w:rFonts w:cs="宋体"/>
      <w:szCs w:val="20"/>
      <w:lang w:val="en-US"/>
    </w:rPr>
  </w:style>
  <w:style w:type="character" w:customStyle="1" w:styleId="98">
    <w:name w:val="正文体 Char"/>
    <w:basedOn w:val="41"/>
    <w:link w:val="97"/>
    <w:autoRedefine/>
    <w:qFormat/>
    <w:uiPriority w:val="0"/>
    <w:rPr>
      <w:rFonts w:cs="宋体"/>
      <w:kern w:val="2"/>
      <w:sz w:val="24"/>
    </w:rPr>
  </w:style>
  <w:style w:type="paragraph" w:customStyle="1" w:styleId="99">
    <w:name w:val="列表段落1"/>
    <w:basedOn w:val="1"/>
    <w:link w:val="100"/>
    <w:autoRedefine/>
    <w:qFormat/>
    <w:uiPriority w:val="34"/>
    <w:pPr>
      <w:ind w:firstLine="420"/>
    </w:pPr>
  </w:style>
  <w:style w:type="character" w:customStyle="1" w:styleId="100">
    <w:name w:val="列出段落 字符"/>
    <w:basedOn w:val="41"/>
    <w:link w:val="99"/>
    <w:autoRedefine/>
    <w:qFormat/>
    <w:uiPriority w:val="34"/>
    <w:rPr>
      <w:kern w:val="2"/>
      <w:sz w:val="22"/>
      <w:szCs w:val="24"/>
      <w:lang w:val="zh-CN"/>
    </w:rPr>
  </w:style>
  <w:style w:type="paragraph" w:customStyle="1" w:styleId="101">
    <w:name w:val="案例分析"/>
    <w:basedOn w:val="71"/>
    <w:autoRedefine/>
    <w:qFormat/>
    <w:uiPriority w:val="0"/>
    <w:pPr>
      <w:jc w:val="left"/>
    </w:pPr>
  </w:style>
  <w:style w:type="character" w:customStyle="1" w:styleId="102">
    <w:name w:val="（一）[858D7CFB-ED40-4347-BF05-701D383B685F]"/>
    <w:link w:val="103"/>
    <w:autoRedefine/>
    <w:qFormat/>
    <w:uiPriority w:val="0"/>
    <w:rPr>
      <w:rFonts w:eastAsia="黑体"/>
    </w:rPr>
  </w:style>
  <w:style w:type="paragraph" w:customStyle="1" w:styleId="103">
    <w:name w:val="（一）"/>
    <w:basedOn w:val="1"/>
    <w:link w:val="102"/>
    <w:autoRedefine/>
    <w:qFormat/>
    <w:uiPriority w:val="0"/>
    <w:pPr>
      <w:keepNext/>
      <w:widowControl/>
      <w:spacing w:before="240" w:beforeLines="30" w:line="360" w:lineRule="auto"/>
      <w:ind w:left="181" w:right="210" w:firstLine="0" w:firstLineChars="0"/>
      <w:jc w:val="left"/>
      <w:outlineLvl w:val="2"/>
    </w:pPr>
    <w:rPr>
      <w:rFonts w:eastAsia="黑体"/>
      <w:kern w:val="0"/>
      <w:sz w:val="20"/>
      <w:szCs w:val="20"/>
      <w:lang w:val="en-US"/>
    </w:rPr>
  </w:style>
  <w:style w:type="paragraph" w:customStyle="1" w:styleId="104">
    <w:name w:val="正文1"/>
    <w:basedOn w:val="1"/>
    <w:link w:val="105"/>
    <w:autoRedefine/>
    <w:qFormat/>
    <w:uiPriority w:val="0"/>
    <w:pPr>
      <w:widowControl/>
      <w:spacing w:line="500" w:lineRule="exact"/>
      <w:jc w:val="left"/>
    </w:pPr>
    <w:rPr>
      <w:rFonts w:ascii="宋体" w:hAnsi="宋体"/>
      <w:kern w:val="0"/>
      <w:szCs w:val="20"/>
    </w:rPr>
  </w:style>
  <w:style w:type="character" w:customStyle="1" w:styleId="105">
    <w:name w:val="正文1 Char"/>
    <w:link w:val="104"/>
    <w:autoRedefine/>
    <w:qFormat/>
    <w:uiPriority w:val="0"/>
    <w:rPr>
      <w:rFonts w:ascii="宋体" w:hAnsi="宋体"/>
      <w:sz w:val="24"/>
      <w:lang w:val="zh-CN" w:eastAsia="zh-CN"/>
    </w:rPr>
  </w:style>
  <w:style w:type="character" w:customStyle="1" w:styleId="106">
    <w:name w:val="表格11 Char"/>
    <w:basedOn w:val="41"/>
    <w:link w:val="107"/>
    <w:autoRedefine/>
    <w:qFormat/>
    <w:uiPriority w:val="0"/>
    <w:rPr>
      <w:rFonts w:ascii="黑体" w:eastAsia="黑体"/>
      <w:bCs/>
      <w:sz w:val="21"/>
      <w:szCs w:val="21"/>
    </w:rPr>
  </w:style>
  <w:style w:type="paragraph" w:customStyle="1" w:styleId="107">
    <w:name w:val="表格11"/>
    <w:basedOn w:val="1"/>
    <w:link w:val="106"/>
    <w:autoRedefine/>
    <w:qFormat/>
    <w:uiPriority w:val="0"/>
    <w:pPr>
      <w:widowControl/>
      <w:spacing w:line="360" w:lineRule="auto"/>
      <w:ind w:firstLine="420"/>
      <w:jc w:val="left"/>
    </w:pPr>
    <w:rPr>
      <w:rFonts w:ascii="黑体" w:eastAsia="黑体"/>
      <w:bCs/>
      <w:kern w:val="0"/>
      <w:sz w:val="21"/>
      <w:szCs w:val="21"/>
      <w:lang w:val="en-US"/>
    </w:rPr>
  </w:style>
  <w:style w:type="character" w:customStyle="1" w:styleId="108">
    <w:name w:val="正文文本缩进字符1"/>
    <w:basedOn w:val="41"/>
    <w:autoRedefine/>
    <w:semiHidden/>
    <w:qFormat/>
    <w:uiPriority w:val="0"/>
    <w:rPr>
      <w:kern w:val="2"/>
      <w:sz w:val="22"/>
      <w:szCs w:val="24"/>
      <w:lang w:val="zh-CN"/>
    </w:rPr>
  </w:style>
  <w:style w:type="character" w:customStyle="1" w:styleId="109">
    <w:name w:val="ZW Char"/>
    <w:basedOn w:val="41"/>
    <w:autoRedefine/>
    <w:qFormat/>
    <w:uiPriority w:val="0"/>
    <w:rPr>
      <w:rFonts w:ascii="Times New Roman" w:hAnsi="Times New Roman" w:eastAsia="宋体" w:cs="Times New Roman"/>
      <w:bCs/>
      <w:sz w:val="24"/>
      <w:szCs w:val="24"/>
    </w:rPr>
  </w:style>
  <w:style w:type="character" w:customStyle="1" w:styleId="110">
    <w:name w:val="正文 Char"/>
    <w:basedOn w:val="41"/>
    <w:autoRedefine/>
    <w:qFormat/>
    <w:uiPriority w:val="0"/>
    <w:rPr>
      <w:rFonts w:ascii="宋体" w:hAnsi="宋体" w:cs="Times New Roman"/>
      <w:sz w:val="24"/>
      <w:szCs w:val="24"/>
    </w:rPr>
  </w:style>
  <w:style w:type="paragraph" w:customStyle="1" w:styleId="111">
    <w:name w:val="ZW"/>
    <w:basedOn w:val="1"/>
    <w:autoRedefine/>
    <w:qFormat/>
    <w:uiPriority w:val="0"/>
    <w:pPr>
      <w:widowControl/>
      <w:spacing w:line="360" w:lineRule="auto"/>
      <w:ind w:firstLine="480"/>
      <w:jc w:val="left"/>
    </w:pPr>
    <w:rPr>
      <w:bCs/>
      <w:kern w:val="0"/>
      <w:lang w:val="en-US"/>
    </w:rPr>
  </w:style>
  <w:style w:type="character" w:customStyle="1" w:styleId="112">
    <w:name w:val="表、图 Char"/>
    <w:basedOn w:val="109"/>
    <w:link w:val="113"/>
    <w:autoRedefine/>
    <w:qFormat/>
    <w:uiPriority w:val="0"/>
    <w:rPr>
      <w:rFonts w:ascii="黑体" w:hAnsi="Times New Roman" w:eastAsia="黑体" w:cs="Times New Roman"/>
      <w:sz w:val="21"/>
      <w:szCs w:val="21"/>
    </w:rPr>
  </w:style>
  <w:style w:type="paragraph" w:customStyle="1" w:styleId="113">
    <w:name w:val="表、图"/>
    <w:basedOn w:val="111"/>
    <w:link w:val="112"/>
    <w:autoRedefine/>
    <w:qFormat/>
    <w:uiPriority w:val="0"/>
    <w:pPr>
      <w:spacing w:line="240" w:lineRule="auto"/>
      <w:ind w:firstLine="0" w:firstLineChars="0"/>
      <w:jc w:val="center"/>
    </w:pPr>
    <w:rPr>
      <w:rFonts w:ascii="黑体" w:eastAsia="黑体"/>
      <w:sz w:val="21"/>
      <w:szCs w:val="21"/>
    </w:rPr>
  </w:style>
  <w:style w:type="paragraph" w:customStyle="1" w:styleId="114">
    <w:name w:val="节节"/>
    <w:basedOn w:val="1"/>
    <w:autoRedefine/>
    <w:qFormat/>
    <w:uiPriority w:val="0"/>
    <w:pPr>
      <w:keepNext/>
      <w:keepLines/>
      <w:widowControl/>
      <w:spacing w:before="260" w:after="260" w:line="413" w:lineRule="auto"/>
      <w:ind w:firstLine="480" w:firstLineChars="0"/>
      <w:jc w:val="center"/>
      <w:outlineLvl w:val="1"/>
    </w:pPr>
    <w:rPr>
      <w:rFonts w:ascii="Arial" w:hAnsi="Arial" w:eastAsia="黑体"/>
      <w:b/>
      <w:bCs/>
      <w:kern w:val="0"/>
      <w:sz w:val="30"/>
      <w:szCs w:val="30"/>
      <w:lang w:val="en-US"/>
    </w:rPr>
  </w:style>
  <w:style w:type="paragraph" w:customStyle="1" w:styleId="115">
    <w:name w:val="表格"/>
    <w:basedOn w:val="1"/>
    <w:link w:val="116"/>
    <w:autoRedefine/>
    <w:qFormat/>
    <w:uiPriority w:val="0"/>
    <w:pPr>
      <w:spacing w:after="0" w:afterLines="0"/>
      <w:ind w:firstLine="0" w:firstLineChars="0"/>
    </w:pPr>
    <w:rPr>
      <w:rFonts w:eastAsia="黑体"/>
      <w:sz w:val="18"/>
      <w:szCs w:val="22"/>
      <w:lang w:val="en-US"/>
    </w:rPr>
  </w:style>
  <w:style w:type="character" w:customStyle="1" w:styleId="116">
    <w:name w:val="表格 字符"/>
    <w:basedOn w:val="41"/>
    <w:link w:val="115"/>
    <w:autoRedefine/>
    <w:qFormat/>
    <w:locked/>
    <w:uiPriority w:val="0"/>
    <w:rPr>
      <w:rFonts w:ascii="Times New Roman" w:hAnsi="Times New Roman" w:eastAsia="黑体"/>
      <w:kern w:val="2"/>
      <w:sz w:val="18"/>
      <w:szCs w:val="22"/>
    </w:rPr>
  </w:style>
  <w:style w:type="paragraph" w:customStyle="1" w:styleId="117">
    <w:name w:val="表名"/>
    <w:basedOn w:val="14"/>
    <w:link w:val="118"/>
    <w:autoRedefine/>
    <w:qFormat/>
    <w:uiPriority w:val="0"/>
    <w:pPr>
      <w:keepNext/>
      <w:spacing w:before="166" w:beforeLines="50" w:after="166" w:afterLines="0"/>
      <w:ind w:hanging="142" w:firstLineChars="0"/>
      <w:jc w:val="center"/>
    </w:pPr>
    <w:rPr>
      <w:rFonts w:ascii="Times New Roman" w:hAnsi="Times New Roman" w:cs="Times New Roman"/>
      <w:color w:val="000000"/>
      <w:kern w:val="0"/>
      <w:szCs w:val="25"/>
      <w:lang w:val="en-US"/>
    </w:rPr>
  </w:style>
  <w:style w:type="character" w:customStyle="1" w:styleId="118">
    <w:name w:val="表名 字符"/>
    <w:basedOn w:val="41"/>
    <w:link w:val="117"/>
    <w:autoRedefine/>
    <w:qFormat/>
    <w:uiPriority w:val="0"/>
    <w:rPr>
      <w:rFonts w:eastAsia="黑体"/>
      <w:color w:val="000000"/>
      <w:szCs w:val="25"/>
    </w:rPr>
  </w:style>
  <w:style w:type="paragraph" w:styleId="119">
    <w:name w:val="List Paragraph"/>
    <w:basedOn w:val="1"/>
    <w:autoRedefine/>
    <w:qFormat/>
    <w:uiPriority w:val="34"/>
    <w:pPr>
      <w:ind w:firstLine="420"/>
    </w:pPr>
    <w:rPr>
      <w:rFonts w:asciiTheme="minorHAnsi" w:hAnsiTheme="minorHAnsi" w:eastAsiaTheme="minorEastAsia" w:cstheme="minorBidi"/>
      <w:sz w:val="21"/>
      <w:szCs w:val="22"/>
      <w:lang w:val="en-US"/>
    </w:rPr>
  </w:style>
  <w:style w:type="paragraph" w:customStyle="1" w:styleId="120">
    <w:name w:val="Heading #3|1"/>
    <w:basedOn w:val="1"/>
    <w:link w:val="121"/>
    <w:autoRedefine/>
    <w:qFormat/>
    <w:uiPriority w:val="0"/>
    <w:pPr>
      <w:spacing w:line="309" w:lineRule="auto"/>
      <w:ind w:left="1460" w:firstLine="0" w:firstLineChars="0"/>
      <w:jc w:val="left"/>
      <w:outlineLvl w:val="2"/>
    </w:pPr>
    <w:rPr>
      <w:rFonts w:ascii="宋体" w:hAnsi="宋体" w:cs="宋体"/>
      <w:color w:val="000000"/>
      <w:kern w:val="0"/>
      <w:sz w:val="32"/>
      <w:szCs w:val="32"/>
      <w:lang w:val="en-US"/>
    </w:rPr>
  </w:style>
  <w:style w:type="character" w:customStyle="1" w:styleId="121">
    <w:name w:val="Heading #3|1_"/>
    <w:basedOn w:val="41"/>
    <w:link w:val="120"/>
    <w:autoRedefine/>
    <w:qFormat/>
    <w:uiPriority w:val="0"/>
    <w:rPr>
      <w:rFonts w:ascii="宋体" w:hAnsi="宋体" w:cs="宋体"/>
      <w:color w:val="000000"/>
      <w:sz w:val="32"/>
      <w:szCs w:val="32"/>
    </w:rPr>
  </w:style>
  <w:style w:type="paragraph" w:customStyle="1" w:styleId="122">
    <w:name w:val="Body text|1"/>
    <w:basedOn w:val="1"/>
    <w:link w:val="123"/>
    <w:autoRedefine/>
    <w:qFormat/>
    <w:uiPriority w:val="0"/>
    <w:pPr>
      <w:spacing w:line="480" w:lineRule="auto"/>
      <w:ind w:firstLine="400" w:firstLineChars="0"/>
      <w:jc w:val="left"/>
    </w:pPr>
    <w:rPr>
      <w:rFonts w:ascii="宋体" w:hAnsi="宋体" w:cs="宋体"/>
      <w:color w:val="000000"/>
      <w:kern w:val="0"/>
      <w:sz w:val="26"/>
      <w:szCs w:val="26"/>
      <w:lang w:val="en-US"/>
    </w:rPr>
  </w:style>
  <w:style w:type="character" w:customStyle="1" w:styleId="123">
    <w:name w:val="Body text|1_"/>
    <w:basedOn w:val="41"/>
    <w:link w:val="122"/>
    <w:autoRedefine/>
    <w:qFormat/>
    <w:uiPriority w:val="0"/>
    <w:rPr>
      <w:rFonts w:ascii="宋体" w:hAnsi="宋体" w:cs="宋体"/>
      <w:color w:val="000000"/>
      <w:sz w:val="26"/>
      <w:szCs w:val="26"/>
    </w:rPr>
  </w:style>
  <w:style w:type="paragraph" w:customStyle="1" w:styleId="124">
    <w:name w:val="Heading #4|1"/>
    <w:basedOn w:val="1"/>
    <w:link w:val="125"/>
    <w:autoRedefine/>
    <w:qFormat/>
    <w:uiPriority w:val="0"/>
    <w:pPr>
      <w:spacing w:line="623" w:lineRule="exact"/>
      <w:ind w:left="1640" w:firstLine="0" w:firstLineChars="0"/>
      <w:jc w:val="left"/>
      <w:outlineLvl w:val="3"/>
    </w:pPr>
    <w:rPr>
      <w:rFonts w:ascii="宋体" w:hAnsi="宋体" w:cs="宋体"/>
      <w:color w:val="000000"/>
      <w:kern w:val="0"/>
      <w:sz w:val="32"/>
      <w:szCs w:val="32"/>
      <w:lang w:val="en-US"/>
    </w:rPr>
  </w:style>
  <w:style w:type="character" w:customStyle="1" w:styleId="125">
    <w:name w:val="Heading #4|1_"/>
    <w:basedOn w:val="41"/>
    <w:link w:val="124"/>
    <w:autoRedefine/>
    <w:qFormat/>
    <w:uiPriority w:val="0"/>
    <w:rPr>
      <w:rFonts w:ascii="宋体" w:hAnsi="宋体" w:cs="宋体"/>
      <w:color w:val="000000"/>
      <w:sz w:val="32"/>
      <w:szCs w:val="32"/>
    </w:rPr>
  </w:style>
  <w:style w:type="character" w:customStyle="1" w:styleId="126">
    <w:name w:val="Header or footer|1_"/>
    <w:basedOn w:val="41"/>
    <w:link w:val="127"/>
    <w:autoRedefine/>
    <w:qFormat/>
    <w:uiPriority w:val="0"/>
    <w:rPr>
      <w:b/>
      <w:bCs/>
      <w:sz w:val="18"/>
      <w:szCs w:val="18"/>
      <w:lang w:val="zh-TW" w:eastAsia="zh-TW" w:bidi="zh-TW"/>
    </w:rPr>
  </w:style>
  <w:style w:type="paragraph" w:customStyle="1" w:styleId="127">
    <w:name w:val="Header or footer|1"/>
    <w:basedOn w:val="1"/>
    <w:link w:val="126"/>
    <w:autoRedefine/>
    <w:qFormat/>
    <w:uiPriority w:val="0"/>
    <w:pPr>
      <w:ind w:firstLine="0" w:firstLineChars="0"/>
      <w:jc w:val="left"/>
    </w:pPr>
    <w:rPr>
      <w:b/>
      <w:bCs/>
      <w:kern w:val="0"/>
      <w:sz w:val="18"/>
      <w:szCs w:val="18"/>
      <w:lang w:val="zh-TW" w:eastAsia="zh-TW" w:bidi="zh-TW"/>
    </w:rPr>
  </w:style>
  <w:style w:type="character" w:customStyle="1" w:styleId="128">
    <w:name w:val="Body text|2_"/>
    <w:basedOn w:val="41"/>
    <w:link w:val="129"/>
    <w:autoRedefine/>
    <w:qFormat/>
    <w:uiPriority w:val="0"/>
    <w:rPr>
      <w:b/>
      <w:bCs/>
      <w:sz w:val="18"/>
      <w:szCs w:val="18"/>
      <w:lang w:val="zh-TW" w:eastAsia="zh-TW" w:bidi="zh-TW"/>
    </w:rPr>
  </w:style>
  <w:style w:type="paragraph" w:customStyle="1" w:styleId="129">
    <w:name w:val="Body text|2"/>
    <w:basedOn w:val="1"/>
    <w:link w:val="128"/>
    <w:autoRedefine/>
    <w:qFormat/>
    <w:uiPriority w:val="0"/>
    <w:pPr>
      <w:spacing w:after="40"/>
      <w:ind w:firstLine="0" w:firstLineChars="0"/>
      <w:jc w:val="center"/>
    </w:pPr>
    <w:rPr>
      <w:b/>
      <w:bCs/>
      <w:kern w:val="0"/>
      <w:sz w:val="18"/>
      <w:szCs w:val="18"/>
      <w:lang w:val="zh-TW" w:eastAsia="zh-TW" w:bidi="zh-TW"/>
    </w:rPr>
  </w:style>
  <w:style w:type="character" w:customStyle="1" w:styleId="130">
    <w:name w:val="Heading #5|1_"/>
    <w:basedOn w:val="41"/>
    <w:link w:val="131"/>
    <w:autoRedefine/>
    <w:qFormat/>
    <w:uiPriority w:val="0"/>
    <w:rPr>
      <w:rFonts w:ascii="宋体" w:hAnsi="宋体" w:cs="宋体"/>
      <w:sz w:val="32"/>
      <w:szCs w:val="32"/>
      <w:lang w:val="zh-TW" w:eastAsia="zh-TW" w:bidi="zh-TW"/>
    </w:rPr>
  </w:style>
  <w:style w:type="paragraph" w:customStyle="1" w:styleId="131">
    <w:name w:val="Heading #5|1"/>
    <w:basedOn w:val="1"/>
    <w:link w:val="130"/>
    <w:autoRedefine/>
    <w:qFormat/>
    <w:uiPriority w:val="0"/>
    <w:pPr>
      <w:spacing w:line="622" w:lineRule="exact"/>
      <w:ind w:left="1150" w:firstLine="0" w:firstLineChars="0"/>
      <w:jc w:val="left"/>
      <w:outlineLvl w:val="4"/>
    </w:pPr>
    <w:rPr>
      <w:rFonts w:ascii="宋体" w:hAnsi="宋体" w:cs="宋体"/>
      <w:kern w:val="0"/>
      <w:sz w:val="32"/>
      <w:szCs w:val="32"/>
      <w:lang w:val="zh-TW" w:eastAsia="zh-TW" w:bidi="zh-TW"/>
    </w:rPr>
  </w:style>
  <w:style w:type="paragraph" w:customStyle="1" w:styleId="132">
    <w:name w:val="nj章标题"/>
    <w:basedOn w:val="1"/>
    <w:next w:val="1"/>
    <w:autoRedefine/>
    <w:qFormat/>
    <w:uiPriority w:val="0"/>
    <w:pPr>
      <w:keepNext/>
      <w:keepLines/>
      <w:spacing w:line="360" w:lineRule="auto"/>
      <w:ind w:left="3261" w:firstLine="0" w:firstLineChars="0"/>
      <w:jc w:val="center"/>
      <w:outlineLvl w:val="0"/>
    </w:pPr>
    <w:rPr>
      <w:rFonts w:ascii="黑体" w:hAnsi="黑体" w:eastAsia="黑体" w:cstheme="minorBidi"/>
      <w:b/>
      <w:bCs/>
      <w:color w:val="000000" w:themeColor="text1"/>
      <w:kern w:val="44"/>
      <w:sz w:val="44"/>
      <w:szCs w:val="32"/>
      <w:lang w:val="en-US"/>
      <w14:textFill>
        <w14:solidFill>
          <w14:schemeClr w14:val="tx1"/>
        </w14:solidFill>
      </w14:textFill>
    </w:rPr>
  </w:style>
  <w:style w:type="paragraph" w:customStyle="1" w:styleId="133">
    <w:name w:val="nj正文"/>
    <w:basedOn w:val="1"/>
    <w:link w:val="134"/>
    <w:autoRedefine/>
    <w:qFormat/>
    <w:uiPriority w:val="0"/>
    <w:pPr>
      <w:widowControl/>
      <w:spacing w:line="360" w:lineRule="auto"/>
      <w:ind w:firstLine="560"/>
      <w:jc w:val="left"/>
    </w:pPr>
    <w:rPr>
      <w:rFonts w:ascii="宋体" w:hAnsiTheme="minorHAnsi" w:cstheme="minorBidi"/>
      <w:color w:val="000000" w:themeColor="text1"/>
      <w:kern w:val="0"/>
      <w:sz w:val="28"/>
      <w:szCs w:val="22"/>
      <w:lang w:val="en-US"/>
      <w14:textFill>
        <w14:solidFill>
          <w14:schemeClr w14:val="tx1"/>
        </w14:solidFill>
      </w14:textFill>
    </w:rPr>
  </w:style>
  <w:style w:type="character" w:customStyle="1" w:styleId="134">
    <w:name w:val="nj正文 字符"/>
    <w:basedOn w:val="41"/>
    <w:link w:val="133"/>
    <w:autoRedefine/>
    <w:qFormat/>
    <w:uiPriority w:val="0"/>
    <w:rPr>
      <w:rFonts w:ascii="宋体" w:hAnsiTheme="minorHAnsi" w:cstheme="minorBidi"/>
      <w:color w:val="000000" w:themeColor="text1"/>
      <w:sz w:val="28"/>
      <w:szCs w:val="22"/>
      <w14:textFill>
        <w14:solidFill>
          <w14:schemeClr w14:val="tx1"/>
        </w14:solidFill>
      </w14:textFill>
    </w:rPr>
  </w:style>
  <w:style w:type="table" w:customStyle="1" w:styleId="135">
    <w:name w:val="网格型11"/>
    <w:basedOn w:val="36"/>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6">
    <w:name w:val="网格型2"/>
    <w:basedOn w:val="36"/>
    <w:autoRedefine/>
    <w:qFormat/>
    <w:uiPriority w:val="99"/>
    <w:rPr>
      <w:rFonts w:eastAsia="Times New Roman"/>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37">
    <w:name w:val="修订2"/>
    <w:autoRedefine/>
    <w:hidden/>
    <w:semiHidden/>
    <w:qFormat/>
    <w:uiPriority w:val="99"/>
    <w:rPr>
      <w:rFonts w:ascii="Times New Roman" w:hAnsi="Times New Roman" w:eastAsia="宋体" w:cs="Times New Roman"/>
      <w:kern w:val="2"/>
      <w:sz w:val="24"/>
      <w:szCs w:val="24"/>
      <w:lang w:val="zh-CN" w:eastAsia="zh-CN" w:bidi="ar-SA"/>
    </w:rPr>
  </w:style>
  <w:style w:type="paragraph" w:customStyle="1" w:styleId="138">
    <w:name w:val="正文缩进1"/>
    <w:basedOn w:val="1"/>
    <w:autoRedefine/>
    <w:qFormat/>
    <w:uiPriority w:val="0"/>
    <w:pPr>
      <w:spacing w:line="440" w:lineRule="exact"/>
      <w:ind w:firstLine="480"/>
      <w:jc w:val="left"/>
    </w:pPr>
    <w:rPr>
      <w:color w:val="000000"/>
      <w:lang w:val="en-US"/>
    </w:rPr>
  </w:style>
  <w:style w:type="paragraph" w:customStyle="1" w:styleId="139">
    <w:name w:val="表题1"/>
    <w:basedOn w:val="1"/>
    <w:autoRedefine/>
    <w:qFormat/>
    <w:uiPriority w:val="0"/>
    <w:pPr>
      <w:spacing w:line="420" w:lineRule="exact"/>
      <w:ind w:firstLine="0" w:firstLineChars="0"/>
      <w:jc w:val="center"/>
    </w:pPr>
    <w:rPr>
      <w:rFonts w:ascii="黑体" w:hAnsi="黑体" w:eastAsia="黑体"/>
      <w:sz w:val="21"/>
      <w:szCs w:val="21"/>
      <w:lang w:val="en-US"/>
    </w:rPr>
  </w:style>
  <w:style w:type="character" w:customStyle="1" w:styleId="140">
    <w:name w:val="正文文本 (2)_"/>
    <w:link w:val="141"/>
    <w:autoRedefine/>
    <w:qFormat/>
    <w:uiPriority w:val="0"/>
    <w:rPr>
      <w:rFonts w:ascii="宋体" w:hAnsi="宋体" w:cs="宋体"/>
      <w:sz w:val="33"/>
      <w:szCs w:val="33"/>
      <w:shd w:val="clear" w:color="auto" w:fill="FFFFFF"/>
      <w:lang w:val="zh-TW"/>
    </w:rPr>
  </w:style>
  <w:style w:type="paragraph" w:customStyle="1" w:styleId="141">
    <w:name w:val="正文文本 (2)"/>
    <w:basedOn w:val="1"/>
    <w:link w:val="140"/>
    <w:autoRedefine/>
    <w:qFormat/>
    <w:uiPriority w:val="0"/>
    <w:pPr>
      <w:shd w:val="clear" w:color="auto" w:fill="FFFFFF"/>
      <w:spacing w:after="300" w:line="0" w:lineRule="atLeast"/>
      <w:ind w:firstLine="560"/>
      <w:jc w:val="center"/>
    </w:pPr>
    <w:rPr>
      <w:rFonts w:ascii="宋体" w:hAnsi="宋体" w:cs="宋体"/>
      <w:kern w:val="0"/>
      <w:sz w:val="33"/>
      <w:szCs w:val="33"/>
      <w:lang w:val="zh-TW"/>
    </w:rPr>
  </w:style>
  <w:style w:type="character" w:customStyle="1" w:styleId="142">
    <w:name w:val="正文文本 (3)_"/>
    <w:link w:val="143"/>
    <w:autoRedefine/>
    <w:qFormat/>
    <w:uiPriority w:val="0"/>
    <w:rPr>
      <w:rFonts w:ascii="宋体" w:hAnsi="宋体" w:cs="宋体"/>
      <w:spacing w:val="-10"/>
      <w:sz w:val="33"/>
      <w:szCs w:val="33"/>
      <w:shd w:val="clear" w:color="auto" w:fill="FFFFFF"/>
    </w:rPr>
  </w:style>
  <w:style w:type="paragraph" w:customStyle="1" w:styleId="143">
    <w:name w:val="正文文本 (3)"/>
    <w:basedOn w:val="1"/>
    <w:link w:val="142"/>
    <w:autoRedefine/>
    <w:qFormat/>
    <w:uiPriority w:val="0"/>
    <w:pPr>
      <w:shd w:val="clear" w:color="auto" w:fill="FFFFFF"/>
      <w:spacing w:before="300" w:after="600" w:line="0" w:lineRule="atLeast"/>
      <w:ind w:firstLine="560"/>
      <w:jc w:val="center"/>
    </w:pPr>
    <w:rPr>
      <w:rFonts w:ascii="宋体" w:hAnsi="宋体" w:cs="宋体"/>
      <w:spacing w:val="-10"/>
      <w:kern w:val="0"/>
      <w:sz w:val="33"/>
      <w:szCs w:val="33"/>
      <w:lang w:val="en-US"/>
    </w:rPr>
  </w:style>
  <w:style w:type="character" w:customStyle="1" w:styleId="144">
    <w:name w:val="正文文本 (3) + 15 pt"/>
    <w:autoRedefine/>
    <w:qFormat/>
    <w:uiPriority w:val="0"/>
    <w:rPr>
      <w:color w:val="000000"/>
      <w:spacing w:val="0"/>
      <w:w w:val="100"/>
      <w:position w:val="0"/>
      <w:sz w:val="30"/>
      <w:szCs w:val="30"/>
      <w:lang w:val="en-US"/>
    </w:rPr>
  </w:style>
  <w:style w:type="character" w:customStyle="1" w:styleId="145">
    <w:name w:val="正文文本 (4)_"/>
    <w:link w:val="146"/>
    <w:autoRedefine/>
    <w:qFormat/>
    <w:uiPriority w:val="0"/>
    <w:rPr>
      <w:rFonts w:ascii="宋体" w:hAnsi="宋体" w:cs="宋体"/>
      <w:sz w:val="28"/>
      <w:szCs w:val="28"/>
      <w:shd w:val="clear" w:color="auto" w:fill="FFFFFF"/>
      <w:lang w:val="zh-TW"/>
    </w:rPr>
  </w:style>
  <w:style w:type="paragraph" w:customStyle="1" w:styleId="146">
    <w:name w:val="正文文本 (4)"/>
    <w:basedOn w:val="1"/>
    <w:link w:val="145"/>
    <w:autoRedefine/>
    <w:qFormat/>
    <w:uiPriority w:val="0"/>
    <w:pPr>
      <w:shd w:val="clear" w:color="auto" w:fill="FFFFFF"/>
      <w:spacing w:before="600" w:after="8280" w:line="0" w:lineRule="atLeast"/>
      <w:ind w:firstLine="560"/>
      <w:jc w:val="center"/>
    </w:pPr>
    <w:rPr>
      <w:rFonts w:ascii="宋体" w:hAnsi="宋体" w:cs="宋体"/>
      <w:kern w:val="0"/>
      <w:sz w:val="28"/>
      <w:szCs w:val="28"/>
      <w:lang w:val="zh-TW"/>
    </w:rPr>
  </w:style>
  <w:style w:type="character" w:customStyle="1" w:styleId="147">
    <w:name w:val="正文文本 (4) + 间距 2 pt"/>
    <w:autoRedefine/>
    <w:qFormat/>
    <w:uiPriority w:val="0"/>
    <w:rPr>
      <w:color w:val="000000"/>
      <w:spacing w:val="50"/>
      <w:w w:val="100"/>
      <w:position w:val="0"/>
      <w:lang w:val="zh-TW"/>
    </w:rPr>
  </w:style>
  <w:style w:type="character" w:customStyle="1" w:styleId="148">
    <w:name w:val="正文文本_"/>
    <w:link w:val="149"/>
    <w:autoRedefine/>
    <w:qFormat/>
    <w:uiPriority w:val="0"/>
    <w:rPr>
      <w:rFonts w:ascii="宋体" w:hAnsi="宋体" w:cs="宋体"/>
      <w:sz w:val="22"/>
      <w:szCs w:val="22"/>
      <w:shd w:val="clear" w:color="auto" w:fill="FFFFFF"/>
      <w:lang w:val="zh-TW"/>
    </w:rPr>
  </w:style>
  <w:style w:type="paragraph" w:customStyle="1" w:styleId="149">
    <w:name w:val="正文文本1"/>
    <w:basedOn w:val="1"/>
    <w:link w:val="148"/>
    <w:autoRedefine/>
    <w:qFormat/>
    <w:uiPriority w:val="0"/>
    <w:pPr>
      <w:shd w:val="clear" w:color="auto" w:fill="FFFFFF"/>
      <w:spacing w:before="8280" w:line="571" w:lineRule="exact"/>
      <w:ind w:firstLine="560"/>
      <w:jc w:val="center"/>
    </w:pPr>
    <w:rPr>
      <w:rFonts w:ascii="宋体" w:hAnsi="宋体" w:cs="宋体"/>
      <w:kern w:val="0"/>
      <w:sz w:val="22"/>
      <w:szCs w:val="22"/>
      <w:lang w:val="zh-TW"/>
    </w:rPr>
  </w:style>
  <w:style w:type="character" w:customStyle="1" w:styleId="150">
    <w:name w:val="正文文本 Exact"/>
    <w:autoRedefine/>
    <w:qFormat/>
    <w:uiPriority w:val="0"/>
    <w:rPr>
      <w:rFonts w:ascii="宋体" w:hAnsi="宋体" w:eastAsia="宋体" w:cs="宋体"/>
      <w:spacing w:val="3"/>
      <w:sz w:val="22"/>
      <w:szCs w:val="22"/>
      <w:u w:val="none"/>
      <w:lang w:val="zh-TW"/>
    </w:rPr>
  </w:style>
  <w:style w:type="character" w:customStyle="1" w:styleId="151">
    <w:name w:val="正文文本 + Trebuchet MS"/>
    <w:autoRedefine/>
    <w:qFormat/>
    <w:uiPriority w:val="0"/>
    <w:rPr>
      <w:rFonts w:ascii="Trebuchet MS" w:hAnsi="Trebuchet MS" w:eastAsia="Trebuchet MS" w:cs="Trebuchet MS"/>
      <w:color w:val="000000"/>
      <w:spacing w:val="5"/>
      <w:w w:val="100"/>
      <w:position w:val="0"/>
      <w:sz w:val="24"/>
      <w:szCs w:val="24"/>
      <w:lang w:val="en-US"/>
    </w:rPr>
  </w:style>
  <w:style w:type="character" w:customStyle="1" w:styleId="152">
    <w:name w:val="正文文本 (4) + 11 pt"/>
    <w:autoRedefine/>
    <w:qFormat/>
    <w:uiPriority w:val="0"/>
    <w:rPr>
      <w:color w:val="000000"/>
      <w:spacing w:val="0"/>
      <w:w w:val="100"/>
      <w:position w:val="0"/>
      <w:sz w:val="22"/>
      <w:szCs w:val="22"/>
      <w:lang w:val="zh-TW"/>
    </w:rPr>
  </w:style>
  <w:style w:type="character" w:customStyle="1" w:styleId="153">
    <w:name w:val="正文文本 (4) + Trebuchet MS"/>
    <w:autoRedefine/>
    <w:qFormat/>
    <w:uiPriority w:val="0"/>
    <w:rPr>
      <w:rFonts w:ascii="Trebuchet MS" w:hAnsi="Trebuchet MS" w:eastAsia="Trebuchet MS" w:cs="Trebuchet MS"/>
      <w:color w:val="000000"/>
      <w:spacing w:val="0"/>
      <w:w w:val="100"/>
      <w:position w:val="0"/>
      <w:sz w:val="26"/>
      <w:szCs w:val="26"/>
      <w:lang w:val="zh-TW"/>
    </w:rPr>
  </w:style>
  <w:style w:type="character" w:customStyle="1" w:styleId="154">
    <w:name w:val="标题 #6_"/>
    <w:link w:val="155"/>
    <w:autoRedefine/>
    <w:qFormat/>
    <w:uiPriority w:val="0"/>
    <w:rPr>
      <w:rFonts w:ascii="宋体" w:hAnsi="宋体" w:cs="宋体"/>
      <w:sz w:val="22"/>
      <w:szCs w:val="22"/>
      <w:shd w:val="clear" w:color="auto" w:fill="FFFFFF"/>
      <w:lang w:val="zh-TW"/>
    </w:rPr>
  </w:style>
  <w:style w:type="paragraph" w:customStyle="1" w:styleId="155">
    <w:name w:val="标题 #61"/>
    <w:basedOn w:val="1"/>
    <w:link w:val="154"/>
    <w:autoRedefine/>
    <w:qFormat/>
    <w:uiPriority w:val="0"/>
    <w:pPr>
      <w:shd w:val="clear" w:color="auto" w:fill="FFFFFF"/>
      <w:spacing w:line="542" w:lineRule="exact"/>
      <w:ind w:firstLine="560"/>
      <w:jc w:val="left"/>
      <w:outlineLvl w:val="5"/>
    </w:pPr>
    <w:rPr>
      <w:rFonts w:ascii="宋体" w:hAnsi="宋体" w:cs="宋体"/>
      <w:kern w:val="0"/>
      <w:sz w:val="22"/>
      <w:szCs w:val="22"/>
      <w:lang w:val="zh-TW"/>
    </w:rPr>
  </w:style>
  <w:style w:type="character" w:customStyle="1" w:styleId="156">
    <w:name w:val="标题 #6"/>
    <w:autoRedefine/>
    <w:qFormat/>
    <w:uiPriority w:val="0"/>
    <w:rPr>
      <w:color w:val="000000"/>
      <w:spacing w:val="0"/>
      <w:w w:val="100"/>
      <w:position w:val="0"/>
      <w:lang w:val="en-US"/>
    </w:rPr>
  </w:style>
  <w:style w:type="character" w:customStyle="1" w:styleId="157">
    <w:name w:val="正文文本 (5)_"/>
    <w:link w:val="158"/>
    <w:autoRedefine/>
    <w:qFormat/>
    <w:uiPriority w:val="0"/>
    <w:rPr>
      <w:rFonts w:ascii="Trebuchet MS" w:hAnsi="Trebuchet MS" w:eastAsia="Trebuchet MS" w:cs="Trebuchet MS"/>
      <w:sz w:val="26"/>
      <w:szCs w:val="26"/>
      <w:shd w:val="clear" w:color="auto" w:fill="FFFFFF"/>
    </w:rPr>
  </w:style>
  <w:style w:type="paragraph" w:customStyle="1" w:styleId="158">
    <w:name w:val="正文文本 (5)"/>
    <w:basedOn w:val="1"/>
    <w:link w:val="157"/>
    <w:autoRedefine/>
    <w:qFormat/>
    <w:uiPriority w:val="0"/>
    <w:pPr>
      <w:shd w:val="clear" w:color="auto" w:fill="FFFFFF"/>
      <w:spacing w:line="0" w:lineRule="atLeast"/>
      <w:ind w:firstLine="560"/>
      <w:jc w:val="left"/>
    </w:pPr>
    <w:rPr>
      <w:rFonts w:ascii="Trebuchet MS" w:hAnsi="Trebuchet MS" w:eastAsia="Trebuchet MS" w:cs="Trebuchet MS"/>
      <w:kern w:val="0"/>
      <w:sz w:val="26"/>
      <w:szCs w:val="26"/>
      <w:lang w:val="en-US"/>
    </w:rPr>
  </w:style>
  <w:style w:type="character" w:customStyle="1" w:styleId="159">
    <w:name w:val="图片标题 Exact"/>
    <w:link w:val="160"/>
    <w:autoRedefine/>
    <w:qFormat/>
    <w:uiPriority w:val="0"/>
    <w:rPr>
      <w:rFonts w:ascii="宋体" w:hAnsi="宋体" w:cs="宋体"/>
      <w:spacing w:val="-18"/>
      <w:sz w:val="9"/>
      <w:szCs w:val="9"/>
      <w:shd w:val="clear" w:color="auto" w:fill="FFFFFF"/>
    </w:rPr>
  </w:style>
  <w:style w:type="paragraph" w:customStyle="1" w:styleId="160">
    <w:name w:val="图片标题"/>
    <w:basedOn w:val="1"/>
    <w:link w:val="159"/>
    <w:autoRedefine/>
    <w:qFormat/>
    <w:uiPriority w:val="0"/>
    <w:pPr>
      <w:shd w:val="clear" w:color="auto" w:fill="FFFFFF"/>
      <w:spacing w:line="48" w:lineRule="exact"/>
      <w:ind w:firstLine="560"/>
      <w:jc w:val="left"/>
    </w:pPr>
    <w:rPr>
      <w:rFonts w:ascii="宋体" w:hAnsi="宋体" w:cs="宋体"/>
      <w:spacing w:val="-18"/>
      <w:kern w:val="0"/>
      <w:sz w:val="9"/>
      <w:szCs w:val="9"/>
      <w:lang w:val="en-US"/>
    </w:rPr>
  </w:style>
  <w:style w:type="character" w:customStyle="1" w:styleId="161">
    <w:name w:val="图片标题 Exact1"/>
    <w:autoRedefine/>
    <w:qFormat/>
    <w:uiPriority w:val="0"/>
    <w:rPr>
      <w:color w:val="000000"/>
      <w:w w:val="100"/>
      <w:position w:val="0"/>
      <w:lang w:val="en-US"/>
    </w:rPr>
  </w:style>
  <w:style w:type="character" w:customStyle="1" w:styleId="162">
    <w:name w:val="图片标题 Exact2"/>
    <w:autoRedefine/>
    <w:qFormat/>
    <w:uiPriority w:val="0"/>
    <w:rPr>
      <w:color w:val="000000"/>
      <w:w w:val="100"/>
      <w:position w:val="0"/>
      <w:lang w:val="zh-CN"/>
    </w:rPr>
  </w:style>
  <w:style w:type="character" w:customStyle="1" w:styleId="163">
    <w:name w:val="图片标题 (2) Exact"/>
    <w:link w:val="164"/>
    <w:autoRedefine/>
    <w:qFormat/>
    <w:uiPriority w:val="0"/>
    <w:rPr>
      <w:rFonts w:ascii="宋体" w:hAnsi="宋体" w:cs="宋体"/>
      <w:spacing w:val="-16"/>
      <w:sz w:val="8"/>
      <w:szCs w:val="8"/>
      <w:shd w:val="clear" w:color="auto" w:fill="FFFFFF"/>
    </w:rPr>
  </w:style>
  <w:style w:type="paragraph" w:customStyle="1" w:styleId="164">
    <w:name w:val="图片标题 (2)"/>
    <w:basedOn w:val="1"/>
    <w:link w:val="163"/>
    <w:autoRedefine/>
    <w:qFormat/>
    <w:uiPriority w:val="0"/>
    <w:pPr>
      <w:shd w:val="clear" w:color="auto" w:fill="FFFFFF"/>
      <w:spacing w:line="48" w:lineRule="exact"/>
      <w:ind w:firstLine="560"/>
      <w:jc w:val="left"/>
    </w:pPr>
    <w:rPr>
      <w:rFonts w:ascii="宋体" w:hAnsi="宋体" w:cs="宋体"/>
      <w:spacing w:val="-16"/>
      <w:kern w:val="0"/>
      <w:sz w:val="8"/>
      <w:szCs w:val="8"/>
      <w:lang w:val="en-US"/>
    </w:rPr>
  </w:style>
  <w:style w:type="character" w:customStyle="1" w:styleId="165">
    <w:name w:val="图片标题 (2) Exact1"/>
    <w:autoRedefine/>
    <w:qFormat/>
    <w:uiPriority w:val="0"/>
    <w:rPr>
      <w:color w:val="000000"/>
      <w:w w:val="100"/>
      <w:position w:val="0"/>
      <w:lang w:val="en-US"/>
    </w:rPr>
  </w:style>
  <w:style w:type="character" w:customStyle="1" w:styleId="166">
    <w:name w:val="图片标题 (2) Exact2"/>
    <w:autoRedefine/>
    <w:qFormat/>
    <w:uiPriority w:val="0"/>
    <w:rPr>
      <w:color w:val="000000"/>
      <w:w w:val="100"/>
      <w:position w:val="0"/>
      <w:lang w:val="en-US"/>
    </w:rPr>
  </w:style>
  <w:style w:type="character" w:customStyle="1" w:styleId="167">
    <w:name w:val="图片标题 (2) Exact3"/>
    <w:autoRedefine/>
    <w:qFormat/>
    <w:uiPriority w:val="0"/>
    <w:rPr>
      <w:color w:val="000000"/>
      <w:w w:val="100"/>
      <w:position w:val="0"/>
      <w:lang w:val="zh-CN"/>
    </w:rPr>
  </w:style>
  <w:style w:type="character" w:customStyle="1" w:styleId="168">
    <w:name w:val="图片标题 (2) + 间距 0 pt Exact"/>
    <w:autoRedefine/>
    <w:qFormat/>
    <w:uiPriority w:val="0"/>
    <w:rPr>
      <w:color w:val="000000"/>
      <w:spacing w:val="0"/>
      <w:w w:val="100"/>
      <w:position w:val="0"/>
      <w:lang w:val="zh-CN"/>
    </w:rPr>
  </w:style>
  <w:style w:type="character" w:customStyle="1" w:styleId="169">
    <w:name w:val="图片标题 (2) Exact4"/>
    <w:autoRedefine/>
    <w:qFormat/>
    <w:uiPriority w:val="0"/>
    <w:rPr>
      <w:color w:val="000000"/>
      <w:w w:val="100"/>
      <w:position w:val="0"/>
      <w:lang w:val="en-US"/>
    </w:rPr>
  </w:style>
  <w:style w:type="character" w:customStyle="1" w:styleId="170">
    <w:name w:val="图片标题 (2) Exact5"/>
    <w:autoRedefine/>
    <w:qFormat/>
    <w:uiPriority w:val="0"/>
    <w:rPr>
      <w:color w:val="000000"/>
      <w:w w:val="100"/>
      <w:position w:val="0"/>
      <w:lang w:val="en-US"/>
    </w:rPr>
  </w:style>
  <w:style w:type="character" w:customStyle="1" w:styleId="171">
    <w:name w:val="图片标题 (3) Exact"/>
    <w:link w:val="172"/>
    <w:autoRedefine/>
    <w:qFormat/>
    <w:uiPriority w:val="0"/>
    <w:rPr>
      <w:rFonts w:ascii="宋体" w:hAnsi="宋体" w:cs="宋体"/>
      <w:spacing w:val="-16"/>
      <w:sz w:val="8"/>
      <w:szCs w:val="8"/>
      <w:shd w:val="clear" w:color="auto" w:fill="FFFFFF"/>
    </w:rPr>
  </w:style>
  <w:style w:type="paragraph" w:customStyle="1" w:styleId="172">
    <w:name w:val="图片标题 (3)"/>
    <w:basedOn w:val="1"/>
    <w:link w:val="171"/>
    <w:autoRedefine/>
    <w:qFormat/>
    <w:uiPriority w:val="0"/>
    <w:pPr>
      <w:shd w:val="clear" w:color="auto" w:fill="FFFFFF"/>
      <w:spacing w:line="0" w:lineRule="atLeast"/>
      <w:ind w:firstLine="560"/>
      <w:jc w:val="left"/>
    </w:pPr>
    <w:rPr>
      <w:rFonts w:ascii="宋体" w:hAnsi="宋体" w:cs="宋体"/>
      <w:spacing w:val="-16"/>
      <w:kern w:val="0"/>
      <w:sz w:val="8"/>
      <w:szCs w:val="8"/>
      <w:lang w:val="en-US"/>
    </w:rPr>
  </w:style>
  <w:style w:type="character" w:customStyle="1" w:styleId="173">
    <w:name w:val="图片标题 (3) Exact1"/>
    <w:autoRedefine/>
    <w:qFormat/>
    <w:uiPriority w:val="0"/>
    <w:rPr>
      <w:color w:val="000000"/>
      <w:w w:val="100"/>
      <w:position w:val="0"/>
      <w:lang w:val="en-US"/>
    </w:rPr>
  </w:style>
  <w:style w:type="character" w:customStyle="1" w:styleId="174">
    <w:name w:val="图片标题 (3) + Malgun Gothic Exact"/>
    <w:autoRedefine/>
    <w:qFormat/>
    <w:uiPriority w:val="0"/>
    <w:rPr>
      <w:rFonts w:ascii="Malgun Gothic" w:hAnsi="Malgun Gothic" w:eastAsia="Malgun Gothic" w:cs="Malgun Gothic"/>
      <w:color w:val="000000"/>
      <w:w w:val="100"/>
      <w:position w:val="0"/>
      <w:lang w:val="en-US"/>
    </w:rPr>
  </w:style>
  <w:style w:type="character" w:customStyle="1" w:styleId="175">
    <w:name w:val="图片标题 (3) Exact2"/>
    <w:autoRedefine/>
    <w:qFormat/>
    <w:uiPriority w:val="0"/>
    <w:rPr>
      <w:color w:val="000000"/>
      <w:w w:val="100"/>
      <w:position w:val="0"/>
      <w:lang w:val="zh-CN"/>
    </w:rPr>
  </w:style>
  <w:style w:type="character" w:customStyle="1" w:styleId="176">
    <w:name w:val="图片标题 (4) Exact"/>
    <w:link w:val="177"/>
    <w:autoRedefine/>
    <w:qFormat/>
    <w:uiPriority w:val="0"/>
    <w:rPr>
      <w:rFonts w:ascii="Malgun Gothic" w:hAnsi="Malgun Gothic" w:eastAsia="Malgun Gothic" w:cs="Malgun Gothic"/>
      <w:spacing w:val="-16"/>
      <w:sz w:val="8"/>
      <w:szCs w:val="8"/>
      <w:shd w:val="clear" w:color="auto" w:fill="FFFFFF"/>
    </w:rPr>
  </w:style>
  <w:style w:type="paragraph" w:customStyle="1" w:styleId="177">
    <w:name w:val="图片标题 (4)"/>
    <w:basedOn w:val="1"/>
    <w:link w:val="176"/>
    <w:autoRedefine/>
    <w:qFormat/>
    <w:uiPriority w:val="0"/>
    <w:pPr>
      <w:shd w:val="clear" w:color="auto" w:fill="FFFFFF"/>
      <w:spacing w:line="0" w:lineRule="atLeast"/>
      <w:ind w:firstLine="560"/>
      <w:jc w:val="left"/>
    </w:pPr>
    <w:rPr>
      <w:rFonts w:ascii="Malgun Gothic" w:hAnsi="Malgun Gothic" w:eastAsia="Malgun Gothic" w:cs="Malgun Gothic"/>
      <w:spacing w:val="-16"/>
      <w:kern w:val="0"/>
      <w:sz w:val="8"/>
      <w:szCs w:val="8"/>
      <w:lang w:val="en-US"/>
    </w:rPr>
  </w:style>
  <w:style w:type="character" w:customStyle="1" w:styleId="178">
    <w:name w:val="图片标题 (4) + SimSun Exact"/>
    <w:autoRedefine/>
    <w:qFormat/>
    <w:uiPriority w:val="0"/>
    <w:rPr>
      <w:rFonts w:ascii="宋体" w:hAnsi="宋体" w:eastAsia="宋体" w:cs="宋体"/>
      <w:color w:val="000000"/>
      <w:w w:val="100"/>
      <w:position w:val="0"/>
      <w:lang w:val="en-US"/>
    </w:rPr>
  </w:style>
  <w:style w:type="character" w:customStyle="1" w:styleId="179">
    <w:name w:val="图片标题 (4) Exact1"/>
    <w:autoRedefine/>
    <w:qFormat/>
    <w:uiPriority w:val="0"/>
    <w:rPr>
      <w:color w:val="000000"/>
      <w:w w:val="100"/>
      <w:position w:val="0"/>
      <w:lang w:val="en-US"/>
    </w:rPr>
  </w:style>
  <w:style w:type="character" w:customStyle="1" w:styleId="180">
    <w:name w:val="图片标题 (4) Exact2"/>
    <w:autoRedefine/>
    <w:qFormat/>
    <w:uiPriority w:val="0"/>
    <w:rPr>
      <w:color w:val="000000"/>
      <w:w w:val="100"/>
      <w:position w:val="0"/>
      <w:lang w:val="zh-CN"/>
    </w:rPr>
  </w:style>
  <w:style w:type="character" w:customStyle="1" w:styleId="181">
    <w:name w:val="图片标题 (3) Exact3"/>
    <w:autoRedefine/>
    <w:qFormat/>
    <w:uiPriority w:val="0"/>
    <w:rPr>
      <w:color w:val="000000"/>
      <w:w w:val="100"/>
      <w:position w:val="0"/>
      <w:lang w:val="en-US"/>
    </w:rPr>
  </w:style>
  <w:style w:type="character" w:customStyle="1" w:styleId="182">
    <w:name w:val="图片标题 (3) + 间距 0 pt Exact"/>
    <w:autoRedefine/>
    <w:qFormat/>
    <w:uiPriority w:val="0"/>
    <w:rPr>
      <w:color w:val="000000"/>
      <w:spacing w:val="-2"/>
      <w:w w:val="100"/>
      <w:position w:val="0"/>
      <w:lang w:val="zh-TW"/>
    </w:rPr>
  </w:style>
  <w:style w:type="character" w:customStyle="1" w:styleId="183">
    <w:name w:val="图片标题 (3) + 间距 0 pt Exact1"/>
    <w:autoRedefine/>
    <w:qFormat/>
    <w:uiPriority w:val="0"/>
    <w:rPr>
      <w:color w:val="000000"/>
      <w:spacing w:val="-2"/>
      <w:w w:val="100"/>
      <w:position w:val="0"/>
      <w:lang w:val="zh-CN"/>
    </w:rPr>
  </w:style>
  <w:style w:type="character" w:customStyle="1" w:styleId="184">
    <w:name w:val="图片标题 (4) Exact3"/>
    <w:autoRedefine/>
    <w:qFormat/>
    <w:uiPriority w:val="0"/>
    <w:rPr>
      <w:color w:val="000000"/>
      <w:w w:val="100"/>
      <w:position w:val="0"/>
      <w:lang w:val="en-US"/>
    </w:rPr>
  </w:style>
  <w:style w:type="character" w:customStyle="1" w:styleId="185">
    <w:name w:val="图片标题 Exact3"/>
    <w:autoRedefine/>
    <w:qFormat/>
    <w:uiPriority w:val="0"/>
    <w:rPr>
      <w:color w:val="000000"/>
      <w:w w:val="100"/>
      <w:position w:val="0"/>
      <w:lang w:val="en-US"/>
    </w:rPr>
  </w:style>
  <w:style w:type="character" w:customStyle="1" w:styleId="186">
    <w:name w:val="图片标题 Exact4"/>
    <w:autoRedefine/>
    <w:qFormat/>
    <w:uiPriority w:val="0"/>
    <w:rPr>
      <w:color w:val="000000"/>
      <w:w w:val="100"/>
      <w:position w:val="0"/>
      <w:lang w:val="zh-TW"/>
    </w:rPr>
  </w:style>
  <w:style w:type="character" w:customStyle="1" w:styleId="187">
    <w:name w:val="图片标题 Exact5"/>
    <w:autoRedefine/>
    <w:qFormat/>
    <w:uiPriority w:val="0"/>
    <w:rPr>
      <w:color w:val="000000"/>
      <w:w w:val="100"/>
      <w:position w:val="0"/>
      <w:lang w:val="en-US"/>
    </w:rPr>
  </w:style>
  <w:style w:type="character" w:customStyle="1" w:styleId="188">
    <w:name w:val="图片标题 Exact6"/>
    <w:autoRedefine/>
    <w:qFormat/>
    <w:uiPriority w:val="0"/>
    <w:rPr>
      <w:color w:val="000000"/>
      <w:w w:val="100"/>
      <w:position w:val="0"/>
      <w:lang w:val="zh-TW"/>
    </w:rPr>
  </w:style>
  <w:style w:type="character" w:customStyle="1" w:styleId="189">
    <w:name w:val="图片标题 Exact7"/>
    <w:autoRedefine/>
    <w:qFormat/>
    <w:uiPriority w:val="0"/>
    <w:rPr>
      <w:color w:val="000000"/>
      <w:w w:val="100"/>
      <w:position w:val="0"/>
      <w:lang w:val="zh-TW"/>
    </w:rPr>
  </w:style>
  <w:style w:type="character" w:customStyle="1" w:styleId="190">
    <w:name w:val="图片标题 Exact8"/>
    <w:autoRedefine/>
    <w:qFormat/>
    <w:uiPriority w:val="0"/>
    <w:rPr>
      <w:color w:val="000000"/>
      <w:w w:val="100"/>
      <w:position w:val="0"/>
      <w:lang w:val="zh-CN"/>
    </w:rPr>
  </w:style>
  <w:style w:type="character" w:customStyle="1" w:styleId="191">
    <w:name w:val="图片标题 Exact9"/>
    <w:autoRedefine/>
    <w:qFormat/>
    <w:uiPriority w:val="0"/>
    <w:rPr>
      <w:color w:val="000000"/>
      <w:w w:val="100"/>
      <w:position w:val="0"/>
      <w:lang w:val="en-US"/>
    </w:rPr>
  </w:style>
  <w:style w:type="character" w:customStyle="1" w:styleId="192">
    <w:name w:val="图片标题 (5) Exact"/>
    <w:link w:val="193"/>
    <w:autoRedefine/>
    <w:qFormat/>
    <w:uiPriority w:val="0"/>
    <w:rPr>
      <w:rFonts w:ascii="宋体" w:hAnsi="宋体" w:cs="宋体"/>
      <w:spacing w:val="-16"/>
      <w:sz w:val="8"/>
      <w:szCs w:val="8"/>
      <w:shd w:val="clear" w:color="auto" w:fill="FFFFFF"/>
    </w:rPr>
  </w:style>
  <w:style w:type="paragraph" w:customStyle="1" w:styleId="193">
    <w:name w:val="图片标题 (5)"/>
    <w:basedOn w:val="1"/>
    <w:link w:val="192"/>
    <w:autoRedefine/>
    <w:qFormat/>
    <w:uiPriority w:val="0"/>
    <w:pPr>
      <w:shd w:val="clear" w:color="auto" w:fill="FFFFFF"/>
      <w:spacing w:line="58" w:lineRule="exact"/>
      <w:ind w:firstLine="320"/>
    </w:pPr>
    <w:rPr>
      <w:rFonts w:ascii="宋体" w:hAnsi="宋体" w:cs="宋体"/>
      <w:spacing w:val="-16"/>
      <w:kern w:val="0"/>
      <w:sz w:val="8"/>
      <w:szCs w:val="8"/>
      <w:lang w:val="en-US"/>
    </w:rPr>
  </w:style>
  <w:style w:type="character" w:customStyle="1" w:styleId="194">
    <w:name w:val="图片标题 (5) + Malgun Gothic Exact"/>
    <w:autoRedefine/>
    <w:qFormat/>
    <w:uiPriority w:val="0"/>
    <w:rPr>
      <w:rFonts w:ascii="Malgun Gothic" w:hAnsi="Malgun Gothic" w:eastAsia="Malgun Gothic" w:cs="Malgun Gothic"/>
      <w:color w:val="000000"/>
      <w:w w:val="100"/>
      <w:position w:val="0"/>
      <w:lang w:val="en-US"/>
    </w:rPr>
  </w:style>
  <w:style w:type="character" w:customStyle="1" w:styleId="195">
    <w:name w:val="图片标题 (5) Exact1"/>
    <w:autoRedefine/>
    <w:qFormat/>
    <w:uiPriority w:val="0"/>
    <w:rPr>
      <w:color w:val="000000"/>
      <w:w w:val="100"/>
      <w:position w:val="0"/>
      <w:lang w:val="en-US"/>
    </w:rPr>
  </w:style>
  <w:style w:type="character" w:customStyle="1" w:styleId="196">
    <w:name w:val="图片标题 (5) + 间距 0 pt Exact"/>
    <w:autoRedefine/>
    <w:qFormat/>
    <w:uiPriority w:val="0"/>
    <w:rPr>
      <w:color w:val="000000"/>
      <w:spacing w:val="-2"/>
      <w:w w:val="100"/>
      <w:position w:val="0"/>
      <w:lang w:val="zh-TW"/>
    </w:rPr>
  </w:style>
  <w:style w:type="character" w:customStyle="1" w:styleId="197">
    <w:name w:val="图片标题 (6) Exact"/>
    <w:link w:val="198"/>
    <w:autoRedefine/>
    <w:qFormat/>
    <w:uiPriority w:val="0"/>
    <w:rPr>
      <w:rFonts w:ascii="宋体" w:hAnsi="宋体" w:cs="宋体"/>
      <w:spacing w:val="-18"/>
      <w:sz w:val="9"/>
      <w:szCs w:val="9"/>
      <w:shd w:val="clear" w:color="auto" w:fill="FFFFFF"/>
      <w:lang w:val="zh-TW"/>
    </w:rPr>
  </w:style>
  <w:style w:type="paragraph" w:customStyle="1" w:styleId="198">
    <w:name w:val="图片标题 (6)"/>
    <w:basedOn w:val="1"/>
    <w:link w:val="197"/>
    <w:autoRedefine/>
    <w:qFormat/>
    <w:uiPriority w:val="0"/>
    <w:pPr>
      <w:shd w:val="clear" w:color="auto" w:fill="FFFFFF"/>
      <w:spacing w:line="0" w:lineRule="atLeast"/>
      <w:ind w:firstLine="560"/>
      <w:jc w:val="left"/>
    </w:pPr>
    <w:rPr>
      <w:rFonts w:ascii="宋体" w:hAnsi="宋体" w:cs="宋体"/>
      <w:spacing w:val="-18"/>
      <w:kern w:val="0"/>
      <w:sz w:val="9"/>
      <w:szCs w:val="9"/>
      <w:lang w:val="zh-TW"/>
    </w:rPr>
  </w:style>
  <w:style w:type="character" w:customStyle="1" w:styleId="199">
    <w:name w:val="图片标题 (6) Exact1"/>
    <w:autoRedefine/>
    <w:qFormat/>
    <w:uiPriority w:val="0"/>
    <w:rPr>
      <w:color w:val="000000"/>
      <w:w w:val="100"/>
      <w:position w:val="0"/>
      <w:lang w:val="zh-CN"/>
    </w:rPr>
  </w:style>
  <w:style w:type="character" w:customStyle="1" w:styleId="200">
    <w:name w:val="图片标题 (6) Exact2"/>
    <w:autoRedefine/>
    <w:qFormat/>
    <w:uiPriority w:val="0"/>
    <w:rPr>
      <w:color w:val="000000"/>
      <w:w w:val="100"/>
      <w:position w:val="0"/>
      <w:lang w:val="zh-TW"/>
    </w:rPr>
  </w:style>
  <w:style w:type="character" w:customStyle="1" w:styleId="201">
    <w:name w:val="正文文本 (6) Exact"/>
    <w:link w:val="202"/>
    <w:autoRedefine/>
    <w:qFormat/>
    <w:uiPriority w:val="0"/>
    <w:rPr>
      <w:rFonts w:ascii="宋体" w:hAnsi="宋体" w:cs="宋体"/>
      <w:spacing w:val="-18"/>
      <w:sz w:val="9"/>
      <w:szCs w:val="9"/>
      <w:shd w:val="clear" w:color="auto" w:fill="FFFFFF"/>
    </w:rPr>
  </w:style>
  <w:style w:type="paragraph" w:customStyle="1" w:styleId="202">
    <w:name w:val="正文文本 (6)"/>
    <w:basedOn w:val="1"/>
    <w:link w:val="201"/>
    <w:autoRedefine/>
    <w:qFormat/>
    <w:uiPriority w:val="0"/>
    <w:pPr>
      <w:shd w:val="clear" w:color="auto" w:fill="FFFFFF"/>
      <w:spacing w:line="0" w:lineRule="atLeast"/>
      <w:ind w:firstLine="560"/>
      <w:jc w:val="left"/>
    </w:pPr>
    <w:rPr>
      <w:rFonts w:ascii="宋体" w:hAnsi="宋体" w:cs="宋体"/>
      <w:spacing w:val="-18"/>
      <w:kern w:val="0"/>
      <w:sz w:val="9"/>
      <w:szCs w:val="9"/>
      <w:lang w:val="en-US"/>
    </w:rPr>
  </w:style>
  <w:style w:type="character" w:customStyle="1" w:styleId="203">
    <w:name w:val="正文文本 (6) Exact1"/>
    <w:autoRedefine/>
    <w:qFormat/>
    <w:uiPriority w:val="0"/>
    <w:rPr>
      <w:color w:val="000000"/>
      <w:w w:val="100"/>
      <w:position w:val="0"/>
      <w:lang w:val="zh-CN"/>
    </w:rPr>
  </w:style>
  <w:style w:type="character" w:customStyle="1" w:styleId="204">
    <w:name w:val="正文文本 (6) Exact2"/>
    <w:autoRedefine/>
    <w:qFormat/>
    <w:uiPriority w:val="0"/>
    <w:rPr>
      <w:color w:val="000000"/>
      <w:w w:val="100"/>
      <w:position w:val="0"/>
      <w:lang w:val="en-US"/>
    </w:rPr>
  </w:style>
  <w:style w:type="character" w:customStyle="1" w:styleId="205">
    <w:name w:val="正文文本 (8) Exact"/>
    <w:link w:val="206"/>
    <w:autoRedefine/>
    <w:qFormat/>
    <w:uiPriority w:val="0"/>
    <w:rPr>
      <w:rFonts w:ascii="宋体" w:hAnsi="宋体" w:cs="宋体"/>
      <w:spacing w:val="-2"/>
      <w:shd w:val="clear" w:color="auto" w:fill="FFFFFF"/>
      <w:lang w:val="zh-TW"/>
    </w:rPr>
  </w:style>
  <w:style w:type="paragraph" w:customStyle="1" w:styleId="206">
    <w:name w:val="正文文本 (8)"/>
    <w:basedOn w:val="1"/>
    <w:link w:val="205"/>
    <w:autoRedefine/>
    <w:qFormat/>
    <w:uiPriority w:val="0"/>
    <w:pPr>
      <w:shd w:val="clear" w:color="auto" w:fill="FFFFFF"/>
      <w:spacing w:line="0" w:lineRule="atLeast"/>
      <w:ind w:firstLine="560"/>
      <w:jc w:val="left"/>
    </w:pPr>
    <w:rPr>
      <w:rFonts w:ascii="宋体" w:hAnsi="宋体" w:cs="宋体"/>
      <w:spacing w:val="-2"/>
      <w:kern w:val="0"/>
      <w:sz w:val="20"/>
      <w:szCs w:val="20"/>
      <w:lang w:val="zh-TW"/>
    </w:rPr>
  </w:style>
  <w:style w:type="character" w:customStyle="1" w:styleId="207">
    <w:name w:val="正文文本 (7)_"/>
    <w:link w:val="208"/>
    <w:autoRedefine/>
    <w:qFormat/>
    <w:uiPriority w:val="0"/>
    <w:rPr>
      <w:rFonts w:ascii="宋体" w:hAnsi="宋体" w:cs="宋体"/>
      <w:spacing w:val="60"/>
      <w:sz w:val="26"/>
      <w:szCs w:val="26"/>
      <w:shd w:val="clear" w:color="auto" w:fill="FFFFFF"/>
      <w:lang w:val="zh-TW"/>
    </w:rPr>
  </w:style>
  <w:style w:type="paragraph" w:customStyle="1" w:styleId="208">
    <w:name w:val="正文文本 (7)1"/>
    <w:basedOn w:val="1"/>
    <w:link w:val="207"/>
    <w:autoRedefine/>
    <w:qFormat/>
    <w:uiPriority w:val="0"/>
    <w:pPr>
      <w:shd w:val="clear" w:color="auto" w:fill="FFFFFF"/>
      <w:spacing w:line="648" w:lineRule="exact"/>
      <w:ind w:firstLine="560"/>
      <w:jc w:val="left"/>
    </w:pPr>
    <w:rPr>
      <w:rFonts w:ascii="宋体" w:hAnsi="宋体" w:cs="宋体"/>
      <w:spacing w:val="60"/>
      <w:kern w:val="0"/>
      <w:sz w:val="26"/>
      <w:szCs w:val="26"/>
      <w:lang w:val="zh-TW"/>
    </w:rPr>
  </w:style>
  <w:style w:type="character" w:customStyle="1" w:styleId="209">
    <w:name w:val="正文文本 (7)"/>
    <w:autoRedefine/>
    <w:qFormat/>
    <w:uiPriority w:val="0"/>
    <w:rPr>
      <w:color w:val="000000"/>
      <w:w w:val="100"/>
      <w:position w:val="0"/>
      <w:lang w:val="zh-TW"/>
    </w:rPr>
  </w:style>
  <w:style w:type="character" w:customStyle="1" w:styleId="210">
    <w:name w:val="页眉或页脚_"/>
    <w:link w:val="211"/>
    <w:autoRedefine/>
    <w:qFormat/>
    <w:uiPriority w:val="0"/>
    <w:rPr>
      <w:rFonts w:ascii="宋体" w:hAnsi="宋体" w:cs="宋体"/>
      <w:b/>
      <w:bCs/>
      <w:spacing w:val="10"/>
      <w:sz w:val="19"/>
      <w:szCs w:val="19"/>
      <w:shd w:val="clear" w:color="auto" w:fill="FFFFFF"/>
      <w:lang w:val="zh-TW"/>
    </w:rPr>
  </w:style>
  <w:style w:type="paragraph" w:customStyle="1" w:styleId="211">
    <w:name w:val="页眉或页脚1"/>
    <w:basedOn w:val="1"/>
    <w:link w:val="210"/>
    <w:autoRedefine/>
    <w:qFormat/>
    <w:uiPriority w:val="0"/>
    <w:pPr>
      <w:shd w:val="clear" w:color="auto" w:fill="FFFFFF"/>
      <w:spacing w:line="0" w:lineRule="atLeast"/>
      <w:ind w:firstLine="560"/>
      <w:jc w:val="left"/>
    </w:pPr>
    <w:rPr>
      <w:rFonts w:ascii="宋体" w:hAnsi="宋体" w:cs="宋体"/>
      <w:b/>
      <w:bCs/>
      <w:spacing w:val="10"/>
      <w:kern w:val="0"/>
      <w:sz w:val="19"/>
      <w:szCs w:val="19"/>
      <w:lang w:val="zh-TW"/>
    </w:rPr>
  </w:style>
  <w:style w:type="character" w:customStyle="1" w:styleId="212">
    <w:name w:val="页眉或页脚"/>
    <w:autoRedefine/>
    <w:qFormat/>
    <w:uiPriority w:val="0"/>
    <w:rPr>
      <w:color w:val="000000"/>
      <w:w w:val="100"/>
      <w:position w:val="0"/>
      <w:lang w:val="zh-TW"/>
    </w:rPr>
  </w:style>
  <w:style w:type="character" w:customStyle="1" w:styleId="213">
    <w:name w:val="目录 + 间距 1 pt"/>
    <w:autoRedefine/>
    <w:qFormat/>
    <w:uiPriority w:val="0"/>
    <w:rPr>
      <w:color w:val="000000"/>
      <w:spacing w:val="20"/>
      <w:w w:val="100"/>
      <w:position w:val="0"/>
      <w:lang w:val="zh-TW"/>
    </w:rPr>
  </w:style>
  <w:style w:type="character" w:customStyle="1" w:styleId="214">
    <w:name w:val="正文文本 (7) + 间距 5 pt"/>
    <w:autoRedefine/>
    <w:qFormat/>
    <w:uiPriority w:val="0"/>
    <w:rPr>
      <w:color w:val="000000"/>
      <w:spacing w:val="100"/>
      <w:w w:val="100"/>
      <w:position w:val="0"/>
      <w:lang w:val="zh-TW"/>
    </w:rPr>
  </w:style>
  <w:style w:type="character" w:customStyle="1" w:styleId="215">
    <w:name w:val="标题 #4_"/>
    <w:link w:val="216"/>
    <w:autoRedefine/>
    <w:qFormat/>
    <w:uiPriority w:val="0"/>
    <w:rPr>
      <w:rFonts w:ascii="宋体" w:hAnsi="宋体" w:cs="宋体"/>
      <w:sz w:val="33"/>
      <w:szCs w:val="33"/>
      <w:shd w:val="clear" w:color="auto" w:fill="FFFFFF"/>
      <w:lang w:val="zh-TW"/>
    </w:rPr>
  </w:style>
  <w:style w:type="paragraph" w:customStyle="1" w:styleId="216">
    <w:name w:val="标题 #41"/>
    <w:basedOn w:val="1"/>
    <w:link w:val="215"/>
    <w:autoRedefine/>
    <w:qFormat/>
    <w:uiPriority w:val="0"/>
    <w:pPr>
      <w:shd w:val="clear" w:color="auto" w:fill="FFFFFF"/>
      <w:spacing w:after="660" w:line="0" w:lineRule="atLeast"/>
      <w:ind w:firstLine="560"/>
      <w:jc w:val="center"/>
      <w:outlineLvl w:val="3"/>
    </w:pPr>
    <w:rPr>
      <w:rFonts w:ascii="宋体" w:hAnsi="宋体" w:cs="宋体"/>
      <w:kern w:val="0"/>
      <w:sz w:val="33"/>
      <w:szCs w:val="33"/>
      <w:lang w:val="zh-TW"/>
    </w:rPr>
  </w:style>
  <w:style w:type="character" w:customStyle="1" w:styleId="217">
    <w:name w:val="标题 #4"/>
    <w:autoRedefine/>
    <w:qFormat/>
    <w:uiPriority w:val="0"/>
    <w:rPr>
      <w:color w:val="000000"/>
      <w:spacing w:val="0"/>
      <w:w w:val="100"/>
      <w:position w:val="0"/>
      <w:lang w:val="zh-TW"/>
    </w:rPr>
  </w:style>
  <w:style w:type="character" w:customStyle="1" w:styleId="218">
    <w:name w:val="标题 #5_"/>
    <w:link w:val="219"/>
    <w:autoRedefine/>
    <w:qFormat/>
    <w:uiPriority w:val="0"/>
    <w:rPr>
      <w:rFonts w:ascii="宋体" w:hAnsi="宋体" w:cs="宋体"/>
      <w:sz w:val="22"/>
      <w:szCs w:val="22"/>
      <w:shd w:val="clear" w:color="auto" w:fill="FFFFFF"/>
      <w:lang w:val="zh-TW"/>
    </w:rPr>
  </w:style>
  <w:style w:type="paragraph" w:customStyle="1" w:styleId="219">
    <w:name w:val="标题 #51"/>
    <w:basedOn w:val="1"/>
    <w:link w:val="218"/>
    <w:autoRedefine/>
    <w:qFormat/>
    <w:uiPriority w:val="0"/>
    <w:pPr>
      <w:shd w:val="clear" w:color="auto" w:fill="FFFFFF"/>
      <w:spacing w:before="660" w:after="240" w:line="0" w:lineRule="atLeast"/>
      <w:ind w:firstLine="560"/>
      <w:jc w:val="left"/>
      <w:outlineLvl w:val="4"/>
    </w:pPr>
    <w:rPr>
      <w:rFonts w:ascii="宋体" w:hAnsi="宋体" w:cs="宋体"/>
      <w:kern w:val="0"/>
      <w:sz w:val="22"/>
      <w:szCs w:val="22"/>
      <w:lang w:val="zh-TW"/>
    </w:rPr>
  </w:style>
  <w:style w:type="character" w:customStyle="1" w:styleId="220">
    <w:name w:val="标题 #5"/>
    <w:autoRedefine/>
    <w:qFormat/>
    <w:uiPriority w:val="0"/>
    <w:rPr>
      <w:color w:val="000000"/>
      <w:spacing w:val="0"/>
      <w:w w:val="100"/>
      <w:position w:val="0"/>
      <w:lang w:val="zh-TW"/>
    </w:rPr>
  </w:style>
  <w:style w:type="character" w:customStyle="1" w:styleId="221">
    <w:name w:val="正文文本 (9)_"/>
    <w:link w:val="222"/>
    <w:autoRedefine/>
    <w:qFormat/>
    <w:uiPriority w:val="0"/>
    <w:rPr>
      <w:rFonts w:ascii="宋体" w:hAnsi="宋体" w:cs="宋体"/>
      <w:sz w:val="22"/>
      <w:szCs w:val="22"/>
      <w:shd w:val="clear" w:color="auto" w:fill="FFFFFF"/>
      <w:lang w:val="zh-TW"/>
    </w:rPr>
  </w:style>
  <w:style w:type="paragraph" w:customStyle="1" w:styleId="222">
    <w:name w:val="正文文本 (9)4"/>
    <w:basedOn w:val="1"/>
    <w:link w:val="221"/>
    <w:autoRedefine/>
    <w:qFormat/>
    <w:uiPriority w:val="0"/>
    <w:pPr>
      <w:shd w:val="clear" w:color="auto" w:fill="FFFFFF"/>
      <w:spacing w:line="475" w:lineRule="exact"/>
      <w:ind w:firstLine="560"/>
      <w:jc w:val="distribute"/>
    </w:pPr>
    <w:rPr>
      <w:rFonts w:ascii="宋体" w:hAnsi="宋体" w:cs="宋体"/>
      <w:kern w:val="0"/>
      <w:sz w:val="22"/>
      <w:szCs w:val="22"/>
      <w:lang w:val="zh-TW"/>
    </w:rPr>
  </w:style>
  <w:style w:type="character" w:customStyle="1" w:styleId="223">
    <w:name w:val="正文文本 (9)"/>
    <w:autoRedefine/>
    <w:qFormat/>
    <w:uiPriority w:val="0"/>
    <w:rPr>
      <w:color w:val="000000"/>
      <w:spacing w:val="0"/>
      <w:w w:val="100"/>
      <w:position w:val="0"/>
      <w:lang w:val="zh-TW"/>
    </w:rPr>
  </w:style>
  <w:style w:type="character" w:customStyle="1" w:styleId="224">
    <w:name w:val="正文文本 + 间距 -2 pt"/>
    <w:autoRedefine/>
    <w:qFormat/>
    <w:uiPriority w:val="0"/>
    <w:rPr>
      <w:color w:val="000000"/>
      <w:spacing w:val="-40"/>
      <w:w w:val="100"/>
      <w:position w:val="0"/>
      <w:lang w:val="zh-TW"/>
    </w:rPr>
  </w:style>
  <w:style w:type="character" w:customStyle="1" w:styleId="225">
    <w:name w:val="正文文本 (10)_"/>
    <w:link w:val="226"/>
    <w:autoRedefine/>
    <w:qFormat/>
    <w:uiPriority w:val="0"/>
    <w:rPr>
      <w:rFonts w:ascii="宋体" w:hAnsi="宋体" w:cs="宋体"/>
      <w:b/>
      <w:bCs/>
      <w:sz w:val="19"/>
      <w:szCs w:val="19"/>
      <w:shd w:val="clear" w:color="auto" w:fill="FFFFFF"/>
      <w:lang w:val="zh-TW"/>
    </w:rPr>
  </w:style>
  <w:style w:type="paragraph" w:customStyle="1" w:styleId="226">
    <w:name w:val="正文文本 (10)1"/>
    <w:basedOn w:val="1"/>
    <w:link w:val="225"/>
    <w:autoRedefine/>
    <w:qFormat/>
    <w:uiPriority w:val="0"/>
    <w:pPr>
      <w:shd w:val="clear" w:color="auto" w:fill="FFFFFF"/>
      <w:spacing w:after="240" w:line="0" w:lineRule="atLeast"/>
      <w:ind w:firstLine="560"/>
      <w:jc w:val="right"/>
    </w:pPr>
    <w:rPr>
      <w:rFonts w:ascii="宋体" w:hAnsi="宋体" w:cs="宋体"/>
      <w:b/>
      <w:bCs/>
      <w:kern w:val="0"/>
      <w:sz w:val="19"/>
      <w:szCs w:val="19"/>
      <w:lang w:val="zh-TW"/>
    </w:rPr>
  </w:style>
  <w:style w:type="character" w:customStyle="1" w:styleId="227">
    <w:name w:val="正文文本 (10)"/>
    <w:autoRedefine/>
    <w:qFormat/>
    <w:uiPriority w:val="0"/>
    <w:rPr>
      <w:color w:val="000000"/>
      <w:spacing w:val="0"/>
      <w:w w:val="100"/>
      <w:position w:val="0"/>
      <w:lang w:val="zh-TW"/>
    </w:rPr>
  </w:style>
  <w:style w:type="character" w:customStyle="1" w:styleId="228">
    <w:name w:val="正文文本 (10) + 非粗体"/>
    <w:autoRedefine/>
    <w:qFormat/>
    <w:uiPriority w:val="0"/>
    <w:rPr>
      <w:b/>
      <w:bCs/>
      <w:color w:val="000000"/>
      <w:spacing w:val="0"/>
      <w:w w:val="100"/>
      <w:position w:val="0"/>
      <w:lang w:val="en-US"/>
    </w:rPr>
  </w:style>
  <w:style w:type="character" w:customStyle="1" w:styleId="229">
    <w:name w:val="标题 #5 + 间距 2 pt"/>
    <w:autoRedefine/>
    <w:qFormat/>
    <w:uiPriority w:val="0"/>
    <w:rPr>
      <w:color w:val="000000"/>
      <w:spacing w:val="40"/>
      <w:w w:val="100"/>
      <w:position w:val="0"/>
      <w:lang w:val="zh-TW"/>
    </w:rPr>
  </w:style>
  <w:style w:type="character" w:customStyle="1" w:styleId="230">
    <w:name w:val="正文文本 + 间距 2 pt"/>
    <w:autoRedefine/>
    <w:qFormat/>
    <w:uiPriority w:val="0"/>
    <w:rPr>
      <w:color w:val="000000"/>
      <w:spacing w:val="40"/>
      <w:w w:val="100"/>
      <w:position w:val="0"/>
      <w:lang w:val="zh-TW"/>
    </w:rPr>
  </w:style>
  <w:style w:type="character" w:customStyle="1" w:styleId="231">
    <w:name w:val="正文文本 (9)1"/>
    <w:autoRedefine/>
    <w:qFormat/>
    <w:uiPriority w:val="0"/>
    <w:rPr>
      <w:color w:val="000000"/>
      <w:spacing w:val="0"/>
      <w:w w:val="100"/>
      <w:position w:val="0"/>
      <w:lang w:val="zh-TW"/>
    </w:rPr>
  </w:style>
  <w:style w:type="character" w:customStyle="1" w:styleId="232">
    <w:name w:val="正文文本 (9)2"/>
    <w:autoRedefine/>
    <w:qFormat/>
    <w:uiPriority w:val="0"/>
    <w:rPr>
      <w:color w:val="000000"/>
      <w:spacing w:val="0"/>
      <w:w w:val="100"/>
      <w:position w:val="0"/>
      <w:lang w:val="zh-CN"/>
    </w:rPr>
  </w:style>
  <w:style w:type="character" w:customStyle="1" w:styleId="233">
    <w:name w:val="正文文本 (9)3"/>
    <w:autoRedefine/>
    <w:qFormat/>
    <w:uiPriority w:val="0"/>
    <w:rPr>
      <w:color w:val="000000"/>
      <w:spacing w:val="0"/>
      <w:w w:val="100"/>
      <w:position w:val="0"/>
      <w:lang w:val="zh-CN"/>
    </w:rPr>
  </w:style>
  <w:style w:type="character" w:customStyle="1" w:styleId="234">
    <w:name w:val="标题 #5 + 间距 3 pt"/>
    <w:autoRedefine/>
    <w:qFormat/>
    <w:uiPriority w:val="0"/>
    <w:rPr>
      <w:color w:val="000000"/>
      <w:spacing w:val="60"/>
      <w:w w:val="100"/>
      <w:position w:val="0"/>
      <w:lang w:val="zh-TW"/>
    </w:rPr>
  </w:style>
  <w:style w:type="character" w:customStyle="1" w:styleId="235">
    <w:name w:val="标题 #5 + 间距 5 pt"/>
    <w:autoRedefine/>
    <w:qFormat/>
    <w:uiPriority w:val="0"/>
    <w:rPr>
      <w:color w:val="000000"/>
      <w:spacing w:val="100"/>
      <w:w w:val="100"/>
      <w:position w:val="0"/>
      <w:lang w:val="zh-TW"/>
    </w:rPr>
  </w:style>
  <w:style w:type="character" w:customStyle="1" w:styleId="236">
    <w:name w:val="标题 #6 + 间距 -1 pt"/>
    <w:autoRedefine/>
    <w:qFormat/>
    <w:uiPriority w:val="0"/>
    <w:rPr>
      <w:color w:val="000000"/>
      <w:spacing w:val="-20"/>
      <w:w w:val="100"/>
      <w:position w:val="0"/>
      <w:lang w:val="zh-TW"/>
    </w:rPr>
  </w:style>
  <w:style w:type="character" w:customStyle="1" w:styleId="237">
    <w:name w:val="标题 #5 + 间距 6 pt"/>
    <w:autoRedefine/>
    <w:qFormat/>
    <w:uiPriority w:val="0"/>
    <w:rPr>
      <w:color w:val="000000"/>
      <w:spacing w:val="130"/>
      <w:w w:val="100"/>
      <w:position w:val="0"/>
      <w:lang w:val="zh-TW"/>
    </w:rPr>
  </w:style>
  <w:style w:type="character" w:customStyle="1" w:styleId="238">
    <w:name w:val="标题 #4 + 间距 2 pt"/>
    <w:autoRedefine/>
    <w:qFormat/>
    <w:uiPriority w:val="0"/>
    <w:rPr>
      <w:color w:val="000000"/>
      <w:spacing w:val="50"/>
      <w:w w:val="100"/>
      <w:position w:val="0"/>
      <w:lang w:val="zh-TW"/>
    </w:rPr>
  </w:style>
  <w:style w:type="character" w:customStyle="1" w:styleId="239">
    <w:name w:val="标题 #4 + 15 pt"/>
    <w:autoRedefine/>
    <w:qFormat/>
    <w:uiPriority w:val="0"/>
    <w:rPr>
      <w:color w:val="000000"/>
      <w:spacing w:val="0"/>
      <w:w w:val="100"/>
      <w:position w:val="0"/>
      <w:sz w:val="30"/>
      <w:szCs w:val="30"/>
      <w:lang w:val="zh-CN"/>
    </w:rPr>
  </w:style>
  <w:style w:type="character" w:customStyle="1" w:styleId="240">
    <w:name w:val="表格标题_"/>
    <w:link w:val="241"/>
    <w:autoRedefine/>
    <w:qFormat/>
    <w:uiPriority w:val="0"/>
    <w:rPr>
      <w:rFonts w:ascii="宋体" w:hAnsi="宋体" w:cs="宋体"/>
      <w:shd w:val="clear" w:color="auto" w:fill="FFFFFF"/>
      <w:lang w:val="zh-TW"/>
    </w:rPr>
  </w:style>
  <w:style w:type="paragraph" w:customStyle="1" w:styleId="241">
    <w:name w:val="表格标题1"/>
    <w:basedOn w:val="1"/>
    <w:link w:val="240"/>
    <w:autoRedefine/>
    <w:qFormat/>
    <w:uiPriority w:val="0"/>
    <w:pPr>
      <w:shd w:val="clear" w:color="auto" w:fill="FFFFFF"/>
      <w:spacing w:line="0" w:lineRule="atLeast"/>
      <w:ind w:firstLine="560"/>
      <w:jc w:val="left"/>
    </w:pPr>
    <w:rPr>
      <w:rFonts w:ascii="宋体" w:hAnsi="宋体" w:cs="宋体"/>
      <w:kern w:val="0"/>
      <w:sz w:val="20"/>
      <w:szCs w:val="20"/>
      <w:lang w:val="zh-TW"/>
    </w:rPr>
  </w:style>
  <w:style w:type="character" w:customStyle="1" w:styleId="242">
    <w:name w:val="表格标题"/>
    <w:autoRedefine/>
    <w:qFormat/>
    <w:uiPriority w:val="0"/>
    <w:rPr>
      <w:color w:val="000000"/>
      <w:spacing w:val="0"/>
      <w:w w:val="100"/>
      <w:position w:val="0"/>
      <w:lang w:val="zh-CN"/>
    </w:rPr>
  </w:style>
  <w:style w:type="character" w:customStyle="1" w:styleId="243">
    <w:name w:val="正文文本 + 10 pt"/>
    <w:autoRedefine/>
    <w:qFormat/>
    <w:uiPriority w:val="0"/>
    <w:rPr>
      <w:color w:val="000000"/>
      <w:spacing w:val="0"/>
      <w:w w:val="100"/>
      <w:position w:val="0"/>
      <w:sz w:val="20"/>
      <w:szCs w:val="20"/>
      <w:lang w:val="zh-TW"/>
    </w:rPr>
  </w:style>
  <w:style w:type="character" w:customStyle="1" w:styleId="244">
    <w:name w:val="正文文本 + 10 pt1"/>
    <w:autoRedefine/>
    <w:qFormat/>
    <w:uiPriority w:val="0"/>
    <w:rPr>
      <w:color w:val="000000"/>
      <w:spacing w:val="0"/>
      <w:w w:val="100"/>
      <w:position w:val="0"/>
      <w:sz w:val="20"/>
      <w:szCs w:val="20"/>
      <w:lang w:val="en-US"/>
    </w:rPr>
  </w:style>
  <w:style w:type="character" w:customStyle="1" w:styleId="245">
    <w:name w:val="正文文本 (11)_"/>
    <w:link w:val="246"/>
    <w:autoRedefine/>
    <w:qFormat/>
    <w:uiPriority w:val="0"/>
    <w:rPr>
      <w:rFonts w:ascii="宋体" w:hAnsi="宋体" w:cs="宋体"/>
      <w:shd w:val="clear" w:color="auto" w:fill="FFFFFF"/>
      <w:lang w:val="zh-TW"/>
    </w:rPr>
  </w:style>
  <w:style w:type="paragraph" w:customStyle="1" w:styleId="246">
    <w:name w:val="正文文本 (11)1"/>
    <w:basedOn w:val="1"/>
    <w:link w:val="245"/>
    <w:autoRedefine/>
    <w:qFormat/>
    <w:uiPriority w:val="0"/>
    <w:pPr>
      <w:shd w:val="clear" w:color="auto" w:fill="FFFFFF"/>
      <w:spacing w:after="180" w:line="0" w:lineRule="atLeast"/>
      <w:ind w:firstLine="560"/>
      <w:jc w:val="center"/>
    </w:pPr>
    <w:rPr>
      <w:rFonts w:ascii="宋体" w:hAnsi="宋体" w:cs="宋体"/>
      <w:kern w:val="0"/>
      <w:sz w:val="20"/>
      <w:szCs w:val="20"/>
      <w:lang w:val="zh-TW"/>
    </w:rPr>
  </w:style>
  <w:style w:type="character" w:customStyle="1" w:styleId="247">
    <w:name w:val="正文文本 (11)"/>
    <w:autoRedefine/>
    <w:qFormat/>
    <w:uiPriority w:val="0"/>
    <w:rPr>
      <w:color w:val="000000"/>
      <w:spacing w:val="0"/>
      <w:w w:val="100"/>
      <w:position w:val="0"/>
      <w:lang w:val="zh-TW"/>
    </w:rPr>
  </w:style>
  <w:style w:type="character" w:customStyle="1" w:styleId="248">
    <w:name w:val="正文文本 + 10 pt2"/>
    <w:autoRedefine/>
    <w:qFormat/>
    <w:uiPriority w:val="0"/>
    <w:rPr>
      <w:color w:val="000000"/>
      <w:spacing w:val="0"/>
      <w:w w:val="100"/>
      <w:position w:val="0"/>
      <w:sz w:val="20"/>
      <w:szCs w:val="20"/>
      <w:lang w:val="zh-CN"/>
    </w:rPr>
  </w:style>
  <w:style w:type="character" w:customStyle="1" w:styleId="249">
    <w:name w:val="正文文本 + 4 pt"/>
    <w:autoRedefine/>
    <w:qFormat/>
    <w:uiPriority w:val="0"/>
    <w:rPr>
      <w:color w:val="000000"/>
      <w:spacing w:val="0"/>
      <w:w w:val="100"/>
      <w:position w:val="0"/>
      <w:sz w:val="8"/>
      <w:szCs w:val="8"/>
      <w:lang w:val="zh-CN"/>
    </w:rPr>
  </w:style>
  <w:style w:type="paragraph" w:customStyle="1" w:styleId="250">
    <w:name w:val="WPSOffice手动目录 1"/>
    <w:autoRedefine/>
    <w:qFormat/>
    <w:uiPriority w:val="0"/>
    <w:rPr>
      <w:rFonts w:ascii="Times New Roman" w:hAnsi="Times New Roman" w:eastAsia="宋体" w:cs="Times New Roman"/>
      <w:lang w:val="en-US" w:eastAsia="zh-CN" w:bidi="ar-SA"/>
    </w:rPr>
  </w:style>
  <w:style w:type="paragraph" w:customStyle="1" w:styleId="251">
    <w:name w:val="WPSOffice手动目录 2"/>
    <w:autoRedefine/>
    <w:qFormat/>
    <w:uiPriority w:val="0"/>
    <w:pPr>
      <w:ind w:left="200" w:leftChars="200"/>
    </w:pPr>
    <w:rPr>
      <w:rFonts w:ascii="Times New Roman" w:hAnsi="Times New Roman" w:eastAsia="宋体" w:cs="Times New Roman"/>
      <w:lang w:val="en-US" w:eastAsia="zh-CN" w:bidi="ar-SA"/>
    </w:rPr>
  </w:style>
  <w:style w:type="table" w:customStyle="1" w:styleId="252">
    <w:name w:val="网格型7"/>
    <w:basedOn w:val="36"/>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53">
    <w:name w:val="TOC 标题2"/>
    <w:basedOn w:val="2"/>
    <w:next w:val="1"/>
    <w:autoRedefine/>
    <w:unhideWhenUsed/>
    <w:qFormat/>
    <w:uiPriority w:val="39"/>
    <w:pPr>
      <w:snapToGrid/>
      <w:spacing w:before="240" w:after="0" w:afterLines="0" w:line="259" w:lineRule="auto"/>
      <w:ind w:left="0" w:firstLine="0"/>
      <w:jc w:val="left"/>
      <w:outlineLvl w:val="9"/>
    </w:pPr>
    <w:rPr>
      <w:rFonts w:asciiTheme="majorHAnsi" w:hAnsiTheme="majorHAnsi" w:eastAsiaTheme="majorEastAsia" w:cstheme="majorBidi"/>
      <w:bCs w:val="0"/>
      <w:color w:val="376092" w:themeColor="accent1" w:themeShade="BF"/>
      <w:kern w:val="0"/>
      <w:szCs w:val="32"/>
    </w:rPr>
  </w:style>
  <w:style w:type="paragraph" w:customStyle="1" w:styleId="254">
    <w:name w:val="修订3"/>
    <w:autoRedefine/>
    <w:hidden/>
    <w:semiHidden/>
    <w:qFormat/>
    <w:uiPriority w:val="99"/>
    <w:rPr>
      <w:rFonts w:ascii="Times New Roman" w:hAnsi="Times New Roman" w:eastAsia="宋体" w:cs="Times New Roman"/>
      <w:kern w:val="2"/>
      <w:sz w:val="24"/>
      <w:szCs w:val="24"/>
      <w:lang w:val="zh-CN" w:eastAsia="zh-CN" w:bidi="ar-SA"/>
    </w:rPr>
  </w:style>
  <w:style w:type="character" w:customStyle="1" w:styleId="255">
    <w:name w:val="font21"/>
    <w:basedOn w:val="41"/>
    <w:autoRedefine/>
    <w:qFormat/>
    <w:uiPriority w:val="0"/>
    <w:rPr>
      <w:rFonts w:hint="eastAsia" w:ascii="宋体" w:hAnsi="宋体" w:eastAsia="宋体"/>
      <w:b/>
      <w:bCs/>
      <w:color w:val="000000"/>
      <w:sz w:val="40"/>
      <w:szCs w:val="40"/>
      <w:u w:val="none"/>
    </w:rPr>
  </w:style>
  <w:style w:type="character" w:customStyle="1" w:styleId="256">
    <w:name w:val="font31"/>
    <w:basedOn w:val="41"/>
    <w:autoRedefine/>
    <w:qFormat/>
    <w:uiPriority w:val="0"/>
    <w:rPr>
      <w:rFonts w:hint="eastAsia" w:ascii="宋体" w:hAnsi="宋体" w:eastAsia="宋体"/>
      <w:color w:val="000000"/>
      <w:sz w:val="40"/>
      <w:szCs w:val="40"/>
      <w:u w:val="none"/>
    </w:rPr>
  </w:style>
  <w:style w:type="character" w:customStyle="1" w:styleId="257">
    <w:name w:val="font41"/>
    <w:basedOn w:val="41"/>
    <w:autoRedefine/>
    <w:qFormat/>
    <w:uiPriority w:val="0"/>
    <w:rPr>
      <w:rFonts w:hint="eastAsia" w:ascii="宋体" w:hAnsi="宋体" w:eastAsia="宋体"/>
      <w:color w:val="000000"/>
      <w:sz w:val="18"/>
      <w:szCs w:val="18"/>
      <w:u w:val="none"/>
    </w:rPr>
  </w:style>
  <w:style w:type="paragraph" w:customStyle="1" w:styleId="258">
    <w:name w:val="正文首行缩进 21"/>
    <w:basedOn w:val="1"/>
    <w:autoRedefine/>
    <w:qFormat/>
    <w:uiPriority w:val="0"/>
    <w:pPr>
      <w:topLinePunct w:val="0"/>
      <w:spacing w:after="0" w:afterLines="0" w:line="680" w:lineRule="exact"/>
      <w:ind w:firstLine="420"/>
    </w:pPr>
    <w:rPr>
      <w:rFonts w:ascii="仿宋_GB2312" w:hAnsi="Calibri" w:eastAsia="仿宋_GB2312"/>
      <w:sz w:val="32"/>
      <w:lang w:val="en-US" w:eastAsia="en-US"/>
    </w:rPr>
  </w:style>
  <w:style w:type="character" w:customStyle="1" w:styleId="259">
    <w:name w:val="font11"/>
    <w:basedOn w:val="41"/>
    <w:autoRedefine/>
    <w:qFormat/>
    <w:uiPriority w:val="0"/>
    <w:rPr>
      <w:rFonts w:ascii="宋体" w:hAnsi="宋体" w:eastAsia="宋体" w:cs="宋体"/>
      <w:b/>
      <w:bCs/>
      <w:color w:val="000000"/>
      <w:sz w:val="18"/>
      <w:szCs w:val="18"/>
      <w:u w:val="none"/>
    </w:rPr>
  </w:style>
  <w:style w:type="character" w:customStyle="1" w:styleId="260">
    <w:name w:val="font01"/>
    <w:basedOn w:val="41"/>
    <w:autoRedefine/>
    <w:qFormat/>
    <w:uiPriority w:val="0"/>
    <w:rPr>
      <w:rFonts w:ascii="宋体" w:hAnsi="宋体" w:eastAsia="宋体" w:cs="宋体"/>
      <w:color w:val="000000"/>
      <w:sz w:val="18"/>
      <w:szCs w:val="18"/>
      <w:u w:val="none"/>
    </w:rPr>
  </w:style>
  <w:style w:type="character" w:customStyle="1" w:styleId="261">
    <w:name w:val="font51"/>
    <w:basedOn w:val="41"/>
    <w:autoRedefine/>
    <w:qFormat/>
    <w:uiPriority w:val="0"/>
    <w:rPr>
      <w:rFonts w:hint="eastAsia" w:ascii="宋体" w:hAnsi="宋体" w:eastAsia="宋体" w:cs="宋体"/>
      <w:color w:val="000000"/>
      <w:sz w:val="20"/>
      <w:szCs w:val="20"/>
      <w:u w:val="none"/>
    </w:rPr>
  </w:style>
  <w:style w:type="paragraph" w:customStyle="1" w:styleId="262">
    <w:name w:val="附录表标题"/>
    <w:next w:val="263"/>
    <w:autoRedefine/>
    <w:qFormat/>
    <w:uiPriority w:val="0"/>
    <w:pPr>
      <w:numPr>
        <w:ilvl w:val="0"/>
        <w:numId w:val="4"/>
      </w:numPr>
      <w:jc w:val="center"/>
      <w:textAlignment w:val="baseline"/>
    </w:pPr>
    <w:rPr>
      <w:rFonts w:ascii="黑体" w:hAnsi="Times New Roman" w:eastAsia="黑体" w:cs="Times New Roman"/>
      <w:kern w:val="21"/>
      <w:sz w:val="21"/>
      <w:lang w:val="en-US" w:eastAsia="zh-CN" w:bidi="ar-SA"/>
    </w:rPr>
  </w:style>
  <w:style w:type="paragraph" w:customStyle="1" w:styleId="263">
    <w:name w:val="段"/>
    <w:autoRedefine/>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264">
    <w:name w:val="修订4"/>
    <w:autoRedefine/>
    <w:hidden/>
    <w:unhideWhenUsed/>
    <w:qFormat/>
    <w:uiPriority w:val="99"/>
    <w:rPr>
      <w:rFonts w:ascii="Times New Roman" w:hAnsi="Times New Roman" w:eastAsia="宋体" w:cs="Times New Roman"/>
      <w:kern w:val="2"/>
      <w:sz w:val="25"/>
      <w:szCs w:val="24"/>
      <w:lang w:val="zh-CN" w:eastAsia="zh-CN" w:bidi="ar-SA"/>
    </w:rPr>
  </w:style>
  <w:style w:type="character" w:customStyle="1" w:styleId="265">
    <w:name w:val="正文文本 字符"/>
    <w:basedOn w:val="41"/>
    <w:link w:val="17"/>
    <w:autoRedefine/>
    <w:semiHidden/>
    <w:qFormat/>
    <w:uiPriority w:val="0"/>
    <w:rPr>
      <w:kern w:val="2"/>
      <w:sz w:val="25"/>
      <w:szCs w:val="24"/>
      <w:lang w:val="zh-CN"/>
    </w:rPr>
  </w:style>
  <w:style w:type="paragraph" w:customStyle="1" w:styleId="266">
    <w:name w:val="Table Text"/>
    <w:basedOn w:val="1"/>
    <w:autoRedefine/>
    <w:semiHidden/>
    <w:qFormat/>
    <w:uiPriority w:val="0"/>
    <w:rPr>
      <w:rFonts w:ascii="宋体" w:hAnsi="宋体" w:cs="宋体"/>
      <w:sz w:val="21"/>
      <w:szCs w:val="21"/>
      <w:lang w:val="en-US" w:eastAsia="en-US"/>
    </w:rPr>
  </w:style>
  <w:style w:type="table" w:customStyle="1" w:styleId="267">
    <w:name w:val="Table Normal"/>
    <w:autoRedefine/>
    <w:semiHidden/>
    <w:unhideWhenUsed/>
    <w:qFormat/>
    <w:uiPriority w:val="0"/>
    <w:tblPr>
      <w:tblCellMar>
        <w:top w:w="0" w:type="dxa"/>
        <w:left w:w="0" w:type="dxa"/>
        <w:bottom w:w="0" w:type="dxa"/>
        <w:right w:w="0" w:type="dxa"/>
      </w:tblCellMar>
    </w:tblPr>
  </w:style>
  <w:style w:type="paragraph" w:customStyle="1" w:styleId="268">
    <w:name w:val="d-图名"/>
    <w:basedOn w:val="9"/>
    <w:next w:val="1"/>
    <w:autoRedefine/>
    <w:qFormat/>
    <w:uiPriority w:val="0"/>
    <w:pPr>
      <w:numPr>
        <w:ilvl w:val="0"/>
        <w:numId w:val="0"/>
      </w:numPr>
      <w:adjustRightInd/>
      <w:snapToGrid/>
      <w:spacing w:after="166"/>
      <w:outlineLvl w:val="9"/>
    </w:pPr>
    <w:rPr>
      <w:kern w:val="0"/>
      <w:sz w:val="20"/>
      <w:szCs w:val="22"/>
      <w:lang w:val="en-US"/>
    </w:rPr>
  </w:style>
  <w:style w:type="paragraph" w:customStyle="1" w:styleId="269">
    <w:name w:val="text"/>
    <w:basedOn w:val="1"/>
    <w:autoRedefine/>
    <w:qFormat/>
    <w:uiPriority w:val="0"/>
    <w:pPr>
      <w:topLinePunct w:val="0"/>
      <w:spacing w:after="0" w:afterLines="0"/>
    </w:pPr>
    <w:rPr>
      <w:rFonts w:ascii="宋体" w:hAnsi="宋体" w:cs="黑体"/>
      <w:sz w:val="24"/>
      <w:szCs w:val="22"/>
      <w:lang w:val="en-US"/>
    </w:rPr>
  </w:style>
  <w:style w:type="paragraph" w:customStyle="1" w:styleId="270">
    <w:name w:val="表头"/>
    <w:basedOn w:val="1"/>
    <w:autoRedefine/>
    <w:qFormat/>
    <w:uiPriority w:val="0"/>
    <w:pPr>
      <w:topLinePunct w:val="0"/>
      <w:spacing w:before="50" w:beforeLines="50" w:after="0" w:afterLines="0"/>
      <w:ind w:firstLine="0" w:firstLineChars="0"/>
      <w:jc w:val="center"/>
      <w:textAlignment w:val="baseline"/>
    </w:pPr>
    <w:rPr>
      <w:rFonts w:ascii="Cambria" w:hAnsi="Cambria" w:eastAsia="黑体"/>
      <w:spacing w:val="-10"/>
      <w:kern w:val="0"/>
      <w:sz w:val="21"/>
      <w:szCs w:val="28"/>
    </w:rPr>
  </w:style>
</w:styles>
</file>

<file path=word/_rels/document.xml.rels><?xml version="1.0" encoding="UTF-8" standalone="yes"?>
<Relationships xmlns="http://schemas.openxmlformats.org/package/2006/relationships"><Relationship Id="rId99" Type="http://schemas.openxmlformats.org/officeDocument/2006/relationships/image" Target="media/image90.png"/><Relationship Id="rId98" Type="http://schemas.openxmlformats.org/officeDocument/2006/relationships/image" Target="media/image89.png"/><Relationship Id="rId97" Type="http://schemas.openxmlformats.org/officeDocument/2006/relationships/image" Target="media/image88.png"/><Relationship Id="rId96" Type="http://schemas.openxmlformats.org/officeDocument/2006/relationships/image" Target="media/image87.png"/><Relationship Id="rId95" Type="http://schemas.openxmlformats.org/officeDocument/2006/relationships/image" Target="media/image86.png"/><Relationship Id="rId94" Type="http://schemas.openxmlformats.org/officeDocument/2006/relationships/image" Target="media/image85.png"/><Relationship Id="rId93" Type="http://schemas.openxmlformats.org/officeDocument/2006/relationships/image" Target="media/image84.png"/><Relationship Id="rId92" Type="http://schemas.openxmlformats.org/officeDocument/2006/relationships/image" Target="media/image83.png"/><Relationship Id="rId91" Type="http://schemas.openxmlformats.org/officeDocument/2006/relationships/image" Target="media/image82.png"/><Relationship Id="rId90" Type="http://schemas.openxmlformats.org/officeDocument/2006/relationships/image" Target="media/image81.png"/><Relationship Id="rId9" Type="http://schemas.openxmlformats.org/officeDocument/2006/relationships/theme" Target="theme/theme1.xml"/><Relationship Id="rId89" Type="http://schemas.openxmlformats.org/officeDocument/2006/relationships/image" Target="media/image80.png"/><Relationship Id="rId88" Type="http://schemas.openxmlformats.org/officeDocument/2006/relationships/image" Target="media/image79.png"/><Relationship Id="rId87" Type="http://schemas.openxmlformats.org/officeDocument/2006/relationships/image" Target="media/image78.png"/><Relationship Id="rId86" Type="http://schemas.openxmlformats.org/officeDocument/2006/relationships/image" Target="media/image77.png"/><Relationship Id="rId85" Type="http://schemas.openxmlformats.org/officeDocument/2006/relationships/image" Target="media/image76.png"/><Relationship Id="rId84" Type="http://schemas.openxmlformats.org/officeDocument/2006/relationships/image" Target="media/image75.png"/><Relationship Id="rId83" Type="http://schemas.openxmlformats.org/officeDocument/2006/relationships/image" Target="media/image74.png"/><Relationship Id="rId82" Type="http://schemas.openxmlformats.org/officeDocument/2006/relationships/image" Target="media/image73.png"/><Relationship Id="rId81" Type="http://schemas.openxmlformats.org/officeDocument/2006/relationships/image" Target="media/image72.png"/><Relationship Id="rId80" Type="http://schemas.openxmlformats.org/officeDocument/2006/relationships/image" Target="media/image71.png"/><Relationship Id="rId8" Type="http://schemas.openxmlformats.org/officeDocument/2006/relationships/footer" Target="footer3.xml"/><Relationship Id="rId79" Type="http://schemas.openxmlformats.org/officeDocument/2006/relationships/image" Target="media/image70.png"/><Relationship Id="rId78" Type="http://schemas.openxmlformats.org/officeDocument/2006/relationships/image" Target="media/image69.png"/><Relationship Id="rId77" Type="http://schemas.openxmlformats.org/officeDocument/2006/relationships/image" Target="media/image68.png"/><Relationship Id="rId76" Type="http://schemas.openxmlformats.org/officeDocument/2006/relationships/image" Target="media/image67.jpeg"/><Relationship Id="rId75" Type="http://schemas.openxmlformats.org/officeDocument/2006/relationships/image" Target="media/image66.jpeg"/><Relationship Id="rId74" Type="http://schemas.openxmlformats.org/officeDocument/2006/relationships/image" Target="media/image65.jpeg"/><Relationship Id="rId73" Type="http://schemas.openxmlformats.org/officeDocument/2006/relationships/image" Target="media/image64.png"/><Relationship Id="rId72" Type="http://schemas.openxmlformats.org/officeDocument/2006/relationships/image" Target="media/image63.png"/><Relationship Id="rId71" Type="http://schemas.openxmlformats.org/officeDocument/2006/relationships/image" Target="media/image62.png"/><Relationship Id="rId70" Type="http://schemas.openxmlformats.org/officeDocument/2006/relationships/image" Target="media/image61.png"/><Relationship Id="rId7" Type="http://schemas.openxmlformats.org/officeDocument/2006/relationships/footer" Target="footer2.xml"/><Relationship Id="rId69" Type="http://schemas.openxmlformats.org/officeDocument/2006/relationships/image" Target="media/image60.png"/><Relationship Id="rId68" Type="http://schemas.openxmlformats.org/officeDocument/2006/relationships/image" Target="media/image59.png"/><Relationship Id="rId67" Type="http://schemas.openxmlformats.org/officeDocument/2006/relationships/image" Target="media/image58.png"/><Relationship Id="rId66" Type="http://schemas.openxmlformats.org/officeDocument/2006/relationships/image" Target="media/image57.png"/><Relationship Id="rId65" Type="http://schemas.openxmlformats.org/officeDocument/2006/relationships/image" Target="media/image56.png"/><Relationship Id="rId64" Type="http://schemas.openxmlformats.org/officeDocument/2006/relationships/image" Target="media/image55.png"/><Relationship Id="rId63" Type="http://schemas.openxmlformats.org/officeDocument/2006/relationships/image" Target="media/image54.png"/><Relationship Id="rId62" Type="http://schemas.openxmlformats.org/officeDocument/2006/relationships/image" Target="media/image53.png"/><Relationship Id="rId61" Type="http://schemas.openxmlformats.org/officeDocument/2006/relationships/image" Target="media/image52.png"/><Relationship Id="rId60" Type="http://schemas.openxmlformats.org/officeDocument/2006/relationships/image" Target="media/image51.png"/><Relationship Id="rId6" Type="http://schemas.openxmlformats.org/officeDocument/2006/relationships/footer" Target="footer1.xml"/><Relationship Id="rId59" Type="http://schemas.openxmlformats.org/officeDocument/2006/relationships/image" Target="media/image50.png"/><Relationship Id="rId58" Type="http://schemas.openxmlformats.org/officeDocument/2006/relationships/image" Target="media/image49.png"/><Relationship Id="rId57" Type="http://schemas.openxmlformats.org/officeDocument/2006/relationships/image" Target="media/image48.png"/><Relationship Id="rId56" Type="http://schemas.openxmlformats.org/officeDocument/2006/relationships/image" Target="media/image47.png"/><Relationship Id="rId55" Type="http://schemas.openxmlformats.org/officeDocument/2006/relationships/image" Target="media/image46.png"/><Relationship Id="rId54" Type="http://schemas.openxmlformats.org/officeDocument/2006/relationships/image" Target="media/image45.png"/><Relationship Id="rId53" Type="http://schemas.openxmlformats.org/officeDocument/2006/relationships/image" Target="media/image44.png"/><Relationship Id="rId52" Type="http://schemas.openxmlformats.org/officeDocument/2006/relationships/image" Target="media/image43.png"/><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header" Target="header1.xml"/><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endnotes" Target="endnotes.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jpeg"/><Relationship Id="rId31" Type="http://schemas.openxmlformats.org/officeDocument/2006/relationships/image" Target="media/image22.jpeg"/><Relationship Id="rId30" Type="http://schemas.openxmlformats.org/officeDocument/2006/relationships/image" Target="media/image21.png"/><Relationship Id="rId3" Type="http://schemas.openxmlformats.org/officeDocument/2006/relationships/footnotes" Target="footnotes.xml"/><Relationship Id="rId29" Type="http://schemas.openxmlformats.org/officeDocument/2006/relationships/image" Target="media/image20.jpe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jpeg"/><Relationship Id="rId122" Type="http://schemas.openxmlformats.org/officeDocument/2006/relationships/fontTable" Target="fontTable.xml"/><Relationship Id="rId121" Type="http://schemas.microsoft.com/office/2006/relationships/keyMapCustomizations" Target="customizations.xml"/><Relationship Id="rId120" Type="http://schemas.openxmlformats.org/officeDocument/2006/relationships/numbering" Target="numbering.xml"/><Relationship Id="rId12" Type="http://schemas.openxmlformats.org/officeDocument/2006/relationships/image" Target="media/image3.jpeg"/><Relationship Id="rId119" Type="http://schemas.openxmlformats.org/officeDocument/2006/relationships/image" Target="media/image110.png"/><Relationship Id="rId118" Type="http://schemas.openxmlformats.org/officeDocument/2006/relationships/image" Target="media/image109.png"/><Relationship Id="rId117" Type="http://schemas.openxmlformats.org/officeDocument/2006/relationships/image" Target="media/image108.png"/><Relationship Id="rId116" Type="http://schemas.openxmlformats.org/officeDocument/2006/relationships/image" Target="media/image107.jpeg"/><Relationship Id="rId115" Type="http://schemas.openxmlformats.org/officeDocument/2006/relationships/image" Target="media/image106.png"/><Relationship Id="rId114" Type="http://schemas.openxmlformats.org/officeDocument/2006/relationships/image" Target="media/image105.png"/><Relationship Id="rId113" Type="http://schemas.openxmlformats.org/officeDocument/2006/relationships/image" Target="media/image104.png"/><Relationship Id="rId112" Type="http://schemas.openxmlformats.org/officeDocument/2006/relationships/image" Target="media/image103.png"/><Relationship Id="rId111" Type="http://schemas.openxmlformats.org/officeDocument/2006/relationships/image" Target="media/image102.png"/><Relationship Id="rId110" Type="http://schemas.openxmlformats.org/officeDocument/2006/relationships/image" Target="media/image101.png"/><Relationship Id="rId11" Type="http://schemas.openxmlformats.org/officeDocument/2006/relationships/image" Target="media/image2.png"/><Relationship Id="rId109" Type="http://schemas.openxmlformats.org/officeDocument/2006/relationships/image" Target="media/image100.png"/><Relationship Id="rId108" Type="http://schemas.openxmlformats.org/officeDocument/2006/relationships/image" Target="media/image99.png"/><Relationship Id="rId107" Type="http://schemas.openxmlformats.org/officeDocument/2006/relationships/image" Target="media/image98.png"/><Relationship Id="rId106" Type="http://schemas.openxmlformats.org/officeDocument/2006/relationships/image" Target="media/image97.png"/><Relationship Id="rId105" Type="http://schemas.openxmlformats.org/officeDocument/2006/relationships/image" Target="media/image96.png"/><Relationship Id="rId104" Type="http://schemas.openxmlformats.org/officeDocument/2006/relationships/image" Target="media/image95.png"/><Relationship Id="rId103" Type="http://schemas.openxmlformats.org/officeDocument/2006/relationships/image" Target="media/image94.png"/><Relationship Id="rId102" Type="http://schemas.openxmlformats.org/officeDocument/2006/relationships/image" Target="media/image93.png"/><Relationship Id="rId101" Type="http://schemas.openxmlformats.org/officeDocument/2006/relationships/image" Target="media/image92.png"/><Relationship Id="rId100" Type="http://schemas.openxmlformats.org/officeDocument/2006/relationships/image" Target="media/image91.png"/><Relationship Id="rId10" Type="http://schemas.openxmlformats.org/officeDocument/2006/relationships/image" Target="media/image1.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100</Pages>
  <Words>10892</Words>
  <Characters>11915</Characters>
  <Lines>529</Lines>
  <Paragraphs>149</Paragraphs>
  <TotalTime>76</TotalTime>
  <ScaleCrop>false</ScaleCrop>
  <LinksUpToDate>false</LinksUpToDate>
  <CharactersWithSpaces>12037</CharactersWithSpaces>
  <Application>WPS Office_12.1.0.18608_F1E327BC-269C-435d-A152-05C5408002CA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2024-08-01T20:54:00Z</dcterms:created>
  <dc:creator>Chen Zhao</dc:creator>
  <cp:lastModifiedBy>白云张宏钢</cp:lastModifiedBy>
  <cp:lastPrinted>2024-06-29T21:29:00Z</cp:lastPrinted>
  <dcterms:modified xsi:type="dcterms:W3CDTF">2024-12-27T08:31:00Z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DocId">
    <vt:lpwstr>UUD72VCHRZCT-27-2</vt:lpwstr>
  </property>
  <property fmtid="{D5CDD505-2E9C-101B-9397-08002B2CF9AE}" pid="3" name="_dlc_DocIdItemGuid">
    <vt:lpwstr>f5bd89b9-8377-4d83-9209-e2bf7ef8e9f3</vt:lpwstr>
  </property>
  <property fmtid="{D5CDD505-2E9C-101B-9397-08002B2CF9AE}" pid="4" name="_dlc_DocIdUrl">
    <vt:lpwstr>http://giserver/yjs/jyzg/_layouts/DocIdRedir.aspx?ID=UUD72VCHRZCT-27-2, UUD72VCHRZCT-27-2</vt:lpwstr>
  </property>
  <property fmtid="{D5CDD505-2E9C-101B-9397-08002B2CF9AE}" pid="5" name="ContentTypeId">
    <vt:lpwstr>0x0101006A2DF6CBAA96C34C865EB2966A05CBF2</vt:lpwstr>
  </property>
  <property fmtid="{D5CDD505-2E9C-101B-9397-08002B2CF9AE}" pid="6" name="KSOProductBuildVer">
    <vt:lpwstr>2052-12.1.0.18608</vt:lpwstr>
  </property>
  <property fmtid="{D5CDD505-2E9C-101B-9397-08002B2CF9AE}" pid="7" name="ICV">
    <vt:lpwstr>B3A9BA8E44E34E9CB5EA8B84273AE592_13</vt:lpwstr>
  </property>
  <property fmtid="{D5CDD505-2E9C-101B-9397-08002B2CF9AE}" pid="8" name="KSOTemplateDocerSaveRecord">
    <vt:lpwstr>eyJoZGlkIjoiMzlhNjY0YzIzNWE4YzUwNDY5MTAwNzdjZTdmYWY2OTgiLCJ1c2VySWQiOiI0Mzg5NjM3MTAifQ==</vt:lpwstr>
  </property>
</Properties>
</file>