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B18F">
      <w:pPr>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30" w:name="_GoBack"/>
      <w:bookmarkEnd w:id="30"/>
      <w:bookmarkStart w:id="0" w:name="_Toc3448"/>
      <w:bookmarkStart w:id="1" w:name="_Toc10696"/>
    </w:p>
    <w:p w14:paraId="42BFA77C">
      <w:pPr>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36614E2">
      <w:pPr>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D3F096B">
      <w:pPr>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32CB78E">
      <w:pPr>
        <w:spacing w:line="600" w:lineRule="exact"/>
        <w:jc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白府发〔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27号</w:t>
      </w:r>
    </w:p>
    <w:p w14:paraId="5865A63C">
      <w:pPr>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2F2065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关于印发《内蒙古自治区碳达峰试点</w:t>
      </w:r>
    </w:p>
    <w:p w14:paraId="7DCE1F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（白云鄂博矿区）实施方案》的通知</w:t>
      </w:r>
    </w:p>
    <w:p w14:paraId="6C4464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D7661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区委各部门，区直属各机关、企事业单位，各乡镇街道，各人民团体，驻区各单位：</w:t>
      </w:r>
    </w:p>
    <w:p w14:paraId="0B9D1B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184E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按照《内蒙古自治区碳达峰实施方案》(内党发〔2022〕19号)和《内蒙古自治区碳达峰试点建设方案》(内发改环资字〔2024〕1293号)文件要求，结合白云鄂博矿区实际，制定了《内蒙古自治区碳达峰试点(白云鄂博矿区)实施方案》，现将方案印发给你们，请认真贯彻落实。</w:t>
      </w:r>
    </w:p>
    <w:p w14:paraId="54220C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CFB6F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E09420E">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包头市白云鄂博矿区人民政府</w:t>
      </w:r>
    </w:p>
    <w:p w14:paraId="336BBB78">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2025年4月28日</w:t>
      </w:r>
    </w:p>
    <w:p w14:paraId="23B719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E3D4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DFA20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641123B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eastAsia="方正小标宋简体" w:cs="方正小标宋简体"/>
          <w:color w:val="000000" w:themeColor="text1"/>
          <w:spacing w:val="-10"/>
          <w:kern w:val="0"/>
          <w:sz w:val="44"/>
          <w:szCs w:val="44"/>
          <w14:textFill>
            <w14:solidFill>
              <w14:schemeClr w14:val="tx1"/>
            </w14:solidFill>
          </w14:textFill>
        </w:rPr>
      </w:pPr>
      <w:r>
        <w:rPr>
          <w:rFonts w:hint="eastAsia" w:eastAsia="方正小标宋简体" w:cs="方正小标宋简体"/>
          <w:color w:val="000000" w:themeColor="text1"/>
          <w:spacing w:val="-10"/>
          <w:kern w:val="0"/>
          <w:sz w:val="44"/>
          <w:szCs w:val="44"/>
          <w14:textFill>
            <w14:solidFill>
              <w14:schemeClr w14:val="tx1"/>
            </w14:solidFill>
          </w14:textFill>
        </w:rPr>
        <w:t>内蒙古自治区碳达峰试点</w:t>
      </w:r>
    </w:p>
    <w:p w14:paraId="0891C89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eastAsia="方正小标宋简体" w:cs="方正小标宋简体"/>
          <w:color w:val="000000" w:themeColor="text1"/>
          <w:spacing w:val="-10"/>
          <w:kern w:val="0"/>
          <w:sz w:val="44"/>
          <w:szCs w:val="44"/>
          <w14:textFill>
            <w14:solidFill>
              <w14:schemeClr w14:val="tx1"/>
            </w14:solidFill>
          </w14:textFill>
        </w:rPr>
      </w:pPr>
      <w:r>
        <w:rPr>
          <w:rFonts w:hint="eastAsia" w:eastAsia="方正小标宋简体" w:cs="方正小标宋简体"/>
          <w:color w:val="000000" w:themeColor="text1"/>
          <w:spacing w:val="-10"/>
          <w:kern w:val="0"/>
          <w:sz w:val="44"/>
          <w:szCs w:val="44"/>
          <w14:textFill>
            <w14:solidFill>
              <w14:schemeClr w14:val="tx1"/>
            </w14:solidFill>
          </w14:textFill>
        </w:rPr>
        <w:t>（白云鄂博矿区）实施方案</w:t>
      </w:r>
      <w:bookmarkEnd w:id="0"/>
      <w:bookmarkEnd w:id="1"/>
    </w:p>
    <w:p w14:paraId="5BC8E9AC">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000000" w:themeColor="text1"/>
          <w:spacing w:val="-10"/>
          <w:kern w:val="0"/>
          <w:sz w:val="32"/>
          <w:szCs w:val="32"/>
          <w14:textFill>
            <w14:solidFill>
              <w14:schemeClr w14:val="tx1"/>
            </w14:solidFill>
          </w14:textFill>
        </w:rPr>
      </w:pPr>
    </w:p>
    <w:p w14:paraId="45B95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党中央、国务院关于碳达峰碳中和的重大战略决策部署，落实中共中央、国务院《关于加快经济社会发展全面绿色转型的意见》以及国家发展改革委等部门《关于支持内蒙古绿色低碳高质量发展若干措施的通知》（发改环资〔2024〕379号） 等文件的要求，按照《内蒙古自治区碳达峰实施方案》（内党发〔2022〕19号）《内蒙古自治区碳达峰试点建设方案》（内发改环资字〔2024〕1293号）和《国家碳达峰城市试点（包头）实施方案》等有关工作安排，以铸牢中华民族共同体意识为主线，加快促进经济社会发展全面绿色转型，积极推动包头市国家碳达峰试点工作，助力白云鄂博矿区（以下简称“白云矿区”）建设好“两个稀土基地”、充分发挥建设国家重要战略资源基地</w:t>
      </w:r>
      <w:r>
        <w:rPr>
          <w:rFonts w:hint="eastAsia" w:eastAsia="仿宋_GB2312" w:cs="仿宋_GB2312"/>
          <w:color w:val="000000" w:themeColor="text1"/>
          <w:sz w:val="32"/>
          <w:szCs w:val="32"/>
          <w14:textFill>
            <w14:solidFill>
              <w14:schemeClr w14:val="tx1"/>
            </w14:solidFill>
          </w14:textFill>
        </w:rPr>
        <w:t>“主阵地”作用，结合实际，制定本方案。</w:t>
      </w:r>
    </w:p>
    <w:p w14:paraId="72DB6D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eastAsia="黑体" w:cs="黑体"/>
          <w:b/>
          <w:bCs/>
          <w:color w:val="000000" w:themeColor="text1"/>
          <w:kern w:val="0"/>
          <w:sz w:val="32"/>
          <w:szCs w:val="32"/>
          <w14:textFill>
            <w14:solidFill>
              <w14:schemeClr w14:val="tx1"/>
            </w14:solidFill>
          </w14:textFill>
        </w:rPr>
      </w:pPr>
      <w:bookmarkStart w:id="2" w:name="_Toc32748"/>
      <w:bookmarkStart w:id="3" w:name="_Toc22303"/>
      <w:r>
        <w:rPr>
          <w:rFonts w:hint="eastAsia" w:eastAsia="黑体" w:cs="黑体"/>
          <w:b/>
          <w:bCs/>
          <w:color w:val="000000" w:themeColor="text1"/>
          <w:kern w:val="0"/>
          <w:sz w:val="32"/>
          <w:szCs w:val="32"/>
          <w14:textFill>
            <w14:solidFill>
              <w14:schemeClr w14:val="tx1"/>
            </w14:solidFill>
          </w14:textFill>
        </w:rPr>
        <w:t>一、指导思想</w:t>
      </w:r>
      <w:bookmarkEnd w:id="2"/>
      <w:bookmarkEnd w:id="3"/>
    </w:p>
    <w:p w14:paraId="67118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以习近平新时代中国特色社会主义思想为指导，全面贯彻党的二十大和二十届二中、三中全会精神，深入贯彻习近平经济思想和生态文明思想，完整、准确、全面贯彻新发展理念，加快构建新发展格局。按照国家碳达峰碳中和工作总体部署和碳达峰试点建设有关要求，</w:t>
      </w:r>
      <w:r>
        <w:rPr>
          <w:rFonts w:hint="eastAsia" w:ascii="仿宋_GB2312" w:hAnsi="仿宋_GB2312" w:eastAsia="仿宋_GB2312" w:cs="仿宋_GB2312"/>
          <w:color w:val="000000" w:themeColor="text1"/>
          <w:sz w:val="32"/>
          <w:szCs w:val="32"/>
          <w:lang w:eastAsia="zh"/>
          <w14:textFill>
            <w14:solidFill>
              <w14:schemeClr w14:val="tx1"/>
            </w14:solidFill>
          </w14:textFill>
        </w:rPr>
        <w:t>依托</w:t>
      </w:r>
      <w:r>
        <w:rPr>
          <w:rFonts w:hint="eastAsia" w:ascii="仿宋_GB2312" w:hAnsi="仿宋_GB2312" w:eastAsia="仿宋_GB2312" w:cs="仿宋_GB2312"/>
          <w:color w:val="000000" w:themeColor="text1"/>
          <w:sz w:val="32"/>
          <w:szCs w:val="32"/>
          <w14:textFill>
            <w14:solidFill>
              <w14:schemeClr w14:val="tx1"/>
            </w14:solidFill>
          </w14:textFill>
        </w:rPr>
        <w:t>包头市</w:t>
      </w:r>
      <w:r>
        <w:rPr>
          <w:rFonts w:hint="eastAsia" w:ascii="仿宋_GB2312" w:hAnsi="仿宋_GB2312" w:eastAsia="仿宋_GB2312" w:cs="仿宋_GB2312"/>
          <w:color w:val="000000" w:themeColor="text1"/>
          <w:sz w:val="32"/>
          <w:szCs w:val="32"/>
          <w:lang w:eastAsia="zh"/>
          <w14:textFill>
            <w14:solidFill>
              <w14:schemeClr w14:val="tx1"/>
            </w14:solidFill>
          </w14:textFill>
        </w:rPr>
        <w:t>作为</w:t>
      </w:r>
      <w:r>
        <w:rPr>
          <w:rFonts w:hint="eastAsia" w:ascii="仿宋_GB2312" w:hAnsi="仿宋_GB2312" w:eastAsia="仿宋_GB2312" w:cs="仿宋_GB2312"/>
          <w:color w:val="000000" w:themeColor="text1"/>
          <w:sz w:val="32"/>
          <w:szCs w:val="32"/>
          <w14:textFill>
            <w14:solidFill>
              <w14:schemeClr w14:val="tx1"/>
            </w14:solidFill>
          </w14:textFill>
        </w:rPr>
        <w:t>国家碳达峰试点</w:t>
      </w:r>
      <w:r>
        <w:rPr>
          <w:rFonts w:hint="eastAsia" w:ascii="仿宋_GB2312" w:hAnsi="仿宋_GB2312" w:eastAsia="仿宋_GB2312" w:cs="仿宋_GB2312"/>
          <w:color w:val="000000" w:themeColor="text1"/>
          <w:sz w:val="32"/>
          <w:szCs w:val="32"/>
          <w:lang w:eastAsia="zh"/>
          <w14:textFill>
            <w14:solidFill>
              <w14:schemeClr w14:val="tx1"/>
            </w14:solidFill>
          </w14:textFill>
        </w:rPr>
        <w:t>的有效经验</w:t>
      </w:r>
      <w:r>
        <w:rPr>
          <w:rFonts w:hint="eastAsia" w:ascii="仿宋_GB2312" w:hAnsi="仿宋_GB2312" w:eastAsia="仿宋_GB2312" w:cs="仿宋_GB2312"/>
          <w:color w:val="000000" w:themeColor="text1"/>
          <w:sz w:val="32"/>
          <w:szCs w:val="32"/>
          <w14:textFill>
            <w14:solidFill>
              <w14:schemeClr w14:val="tx1"/>
            </w14:solidFill>
          </w14:textFill>
        </w:rPr>
        <w:t>，以铸牢中华民族共同体意识为主线，充分发挥白云矿区绿电发电与用电平衡</w:t>
      </w:r>
      <w:r>
        <w:rPr>
          <w:rFonts w:hint="eastAsia" w:ascii="仿宋_GB2312" w:hAnsi="仿宋_GB2312" w:eastAsia="仿宋_GB2312" w:cs="仿宋_GB2312"/>
          <w:color w:val="000000" w:themeColor="text1"/>
          <w:sz w:val="32"/>
          <w:szCs w:val="32"/>
          <w:lang w:eastAsia="zh"/>
          <w14:textFill>
            <w14:solidFill>
              <w14:schemeClr w14:val="tx1"/>
            </w14:solidFill>
          </w14:textFill>
        </w:rPr>
        <w:t>、经济高位增速能耗逐年下降的</w:t>
      </w:r>
      <w:r>
        <w:rPr>
          <w:rFonts w:hint="eastAsia" w:ascii="仿宋_GB2312" w:hAnsi="仿宋_GB2312" w:eastAsia="仿宋_GB2312" w:cs="仿宋_GB2312"/>
          <w:color w:val="000000" w:themeColor="text1"/>
          <w:sz w:val="32"/>
          <w:szCs w:val="32"/>
          <w14:textFill>
            <w14:solidFill>
              <w14:schemeClr w14:val="tx1"/>
            </w14:solidFill>
          </w14:textFill>
        </w:rPr>
        <w:t>优势，坚定不移走生态优先、绿色发展的高质量发展新路，以内蒙古自治区碳达峰试点建设为抓手，以能源结构调整和产业结构优化为主线，以绿色低碳科技创新为动力，聚焦能源利用效率提升和重点工业行业碳达峰，促进白云矿区经济社会发展全面绿色转型，探索资源型县域绿色低碳转型发展经验模式。</w:t>
      </w:r>
    </w:p>
    <w:p w14:paraId="279F08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eastAsia="黑体" w:cs="黑体"/>
          <w:b/>
          <w:bCs/>
          <w:color w:val="000000" w:themeColor="text1"/>
          <w:kern w:val="0"/>
          <w:sz w:val="32"/>
          <w:szCs w:val="32"/>
          <w14:textFill>
            <w14:solidFill>
              <w14:schemeClr w14:val="tx1"/>
            </w14:solidFill>
          </w14:textFill>
        </w:rPr>
      </w:pPr>
      <w:bookmarkStart w:id="4" w:name="_Toc16091"/>
      <w:bookmarkStart w:id="5" w:name="_Toc27716"/>
      <w:r>
        <w:rPr>
          <w:rFonts w:hint="eastAsia" w:eastAsia="黑体" w:cs="黑体"/>
          <w:b/>
          <w:bCs/>
          <w:color w:val="000000" w:themeColor="text1"/>
          <w:kern w:val="0"/>
          <w:sz w:val="32"/>
          <w:szCs w:val="32"/>
          <w14:textFill>
            <w14:solidFill>
              <w14:schemeClr w14:val="tx1"/>
            </w14:solidFill>
          </w14:textFill>
        </w:rPr>
        <w:t>二、基本原则</w:t>
      </w:r>
      <w:bookmarkEnd w:id="4"/>
      <w:bookmarkEnd w:id="5"/>
    </w:p>
    <w:p w14:paraId="1B0DC7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b/>
          <w:bCs/>
          <w:color w:val="000000" w:themeColor="text1"/>
          <w:sz w:val="32"/>
          <w:szCs w:val="32"/>
          <w14:textFill>
            <w14:solidFill>
              <w14:schemeClr w14:val="tx1"/>
            </w14:solidFill>
          </w14:textFill>
        </w:rPr>
        <w:t>低碳引领，创新驱动。</w:t>
      </w:r>
      <w:r>
        <w:rPr>
          <w:rFonts w:hint="eastAsia" w:eastAsia="仿宋_GB2312" w:cs="仿宋_GB2312"/>
          <w:color w:val="000000" w:themeColor="text1"/>
          <w:sz w:val="32"/>
          <w:szCs w:val="32"/>
          <w14:textFill>
            <w14:solidFill>
              <w14:schemeClr w14:val="tx1"/>
            </w14:solidFill>
          </w14:textFill>
        </w:rPr>
        <w:t>依托白云矿区自身资源和社会经济条件，先试先行，形成经验，以点带面，多领域多层次推动低碳、近零碳、零碳发展，形成示范带动效应。坚持以</w:t>
      </w:r>
      <w:r>
        <w:rPr>
          <w:rFonts w:hint="eastAsia" w:eastAsia="仿宋_GB2312" w:cs="仿宋_GB2312"/>
          <w:color w:val="000000" w:themeColor="text1"/>
          <w:sz w:val="32"/>
          <w:szCs w:val="32"/>
          <w:lang w:eastAsia="zh-CN"/>
          <w14:textFill>
            <w14:solidFill>
              <w14:schemeClr w14:val="tx1"/>
            </w14:solidFill>
          </w14:textFill>
        </w:rPr>
        <w:t>创新</w:t>
      </w:r>
      <w:r>
        <w:rPr>
          <w:rFonts w:hint="eastAsia" w:eastAsia="仿宋_GB2312" w:cs="仿宋_GB2312"/>
          <w:color w:val="000000" w:themeColor="text1"/>
          <w:sz w:val="32"/>
          <w:szCs w:val="32"/>
          <w14:textFill>
            <w14:solidFill>
              <w14:schemeClr w14:val="tx1"/>
            </w14:solidFill>
          </w14:textFill>
        </w:rPr>
        <w:t>驱动发展，强化科技和制度创新，深化能源和相关领域改革，健全激励和约束机制。</w:t>
      </w:r>
    </w:p>
    <w:p w14:paraId="7AB93FF9">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color w:val="000000" w:themeColor="text1"/>
          <w14:textFill>
            <w14:solidFill>
              <w14:schemeClr w14:val="tx1"/>
            </w14:solidFill>
          </w14:textFill>
        </w:rPr>
      </w:pPr>
      <w:r>
        <w:rPr>
          <w:rFonts w:hint="eastAsia" w:eastAsia="仿宋_GB2312" w:cs="仿宋_GB2312"/>
          <w:b/>
          <w:bCs/>
          <w:color w:val="000000" w:themeColor="text1"/>
          <w:sz w:val="32"/>
          <w:szCs w:val="32"/>
          <w14:textFill>
            <w14:solidFill>
              <w14:schemeClr w14:val="tx1"/>
            </w14:solidFill>
          </w14:textFill>
        </w:rPr>
        <w:t>节能增效，清洁替代。</w:t>
      </w:r>
      <w:r>
        <w:rPr>
          <w:rFonts w:hint="eastAsia" w:eastAsia="仿宋_GB2312" w:cs="仿宋_GB2312"/>
          <w:color w:val="000000" w:themeColor="text1"/>
          <w:sz w:val="32"/>
          <w:szCs w:val="32"/>
          <w14:textFill>
            <w14:solidFill>
              <w14:schemeClr w14:val="tx1"/>
            </w14:solidFill>
          </w14:textFill>
        </w:rPr>
        <w:t>落实优先节能降碳方针，加强能效管理，约束引导规范、有序、合理用能，充分发掘节能降碳潜力，强化结构降碳、管理降碳和技术降碳，着力提高能源特别是化石能源的利用效率。</w:t>
      </w:r>
      <w:r>
        <w:rPr>
          <w:rFonts w:hint="eastAsia" w:ascii="仿宋_GB2312" w:eastAsia="仿宋_GB2312"/>
          <w:color w:val="000000" w:themeColor="text1"/>
          <w:sz w:val="32"/>
          <w:szCs w:val="32"/>
          <w14:textFill>
            <w14:solidFill>
              <w14:schemeClr w14:val="tx1"/>
            </w14:solidFill>
          </w14:textFill>
        </w:rPr>
        <w:t>提升产业现代化先进水平，</w:t>
      </w:r>
      <w:r>
        <w:rPr>
          <w:rFonts w:hint="eastAsia" w:ascii="仿宋_GB2312" w:eastAsia="仿宋_GB2312"/>
          <w:bCs/>
          <w:color w:val="000000" w:themeColor="text1"/>
          <w:sz w:val="32"/>
          <w:szCs w:val="32"/>
          <w14:textFill>
            <w14:solidFill>
              <w14:schemeClr w14:val="tx1"/>
            </w14:solidFill>
          </w14:textFill>
        </w:rPr>
        <w:t>对</w:t>
      </w:r>
      <w:r>
        <w:rPr>
          <w:rFonts w:hint="eastAsia" w:ascii="仿宋_GB2312" w:eastAsia="仿宋_GB2312"/>
          <w:color w:val="000000" w:themeColor="text1"/>
          <w:sz w:val="32"/>
          <w:szCs w:val="32"/>
          <w14:textFill>
            <w14:solidFill>
              <w14:schemeClr w14:val="tx1"/>
            </w14:solidFill>
          </w14:textFill>
        </w:rPr>
        <w:t>工艺实施清洁化、循环化、低碳化改造，严格控制化石能源消费总量，大力发展绿色能源供给，实施可再生能源替代行动。</w:t>
      </w:r>
    </w:p>
    <w:p w14:paraId="2FD839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b/>
          <w:bCs/>
          <w:color w:val="000000" w:themeColor="text1"/>
          <w:sz w:val="32"/>
          <w:szCs w:val="32"/>
          <w14:textFill>
            <w14:solidFill>
              <w14:schemeClr w14:val="tx1"/>
            </w14:solidFill>
          </w14:textFill>
        </w:rPr>
        <w:t>多元支撑，因地制宜。</w:t>
      </w:r>
      <w:r>
        <w:rPr>
          <w:rFonts w:hint="eastAsia" w:eastAsia="仿宋_GB2312" w:cs="仿宋_GB2312"/>
          <w:color w:val="000000" w:themeColor="text1"/>
          <w:sz w:val="32"/>
          <w:szCs w:val="32"/>
          <w14:textFill>
            <w14:solidFill>
              <w14:schemeClr w14:val="tx1"/>
            </w14:solidFill>
          </w14:textFill>
        </w:rPr>
        <w:t>充分考虑白云矿区自身资源禀赋、产业优势、发展定位等因素，结合白云矿区实际情况提出具有可操作性的碳达峰相关目标与试点建设方案。</w:t>
      </w:r>
      <w:r>
        <w:rPr>
          <w:rFonts w:hint="eastAsia" w:ascii="仿宋_GB2312" w:eastAsia="仿宋_GB2312"/>
          <w:color w:val="000000" w:themeColor="text1"/>
          <w:sz w:val="32"/>
          <w:szCs w:val="32"/>
          <w14:textFill>
            <w14:solidFill>
              <w14:schemeClr w14:val="tx1"/>
            </w14:solidFill>
          </w14:textFill>
        </w:rPr>
        <w:t>推动产业结构、能源结构转型升级，构建多元发展、多极支撑的现代产业体系、现代能源体系，建立覆盖各行业各领域完整的低碳全产业链。</w:t>
      </w:r>
    </w:p>
    <w:p w14:paraId="152B8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b/>
          <w:bCs/>
          <w:color w:val="000000" w:themeColor="text1"/>
          <w:sz w:val="32"/>
          <w:szCs w:val="32"/>
          <w14:textFill>
            <w14:solidFill>
              <w14:schemeClr w14:val="tx1"/>
            </w14:solidFill>
          </w14:textFill>
        </w:rPr>
        <w:t>先立后破，安全降碳。</w:t>
      </w:r>
      <w:r>
        <w:rPr>
          <w:rFonts w:hint="eastAsia" w:eastAsia="仿宋_GB2312" w:cs="仿宋_GB2312"/>
          <w:color w:val="000000" w:themeColor="text1"/>
          <w:sz w:val="32"/>
          <w:szCs w:val="32"/>
          <w14:textFill>
            <w14:solidFill>
              <w14:schemeClr w14:val="tx1"/>
            </w14:solidFill>
          </w14:textFill>
        </w:rPr>
        <w:t>立足于能源的多重属性，发挥白云矿区丰富风光资源，提高非化石能源占比，加快发展绿电直供模式，确保能源结构合理可行，切实保障能源安全、产业链供应链安全、粮食安全和群众正常生产生活，妥善防范和化解试点建设中可能出现的风险挑战，确保安全降碳。</w:t>
      </w:r>
    </w:p>
    <w:p w14:paraId="411762B6">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b/>
          <w:bCs/>
          <w:color w:val="000000" w:themeColor="text1"/>
          <w:sz w:val="32"/>
          <w:szCs w:val="32"/>
          <w14:textFill>
            <w14:solidFill>
              <w14:schemeClr w14:val="tx1"/>
            </w14:solidFill>
          </w14:textFill>
        </w:rPr>
        <w:t>固碳利用，示范先行。</w:t>
      </w:r>
      <w:r>
        <w:rPr>
          <w:rFonts w:hint="eastAsia" w:eastAsia="仿宋_GB2312" w:cs="仿宋_GB2312"/>
          <w:color w:val="000000" w:themeColor="text1"/>
          <w:sz w:val="32"/>
          <w:szCs w:val="32"/>
          <w14:textFill>
            <w14:solidFill>
              <w14:schemeClr w14:val="tx1"/>
            </w14:solidFill>
          </w14:textFill>
        </w:rPr>
        <w:t>加快绿色低碳技术创新攻坚和发展，</w:t>
      </w:r>
      <w:r>
        <w:rPr>
          <w:rFonts w:eastAsia="仿宋_GB2312" w:cs="仿宋_GB2312"/>
          <w:color w:val="000000" w:themeColor="text1"/>
          <w:sz w:val="32"/>
          <w:szCs w:val="32"/>
          <w14:textFill>
            <w14:solidFill>
              <w14:schemeClr w14:val="tx1"/>
            </w14:solidFill>
          </w14:textFill>
        </w:rPr>
        <w:t>聚焦末端治理，组织实施全流程规模化CCUS、二氧化碳先进高效捕集、二氧化碳资源化利用及固碳等末端固碳类示范项目</w:t>
      </w:r>
      <w:r>
        <w:rPr>
          <w:rFonts w:hint="eastAsia" w:eastAsia="仿宋_GB2312" w:cs="仿宋_GB2312"/>
          <w:color w:val="000000" w:themeColor="text1"/>
          <w:sz w:val="32"/>
          <w:szCs w:val="32"/>
          <w14:textFill>
            <w14:solidFill>
              <w14:schemeClr w14:val="tx1"/>
            </w14:solidFill>
          </w14:textFill>
        </w:rPr>
        <w:t>的开发引进力度，坚持系统保护，综合治理，提升生态系统碳汇增量。</w:t>
      </w:r>
    </w:p>
    <w:p w14:paraId="3932A6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eastAsia="黑体" w:cs="黑体"/>
          <w:b/>
          <w:bCs/>
          <w:color w:val="000000" w:themeColor="text1"/>
          <w:kern w:val="0"/>
          <w:sz w:val="32"/>
          <w:szCs w:val="32"/>
          <w14:textFill>
            <w14:solidFill>
              <w14:schemeClr w14:val="tx1"/>
            </w14:solidFill>
          </w14:textFill>
        </w:rPr>
      </w:pPr>
      <w:bookmarkStart w:id="6" w:name="_Toc19114"/>
      <w:bookmarkStart w:id="7" w:name="_Toc15349"/>
      <w:r>
        <w:rPr>
          <w:rFonts w:hint="eastAsia" w:eastAsia="黑体" w:cs="黑体"/>
          <w:b/>
          <w:bCs/>
          <w:color w:val="000000" w:themeColor="text1"/>
          <w:kern w:val="0"/>
          <w:sz w:val="32"/>
          <w:szCs w:val="32"/>
          <w14:textFill>
            <w14:solidFill>
              <w14:schemeClr w14:val="tx1"/>
            </w14:solidFill>
          </w14:textFill>
        </w:rPr>
        <w:t>三、试点目标</w:t>
      </w:r>
      <w:bookmarkEnd w:id="6"/>
      <w:bookmarkEnd w:id="7"/>
    </w:p>
    <w:p w14:paraId="67239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全面落实习近平总书记“一个创新、三个实现”重要指示精神，深入实施创新驱动发展战略，推动能源绿色低碳发展，持续优化产业结构，推进重点行业</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传统行业转型升级，努力实现速度与结构质量效益相统一、经济发展与社会发展相协调、经济社会发展与生态环境相和谐，力争形成向全自治区乃至全国推广节能减排、绿色低碳、可持续发展的“白云鄂博经验”，提升新质生产力，推动高质量发展，谱写“中国式现代化的白云篇章”。</w:t>
      </w:r>
    </w:p>
    <w:p w14:paraId="5CAD0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
          <w14:textFill>
            <w14:solidFill>
              <w14:schemeClr w14:val="tx1"/>
            </w14:solidFill>
          </w14:textFill>
        </w:rPr>
      </w:pPr>
      <w:r>
        <w:rPr>
          <w:rFonts w:hint="eastAsia" w:ascii="仿宋_GB2312" w:hAnsi="仿宋_GB2312" w:eastAsia="仿宋_GB2312" w:cs="仿宋_GB2312"/>
          <w:color w:val="000000" w:themeColor="text1"/>
          <w:sz w:val="32"/>
          <w:szCs w:val="32"/>
          <w:lang w:eastAsia="zh"/>
          <w14:textFill>
            <w14:solidFill>
              <w14:schemeClr w14:val="tx1"/>
            </w14:solidFill>
          </w14:textFill>
        </w:rPr>
        <w:t>到2025年，单位GDP能耗和单位GDP二氧化碳排放量降低率高于自治区平均水平，且不低于包头市下达的目标</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保持快速下降水平</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2025年可再生能源装机目标</w:t>
      </w:r>
      <w:r>
        <w:rPr>
          <w:rFonts w:hint="eastAsia" w:ascii="仿宋_GB2312" w:hAnsi="仿宋_GB2312" w:eastAsia="仿宋_GB2312" w:cs="仿宋_GB2312"/>
          <w:color w:val="000000" w:themeColor="text1"/>
          <w:sz w:val="32"/>
          <w:szCs w:val="32"/>
          <w14:textFill>
            <w14:solidFill>
              <w14:schemeClr w14:val="tx1"/>
            </w14:solidFill>
          </w14:textFill>
        </w:rPr>
        <w:t>达</w:t>
      </w:r>
      <w:r>
        <w:rPr>
          <w:rFonts w:hint="eastAsia" w:ascii="仿宋_GB2312" w:hAnsi="仿宋_GB2312" w:eastAsia="仿宋_GB2312" w:cs="仿宋_GB2312"/>
          <w:color w:val="000000" w:themeColor="text1"/>
          <w:sz w:val="32"/>
          <w:szCs w:val="32"/>
          <w:lang w:eastAsia="zh"/>
          <w14:textFill>
            <w14:solidFill>
              <w14:schemeClr w14:val="tx1"/>
            </w14:solidFill>
          </w14:textFill>
        </w:rPr>
        <w:t>628.31MW。碳达峰碳中和工作取得积极进展，产业结构和能源结构持续优化，重点行业能源利用效率达到国内先进水平，绿色低碳产业比重不断提高，绿色低碳发展政策机制不断完善，绿色生产生活方式成为公众自觉选择，探索形成一批绿色低碳发展经验和模式，形成可操作、可复制、可推广的创新举措和转型经验，碳达峰路径基本清晰，对全自治区的碳达峰工作的示范引领作用初步显现。</w:t>
      </w:r>
    </w:p>
    <w:p w14:paraId="76473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color w:val="000000" w:themeColor="text1"/>
          <w:sz w:val="32"/>
          <w:szCs w:val="32"/>
          <w:lang w:eastAsia="zh"/>
          <w14:textFill>
            <w14:solidFill>
              <w14:schemeClr w14:val="tx1"/>
            </w14:solidFill>
          </w14:textFill>
        </w:rPr>
      </w:pPr>
      <w:bookmarkStart w:id="8" w:name="_Toc12082"/>
      <w:bookmarkStart w:id="9" w:name="_Toc26453"/>
      <w:r>
        <w:rPr>
          <w:rFonts w:hint="eastAsia" w:eastAsia="仿宋_GB2312" w:cs="仿宋_GB2312"/>
          <w:color w:val="000000" w:themeColor="text1"/>
          <w:sz w:val="32"/>
          <w:szCs w:val="32"/>
          <w:lang w:eastAsia="zh"/>
          <w14:textFill>
            <w14:solidFill>
              <w14:schemeClr w14:val="tx1"/>
            </w14:solidFill>
          </w14:textFill>
        </w:rPr>
        <w:t>到2027年，清洁低碳安全高效的现代能源体系基本建立，绿色低碳转型取得显著进展，如期完成实施</w:t>
      </w:r>
      <w:r>
        <w:rPr>
          <w:rFonts w:hint="eastAsia" w:eastAsia="仿宋_GB2312" w:cs="仿宋_GB2312"/>
          <w:color w:val="000000" w:themeColor="text1"/>
          <w:sz w:val="32"/>
          <w:szCs w:val="32"/>
          <w14:textFill>
            <w14:solidFill>
              <w14:schemeClr w14:val="tx1"/>
            </w14:solidFill>
          </w14:textFill>
        </w:rPr>
        <w:t>方案</w:t>
      </w:r>
      <w:r>
        <w:rPr>
          <w:rFonts w:hint="eastAsia" w:eastAsia="仿宋_GB2312" w:cs="仿宋_GB2312"/>
          <w:color w:val="000000" w:themeColor="text1"/>
          <w:sz w:val="32"/>
          <w:szCs w:val="32"/>
          <w:lang w:eastAsia="zh"/>
          <w14:textFill>
            <w14:solidFill>
              <w14:schemeClr w14:val="tx1"/>
            </w14:solidFill>
          </w14:textFill>
        </w:rPr>
        <w:t>中的主要任务、重大工程，单位GDP能耗和单位GDP二氧化碳排放量降低率</w:t>
      </w:r>
      <w:r>
        <w:rPr>
          <w:rFonts w:hint="eastAsia" w:eastAsia="仿宋_GB2312" w:cs="仿宋_GB2312"/>
          <w:color w:val="000000" w:themeColor="text1"/>
          <w:sz w:val="32"/>
          <w:szCs w:val="32"/>
          <w14:textFill>
            <w14:solidFill>
              <w14:schemeClr w14:val="tx1"/>
            </w14:solidFill>
          </w14:textFill>
        </w:rPr>
        <w:t>远</w:t>
      </w:r>
      <w:r>
        <w:rPr>
          <w:rFonts w:hint="eastAsia" w:eastAsia="仿宋_GB2312" w:cs="仿宋_GB2312"/>
          <w:color w:val="000000" w:themeColor="text1"/>
          <w:sz w:val="32"/>
          <w:szCs w:val="32"/>
          <w:lang w:eastAsia="zh"/>
          <w14:textFill>
            <w14:solidFill>
              <w14:schemeClr w14:val="tx1"/>
            </w14:solidFill>
          </w14:textFill>
        </w:rPr>
        <w:t>高于自治区平均水平</w:t>
      </w:r>
      <w:r>
        <w:rPr>
          <w:rFonts w:hint="eastAsia" w:eastAsia="仿宋_GB2312" w:cs="仿宋_GB2312"/>
          <w:color w:val="000000" w:themeColor="text1"/>
          <w:sz w:val="32"/>
          <w:szCs w:val="32"/>
          <w14:textFill>
            <w14:solidFill>
              <w14:schemeClr w14:val="tx1"/>
            </w14:solidFill>
          </w14:textFill>
        </w:rPr>
        <w:t>和</w:t>
      </w:r>
      <w:r>
        <w:rPr>
          <w:rFonts w:hint="eastAsia" w:eastAsia="仿宋_GB2312" w:cs="仿宋_GB2312"/>
          <w:color w:val="000000" w:themeColor="text1"/>
          <w:sz w:val="32"/>
          <w:szCs w:val="32"/>
          <w:lang w:eastAsia="zh"/>
          <w14:textFill>
            <w14:solidFill>
              <w14:schemeClr w14:val="tx1"/>
            </w14:solidFill>
          </w14:textFill>
        </w:rPr>
        <w:t>包头市下达的目标，可再生能源电量在电力消费中的占比显著提高。绿色低碳发展的政策机制全面建立，探索形成资源型县域绿色低碳转型发展成功模式和有效路径，有关创新举措和转型经验在全自治区得到大面积推广，先进示范带动效果明显，有效支撑全自治区的碳达峰目标实现。</w:t>
      </w:r>
    </w:p>
    <w:p w14:paraId="241348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eastAsia="黑体" w:cs="黑体"/>
          <w:b/>
          <w:bCs/>
          <w:color w:val="000000" w:themeColor="text1"/>
          <w:sz w:val="32"/>
          <w:szCs w:val="32"/>
          <w14:textFill>
            <w14:solidFill>
              <w14:schemeClr w14:val="tx1"/>
            </w14:solidFill>
          </w14:textFill>
        </w:rPr>
      </w:pPr>
      <w:r>
        <w:rPr>
          <w:rFonts w:hint="eastAsia" w:eastAsia="黑体" w:cs="黑体"/>
          <w:b/>
          <w:bCs/>
          <w:color w:val="000000" w:themeColor="text1"/>
          <w:kern w:val="0"/>
          <w:sz w:val="32"/>
          <w:szCs w:val="32"/>
          <w14:textFill>
            <w14:solidFill>
              <w14:schemeClr w14:val="tx1"/>
            </w14:solidFill>
          </w14:textFill>
        </w:rPr>
        <w:t>四、主要任务</w:t>
      </w:r>
      <w:bookmarkEnd w:id="8"/>
      <w:bookmarkEnd w:id="9"/>
    </w:p>
    <w:p w14:paraId="12BF8F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0"/>
          <w14:textFill>
            <w14:solidFill>
              <w14:schemeClr w14:val="tx1"/>
            </w14:solidFill>
          </w14:textFill>
        </w:rPr>
      </w:pPr>
      <w:bookmarkStart w:id="10" w:name="_Toc16254"/>
      <w:r>
        <w:rPr>
          <w:rFonts w:hint="eastAsia" w:eastAsia="楷体_GB2312" w:cs="楷体_GB2312"/>
          <w:b/>
          <w:bCs/>
          <w:color w:val="000000" w:themeColor="text1"/>
          <w:sz w:val="32"/>
          <w:szCs w:val="30"/>
          <w14:textFill>
            <w14:solidFill>
              <w14:schemeClr w14:val="tx1"/>
            </w14:solidFill>
          </w14:textFill>
        </w:rPr>
        <w:t>（一）多</w:t>
      </w:r>
      <w:r>
        <w:rPr>
          <w:rFonts w:hint="eastAsia" w:eastAsia="楷体_GB2312" w:cs="楷体_GB2312"/>
          <w:b/>
          <w:bCs/>
          <w:color w:val="000000" w:themeColor="text1"/>
          <w:sz w:val="32"/>
          <w:szCs w:val="30"/>
          <w:lang w:eastAsia="zh-CN"/>
          <w14:textFill>
            <w14:solidFill>
              <w14:schemeClr w14:val="tx1"/>
            </w14:solidFill>
          </w14:textFill>
        </w:rPr>
        <w:t>措</w:t>
      </w:r>
      <w:r>
        <w:rPr>
          <w:rFonts w:hint="eastAsia" w:eastAsia="楷体_GB2312" w:cs="楷体_GB2312"/>
          <w:b/>
          <w:bCs/>
          <w:color w:val="000000" w:themeColor="text1"/>
          <w:sz w:val="32"/>
          <w:szCs w:val="30"/>
          <w14:textFill>
            <w14:solidFill>
              <w14:schemeClr w14:val="tx1"/>
            </w14:solidFill>
          </w14:textFill>
        </w:rPr>
        <w:t>并举综合施策，打造全国首家碳中和示范县域</w:t>
      </w:r>
      <w:bookmarkEnd w:id="10"/>
    </w:p>
    <w:p w14:paraId="59ED7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1.探索县级区域碳排放统计核算</w:t>
      </w:r>
      <w:r>
        <w:rPr>
          <w:rFonts w:hint="eastAsia" w:ascii="仿宋_GB2312" w:hAnsi="仿宋_GB2312" w:eastAsia="仿宋_GB2312" w:cs="仿宋_GB2312"/>
          <w:color w:val="000000" w:themeColor="text1"/>
          <w:sz w:val="32"/>
          <w:szCs w:val="32"/>
          <w:lang w:eastAsia="zh"/>
          <w14:textFill>
            <w14:solidFill>
              <w14:schemeClr w14:val="tx1"/>
            </w14:solidFill>
          </w14:textFill>
        </w:rPr>
        <w:t>体系</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参照国家和</w:t>
      </w:r>
      <w:r>
        <w:rPr>
          <w:rFonts w:hint="eastAsia" w:eastAsia="仿宋_GB2312" w:cs="仿宋_GB2312"/>
          <w:color w:val="000000" w:themeColor="text1"/>
          <w:sz w:val="32"/>
          <w:szCs w:val="32"/>
          <w:lang w:eastAsia="zh"/>
          <w14:textFill>
            <w14:solidFill>
              <w14:schemeClr w14:val="tx1"/>
            </w14:solidFill>
          </w14:textFill>
        </w:rPr>
        <w:t>内蒙古自治区</w:t>
      </w:r>
      <w:r>
        <w:rPr>
          <w:rFonts w:hint="eastAsia" w:eastAsia="仿宋_GB2312" w:cs="仿宋_GB2312"/>
          <w:color w:val="000000" w:themeColor="text1"/>
          <w:sz w:val="32"/>
          <w:szCs w:val="32"/>
          <w14:textFill>
            <w14:solidFill>
              <w14:schemeClr w14:val="tx1"/>
            </w14:solidFill>
          </w14:textFill>
        </w:rPr>
        <w:t>碳排放统计核算方法，</w:t>
      </w:r>
      <w:r>
        <w:rPr>
          <w:rFonts w:hint="eastAsia" w:eastAsia="仿宋_GB2312" w:cs="仿宋_GB2312"/>
          <w:color w:val="000000" w:themeColor="text1"/>
          <w:sz w:val="32"/>
          <w:szCs w:val="32"/>
          <w:lang w:eastAsia="zh"/>
          <w14:textFill>
            <w14:solidFill>
              <w14:schemeClr w14:val="tx1"/>
            </w14:solidFill>
          </w14:textFill>
        </w:rPr>
        <w:t>动态跟踪</w:t>
      </w:r>
      <w:r>
        <w:rPr>
          <w:rFonts w:hint="eastAsia" w:eastAsia="仿宋_GB2312" w:cs="仿宋_GB2312"/>
          <w:color w:val="000000" w:themeColor="text1"/>
          <w:sz w:val="32"/>
          <w:szCs w:val="32"/>
          <w14:textFill>
            <w14:solidFill>
              <w14:schemeClr w14:val="tx1"/>
            </w14:solidFill>
          </w14:textFill>
        </w:rPr>
        <w:t>全区重点企业</w:t>
      </w:r>
      <w:r>
        <w:rPr>
          <w:rFonts w:hint="eastAsia" w:eastAsia="仿宋_GB2312" w:cs="仿宋_GB2312"/>
          <w:color w:val="000000" w:themeColor="text1"/>
          <w:sz w:val="32"/>
          <w:szCs w:val="32"/>
          <w:lang w:eastAsia="zh"/>
          <w14:textFill>
            <w14:solidFill>
              <w14:schemeClr w14:val="tx1"/>
            </w14:solidFill>
          </w14:textFill>
        </w:rPr>
        <w:t>特别是</w:t>
      </w:r>
      <w:r>
        <w:rPr>
          <w:rFonts w:hint="eastAsia" w:eastAsia="仿宋_GB2312" w:cs="仿宋_GB2312"/>
          <w:color w:val="000000" w:themeColor="text1"/>
          <w:sz w:val="32"/>
          <w:szCs w:val="32"/>
          <w14:textFill>
            <w14:solidFill>
              <w14:schemeClr w14:val="tx1"/>
            </w14:solidFill>
          </w14:textFill>
        </w:rPr>
        <w:t>24</w:t>
      </w:r>
      <w:r>
        <w:rPr>
          <w:rFonts w:hint="eastAsia" w:eastAsia="仿宋_GB2312" w:cs="仿宋_GB2312"/>
          <w:color w:val="000000" w:themeColor="text1"/>
          <w:sz w:val="32"/>
          <w:szCs w:val="32"/>
          <w:lang w:eastAsia="zh"/>
          <w14:textFill>
            <w14:solidFill>
              <w14:schemeClr w14:val="tx1"/>
            </w14:solidFill>
          </w14:textFill>
        </w:rPr>
        <w:t>家规上工业企业</w:t>
      </w:r>
      <w:r>
        <w:rPr>
          <w:rFonts w:hint="eastAsia" w:eastAsia="仿宋_GB2312" w:cs="仿宋_GB2312"/>
          <w:color w:val="000000" w:themeColor="text1"/>
          <w:sz w:val="32"/>
          <w:szCs w:val="32"/>
          <w14:textFill>
            <w14:solidFill>
              <w14:schemeClr w14:val="tx1"/>
            </w14:solidFill>
          </w14:textFill>
        </w:rPr>
        <w:t>能源消费、绿电消纳等情况，按照数据可得、方法可行、结果可比的原则，率先制定县级碳排放统计核算方法、编制</w:t>
      </w:r>
      <w:r>
        <w:rPr>
          <w:rFonts w:hint="eastAsia" w:eastAsia="仿宋_GB2312" w:cs="仿宋_GB2312"/>
          <w:color w:val="000000" w:themeColor="text1"/>
          <w:sz w:val="32"/>
          <w:szCs w:val="32"/>
          <w:lang w:eastAsia="zh"/>
          <w14:textFill>
            <w14:solidFill>
              <w14:schemeClr w14:val="tx1"/>
            </w14:solidFill>
          </w14:textFill>
        </w:rPr>
        <w:t>具有白云特色的县域</w:t>
      </w:r>
      <w:r>
        <w:rPr>
          <w:rFonts w:hint="eastAsia" w:eastAsia="仿宋_GB2312" w:cs="仿宋_GB2312"/>
          <w:color w:val="000000" w:themeColor="text1"/>
          <w:sz w:val="32"/>
          <w:szCs w:val="32"/>
          <w14:textFill>
            <w14:solidFill>
              <w14:schemeClr w14:val="tx1"/>
            </w14:solidFill>
          </w14:textFill>
        </w:rPr>
        <w:t>温室气体清单。制定</w:t>
      </w:r>
      <w:r>
        <w:rPr>
          <w:rFonts w:hint="eastAsia" w:eastAsia="仿宋_GB2312" w:cs="仿宋_GB2312"/>
          <w:color w:val="000000" w:themeColor="text1"/>
          <w:sz w:val="32"/>
          <w:szCs w:val="32"/>
          <w:lang w:eastAsia="zh"/>
          <w14:textFill>
            <w14:solidFill>
              <w14:schemeClr w14:val="tx1"/>
            </w14:solidFill>
          </w14:textFill>
        </w:rPr>
        <w:t>能源、采选、制造、交通和建筑等重点行业</w:t>
      </w:r>
      <w:r>
        <w:rPr>
          <w:rFonts w:hint="eastAsia" w:eastAsia="仿宋_GB2312" w:cs="仿宋_GB2312"/>
          <w:color w:val="000000" w:themeColor="text1"/>
          <w:sz w:val="32"/>
          <w:szCs w:val="32"/>
          <w14:textFill>
            <w14:solidFill>
              <w14:schemeClr w14:val="tx1"/>
            </w14:solidFill>
          </w14:textFill>
        </w:rPr>
        <w:t>碳达峰碳中和实施计划和路径</w:t>
      </w:r>
      <w:r>
        <w:rPr>
          <w:rFonts w:hint="eastAsia" w:eastAsia="仿宋_GB2312" w:cs="仿宋_GB2312"/>
          <w:color w:val="000000" w:themeColor="text1"/>
          <w:sz w:val="32"/>
          <w:szCs w:val="32"/>
          <w:lang w:eastAsia="zh"/>
          <w14:textFill>
            <w14:solidFill>
              <w14:schemeClr w14:val="tx1"/>
            </w14:solidFill>
          </w14:textFill>
        </w:rPr>
        <w:t>。建设全</w:t>
      </w:r>
      <w:r>
        <w:rPr>
          <w:rFonts w:hint="eastAsia" w:eastAsia="仿宋_GB2312" w:cs="仿宋_GB2312"/>
          <w:color w:val="000000" w:themeColor="text1"/>
          <w:sz w:val="32"/>
          <w:szCs w:val="32"/>
          <w14:textFill>
            <w14:solidFill>
              <w14:schemeClr w14:val="tx1"/>
            </w14:solidFill>
          </w14:textFill>
        </w:rPr>
        <w:t>区</w:t>
      </w:r>
      <w:r>
        <w:rPr>
          <w:rFonts w:hint="eastAsia" w:eastAsia="仿宋_GB2312" w:cs="仿宋_GB2312"/>
          <w:color w:val="000000" w:themeColor="text1"/>
          <w:sz w:val="32"/>
          <w:szCs w:val="32"/>
          <w:lang w:eastAsia="zh"/>
          <w14:textFill>
            <w14:solidFill>
              <w14:schemeClr w14:val="tx1"/>
            </w14:solidFill>
          </w14:textFill>
        </w:rPr>
        <w:t>能碳管理平台，</w:t>
      </w:r>
      <w:r>
        <w:rPr>
          <w:rFonts w:hint="eastAsia" w:eastAsia="仿宋_GB2312" w:cs="仿宋_GB2312"/>
          <w:color w:val="000000" w:themeColor="text1"/>
          <w:sz w:val="32"/>
          <w:szCs w:val="32"/>
          <w14:textFill>
            <w14:solidFill>
              <w14:schemeClr w14:val="tx1"/>
            </w14:solidFill>
          </w14:textFill>
        </w:rPr>
        <w:t>在白云铁矿、宝山矿业、欢宇新材料等</w:t>
      </w:r>
      <w:r>
        <w:rPr>
          <w:rFonts w:hint="eastAsia" w:eastAsia="仿宋_GB2312" w:cs="仿宋_GB2312"/>
          <w:color w:val="000000" w:themeColor="text1"/>
          <w:sz w:val="32"/>
          <w:szCs w:val="32"/>
          <w:lang w:eastAsia="zh"/>
          <w14:textFill>
            <w14:solidFill>
              <w14:schemeClr w14:val="tx1"/>
            </w14:solidFill>
          </w14:textFill>
        </w:rPr>
        <w:t>重点企业</w:t>
      </w:r>
      <w:r>
        <w:rPr>
          <w:rFonts w:hint="eastAsia" w:eastAsia="仿宋_GB2312" w:cs="仿宋_GB2312"/>
          <w:color w:val="000000" w:themeColor="text1"/>
          <w:sz w:val="32"/>
          <w:szCs w:val="32"/>
          <w14:textFill>
            <w14:solidFill>
              <w14:schemeClr w14:val="tx1"/>
            </w14:solidFill>
          </w14:textFill>
        </w:rPr>
        <w:t>中率先实施</w:t>
      </w:r>
      <w:r>
        <w:rPr>
          <w:rFonts w:hint="eastAsia" w:eastAsia="仿宋_GB2312" w:cs="仿宋_GB2312"/>
          <w:color w:val="000000" w:themeColor="text1"/>
          <w:sz w:val="32"/>
          <w:szCs w:val="32"/>
          <w:lang w:eastAsia="zh"/>
          <w14:textFill>
            <w14:solidFill>
              <w14:schemeClr w14:val="tx1"/>
            </w14:solidFill>
          </w14:textFill>
        </w:rPr>
        <w:t>“能碳管家”服务，帮助</w:t>
      </w:r>
      <w:r>
        <w:rPr>
          <w:rFonts w:hint="eastAsia" w:eastAsia="仿宋_GB2312" w:cs="仿宋_GB2312"/>
          <w:color w:val="000000" w:themeColor="text1"/>
          <w:sz w:val="32"/>
          <w:szCs w:val="32"/>
          <w14:textFill>
            <w14:solidFill>
              <w14:schemeClr w14:val="tx1"/>
            </w14:solidFill>
          </w14:textFill>
        </w:rPr>
        <w:t>已落地</w:t>
      </w:r>
      <w:r>
        <w:rPr>
          <w:rFonts w:hint="eastAsia" w:eastAsia="仿宋_GB2312" w:cs="仿宋_GB2312"/>
          <w:color w:val="000000" w:themeColor="text1"/>
          <w:sz w:val="32"/>
          <w:szCs w:val="32"/>
          <w:lang w:eastAsia="zh"/>
          <w14:textFill>
            <w14:solidFill>
              <w14:schemeClr w14:val="tx1"/>
            </w14:solidFill>
          </w14:textFill>
        </w:rPr>
        <w:t>企业减少能耗和碳排放</w:t>
      </w:r>
      <w:r>
        <w:rPr>
          <w:rFonts w:hint="eastAsia" w:eastAsia="仿宋_GB2312" w:cs="仿宋_GB2312"/>
          <w:color w:val="000000" w:themeColor="text1"/>
          <w:sz w:val="32"/>
          <w:szCs w:val="32"/>
          <w14:textFill>
            <w14:solidFill>
              <w14:schemeClr w14:val="tx1"/>
            </w14:solidFill>
          </w14:textFill>
        </w:rPr>
        <w:t>。</w:t>
      </w:r>
    </w:p>
    <w:p w14:paraId="06377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2.大力推进能耗转向碳排放双控。</w:t>
      </w:r>
      <w:r>
        <w:rPr>
          <w:rFonts w:hint="eastAsia" w:ascii="仿宋_GB2312" w:hAnsi="仿宋_GB2312" w:eastAsia="仿宋_GB2312" w:cs="仿宋_GB2312"/>
          <w:color w:val="000000" w:themeColor="text1"/>
          <w:sz w:val="32"/>
          <w:szCs w:val="32"/>
          <w:lang w:eastAsia="zh"/>
          <w14:textFill>
            <w14:solidFill>
              <w14:schemeClr w14:val="tx1"/>
            </w14:solidFill>
          </w14:textFill>
        </w:rPr>
        <w:t>开展制定碳排放影响评价，</w:t>
      </w:r>
      <w:r>
        <w:rPr>
          <w:rFonts w:hint="eastAsia" w:ascii="仿宋_GB2312" w:hAnsi="仿宋_GB2312" w:eastAsia="仿宋_GB2312" w:cs="仿宋_GB2312"/>
          <w:color w:val="000000" w:themeColor="text1"/>
          <w:sz w:val="32"/>
          <w:szCs w:val="32"/>
          <w14:textFill>
            <w14:solidFill>
              <w14:schemeClr w14:val="tx1"/>
            </w14:solidFill>
          </w14:textFill>
        </w:rPr>
        <w:t>将</w:t>
      </w:r>
      <w:r>
        <w:rPr>
          <w:rFonts w:hint="eastAsia" w:ascii="仿宋_GB2312" w:hAnsi="仿宋_GB2312" w:eastAsia="仿宋_GB2312" w:cs="仿宋_GB2312"/>
          <w:color w:val="000000" w:themeColor="text1"/>
          <w:sz w:val="32"/>
          <w:szCs w:val="32"/>
          <w:lang w:eastAsia="zh"/>
          <w14:textFill>
            <w14:solidFill>
              <w14:schemeClr w14:val="tx1"/>
            </w14:solidFill>
          </w14:textFill>
        </w:rPr>
        <w:t>碳排放影响评价</w:t>
      </w:r>
      <w:r>
        <w:rPr>
          <w:rFonts w:hint="eastAsia" w:ascii="仿宋_GB2312" w:hAnsi="仿宋_GB2312" w:eastAsia="仿宋_GB2312" w:cs="仿宋_GB2312"/>
          <w:color w:val="000000" w:themeColor="text1"/>
          <w:sz w:val="32"/>
          <w:szCs w:val="32"/>
          <w14:textFill>
            <w14:solidFill>
              <w14:schemeClr w14:val="tx1"/>
            </w14:solidFill>
          </w14:textFill>
        </w:rPr>
        <w:t>纳入固定资产投资项目节能审查、规划环境影响评价、环境影响跟踪评价，</w:t>
      </w:r>
      <w:r>
        <w:rPr>
          <w:rFonts w:hint="eastAsia" w:ascii="仿宋_GB2312" w:hAnsi="仿宋_GB2312" w:eastAsia="仿宋_GB2312" w:cs="仿宋_GB2312"/>
          <w:color w:val="000000" w:themeColor="text1"/>
          <w:sz w:val="32"/>
          <w:szCs w:val="32"/>
          <w:lang w:eastAsia="zh"/>
          <w14:textFill>
            <w14:solidFill>
              <w14:schemeClr w14:val="tx1"/>
            </w14:solidFill>
          </w14:textFill>
        </w:rPr>
        <w:t>强制要求高耗能高污染企业先行开展碳排放影响评价，</w:t>
      </w:r>
      <w:r>
        <w:rPr>
          <w:rFonts w:hint="eastAsia" w:ascii="仿宋_GB2312" w:hAnsi="仿宋_GB2312" w:eastAsia="仿宋_GB2312" w:cs="仿宋_GB2312"/>
          <w:color w:val="000000" w:themeColor="text1"/>
          <w:sz w:val="32"/>
          <w:szCs w:val="32"/>
          <w14:textFill>
            <w14:solidFill>
              <w14:schemeClr w14:val="tx1"/>
            </w14:solidFill>
          </w14:textFill>
        </w:rPr>
        <w:t>对碳排放量、碳排放强度</w:t>
      </w:r>
      <w:r>
        <w:rPr>
          <w:rFonts w:hint="eastAsia" w:ascii="仿宋_GB2312" w:hAnsi="仿宋_GB2312" w:eastAsia="仿宋_GB2312" w:cs="仿宋_GB2312"/>
          <w:color w:val="000000" w:themeColor="text1"/>
          <w:sz w:val="32"/>
          <w:szCs w:val="32"/>
          <w:lang w:eastAsia="zh"/>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指标进行前置审查，及时识别碳排放源、评估减排潜力、指导降碳措施。</w:t>
      </w:r>
    </w:p>
    <w:p w14:paraId="193E9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3.开展落地投产企业碳足迹</w:t>
      </w:r>
      <w:r>
        <w:rPr>
          <w:rFonts w:hint="eastAsia" w:ascii="仿宋_GB2312" w:hAnsi="仿宋_GB2312" w:eastAsia="仿宋_GB2312" w:cs="仿宋_GB2312"/>
          <w:color w:val="000000" w:themeColor="text1"/>
          <w:sz w:val="32"/>
          <w:szCs w:val="32"/>
          <w:lang w:eastAsia="zh"/>
          <w14:textFill>
            <w14:solidFill>
              <w14:schemeClr w14:val="tx1"/>
            </w14:solidFill>
          </w14:textFill>
        </w:rPr>
        <w:t>认证</w:t>
      </w:r>
      <w:r>
        <w:rPr>
          <w:rFonts w:hint="eastAsia" w:ascii="仿宋_GB2312" w:hAnsi="仿宋_GB2312" w:eastAsia="仿宋_GB2312" w:cs="仿宋_GB2312"/>
          <w:color w:val="000000" w:themeColor="text1"/>
          <w:sz w:val="32"/>
          <w:szCs w:val="32"/>
          <w14:textFill>
            <w14:solidFill>
              <w14:schemeClr w14:val="tx1"/>
            </w14:solidFill>
          </w14:textFill>
        </w:rPr>
        <w:t>工作。</w:t>
      </w:r>
      <w:r>
        <w:rPr>
          <w:rFonts w:hint="eastAsia" w:ascii="仿宋_GB2312" w:hAnsi="仿宋_GB2312" w:eastAsia="仿宋_GB2312" w:cs="仿宋_GB2312"/>
          <w:color w:val="000000" w:themeColor="text1"/>
          <w:sz w:val="32"/>
          <w:szCs w:val="32"/>
          <w:lang w:eastAsia="zh"/>
          <w14:textFill>
            <w14:solidFill>
              <w14:schemeClr w14:val="tx1"/>
            </w14:solidFill>
          </w14:textFill>
        </w:rPr>
        <w:t>按照国家发展改革委等部门《关于加快建立产品碳足迹管理体系的意见》（发改环资〔2023〕1529号）要求，依托包头市碳足迹公共服务平台，</w:t>
      </w:r>
      <w:r>
        <w:rPr>
          <w:rFonts w:hint="eastAsia" w:ascii="仿宋_GB2312" w:hAnsi="仿宋_GB2312" w:eastAsia="仿宋_GB2312" w:cs="仿宋_GB2312"/>
          <w:color w:val="000000" w:themeColor="text1"/>
          <w:sz w:val="32"/>
          <w:szCs w:val="32"/>
          <w14:textFill>
            <w14:solidFill>
              <w14:schemeClr w14:val="tx1"/>
            </w14:solidFill>
          </w14:textFill>
        </w:rPr>
        <w:t>探索制定</w:t>
      </w:r>
      <w:r>
        <w:rPr>
          <w:rFonts w:hint="eastAsia" w:ascii="仿宋_GB2312" w:hAnsi="仿宋_GB2312" w:eastAsia="仿宋_GB2312" w:cs="仿宋_GB2312"/>
          <w:color w:val="000000" w:themeColor="text1"/>
          <w:sz w:val="32"/>
          <w:szCs w:val="32"/>
          <w:lang w:eastAsia="zh"/>
          <w14:textFill>
            <w14:solidFill>
              <w14:schemeClr w14:val="tx1"/>
            </w14:solidFill>
          </w14:textFill>
        </w:rPr>
        <w:t>白云矿区资源采选业、稀土产业等行业碳排放核算标准和产品碳足迹标准，并以团体标准先行先试，向行业标准、地方标准和国家标准迈进。探索相关行业温室气体核证自愿减排量方法学制定，进一步加强白云矿区碳排放统计体系。</w:t>
      </w:r>
    </w:p>
    <w:p w14:paraId="10412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4.在绿电追溯上实现“全周期”管理。落实电网接入和消纳条件，依托包头市碳足迹公共服务体系含绿电国际</w:t>
      </w:r>
      <w:r>
        <w:rPr>
          <w:rFonts w:hint="eastAsia" w:ascii="仿宋_GB2312" w:hAnsi="仿宋_GB2312" w:eastAsia="仿宋_GB2312" w:cs="仿宋_GB2312"/>
          <w:color w:val="000000" w:themeColor="text1"/>
          <w:sz w:val="32"/>
          <w:szCs w:val="32"/>
          <w:lang w:eastAsia="zh"/>
          <w14:textFill>
            <w14:solidFill>
              <w14:schemeClr w14:val="tx1"/>
            </w14:solidFill>
          </w14:textFill>
        </w:rPr>
        <w:t>碳足迹</w:t>
      </w:r>
      <w:r>
        <w:rPr>
          <w:rFonts w:hint="eastAsia" w:ascii="仿宋_GB2312" w:hAnsi="仿宋_GB2312" w:eastAsia="仿宋_GB2312" w:cs="仿宋_GB2312"/>
          <w:color w:val="000000" w:themeColor="text1"/>
          <w:sz w:val="32"/>
          <w:szCs w:val="32"/>
          <w14:textFill>
            <w14:solidFill>
              <w14:schemeClr w14:val="tx1"/>
            </w14:solidFill>
          </w14:textFill>
        </w:rPr>
        <w:t>认证作用，结合白云矿区220V望海变电站加强绿电溯源功能，积极探索电碳协同市场机制，</w:t>
      </w:r>
      <w:r>
        <w:rPr>
          <w:rFonts w:hint="eastAsia" w:ascii="仿宋_GB2312" w:hAnsi="仿宋_GB2312" w:eastAsia="仿宋_GB2312" w:cs="仿宋_GB2312"/>
          <w:color w:val="000000" w:themeColor="text1"/>
          <w:sz w:val="32"/>
          <w:szCs w:val="32"/>
          <w:lang w:eastAsia="zh"/>
          <w14:textFill>
            <w14:solidFill>
              <w14:schemeClr w14:val="tx1"/>
            </w14:solidFill>
          </w14:textFill>
        </w:rPr>
        <w:t>鼓励企业提升绿电消纳占比，</w:t>
      </w:r>
      <w:r>
        <w:rPr>
          <w:rFonts w:hint="eastAsia" w:ascii="仿宋_GB2312" w:hAnsi="仿宋_GB2312" w:eastAsia="仿宋_GB2312" w:cs="仿宋_GB2312"/>
          <w:color w:val="000000" w:themeColor="text1"/>
          <w:sz w:val="32"/>
          <w:szCs w:val="32"/>
          <w14:textFill>
            <w14:solidFill>
              <w14:schemeClr w14:val="tx1"/>
            </w14:solidFill>
          </w14:textFill>
        </w:rPr>
        <w:t>帮助实现“全周期”绿电追溯和绿电认证</w:t>
      </w:r>
      <w:r>
        <w:rPr>
          <w:rFonts w:hint="eastAsia" w:ascii="仿宋_GB2312" w:hAnsi="仿宋_GB2312" w:eastAsia="仿宋_GB2312" w:cs="仿宋_GB2312"/>
          <w:color w:val="000000" w:themeColor="text1"/>
          <w:sz w:val="32"/>
          <w:szCs w:val="32"/>
          <w:lang w:eastAsia="zh"/>
          <w14:textFill>
            <w14:solidFill>
              <w14:schemeClr w14:val="tx1"/>
            </w14:solidFill>
          </w14:textFill>
        </w:rPr>
        <w:t>，加快推进绿色低碳发展，助力应对碳关税壁垒风险</w:t>
      </w:r>
      <w:r>
        <w:rPr>
          <w:rFonts w:hint="eastAsia" w:ascii="仿宋_GB2312" w:hAnsi="仿宋_GB2312" w:eastAsia="仿宋_GB2312" w:cs="仿宋_GB2312"/>
          <w:color w:val="000000" w:themeColor="text1"/>
          <w:sz w:val="32"/>
          <w:szCs w:val="32"/>
          <w14:textFill>
            <w14:solidFill>
              <w14:schemeClr w14:val="tx1"/>
            </w14:solidFill>
          </w14:textFill>
        </w:rPr>
        <w:t>。</w:t>
      </w:r>
    </w:p>
    <w:p w14:paraId="2F464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5.探索利用碳信用清单争取各类资金。建立碳信用制度</w:t>
      </w:r>
      <w:r>
        <w:rPr>
          <w:rFonts w:hint="eastAsia" w:ascii="仿宋_GB2312" w:hAnsi="仿宋_GB2312" w:eastAsia="仿宋_GB2312" w:cs="仿宋_GB2312"/>
          <w:color w:val="000000" w:themeColor="text1"/>
          <w:sz w:val="32"/>
          <w:szCs w:val="32"/>
          <w:lang w:eastAsia="zh"/>
          <w14:textFill>
            <w14:solidFill>
              <w14:schemeClr w14:val="tx1"/>
            </w14:solidFill>
          </w14:textFill>
        </w:rPr>
        <w:t>，支持企业</w:t>
      </w:r>
      <w:r>
        <w:rPr>
          <w:rFonts w:hint="eastAsia" w:ascii="仿宋_GB2312" w:hAnsi="仿宋_GB2312" w:eastAsia="仿宋_GB2312" w:cs="仿宋_GB2312"/>
          <w:color w:val="000000" w:themeColor="text1"/>
          <w:sz w:val="32"/>
          <w:szCs w:val="32"/>
          <w14:textFill>
            <w14:solidFill>
              <w14:schemeClr w14:val="tx1"/>
            </w14:solidFill>
          </w14:textFill>
        </w:rPr>
        <w:t>定期披露碳排放情况、发布碳信用清单，并向相关金融机构推送，</w:t>
      </w:r>
      <w:r>
        <w:rPr>
          <w:rFonts w:hint="eastAsia" w:ascii="仿宋_GB2312" w:hAnsi="仿宋_GB2312" w:eastAsia="仿宋_GB2312" w:cs="仿宋_GB2312"/>
          <w:color w:val="000000" w:themeColor="text1"/>
          <w:sz w:val="32"/>
          <w:szCs w:val="32"/>
          <w:lang w:eastAsia="zh"/>
          <w14:textFill>
            <w14:solidFill>
              <w14:schemeClr w14:val="tx1"/>
            </w14:solidFill>
          </w14:textFill>
        </w:rPr>
        <w:t>依托包头市碳足迹公共服务平台，</w:t>
      </w:r>
      <w:r>
        <w:rPr>
          <w:rFonts w:hint="eastAsia" w:ascii="仿宋_GB2312" w:hAnsi="仿宋_GB2312" w:eastAsia="仿宋_GB2312" w:cs="仿宋_GB2312"/>
          <w:color w:val="000000" w:themeColor="text1"/>
          <w:sz w:val="32"/>
          <w:szCs w:val="32"/>
          <w14:textFill>
            <w14:solidFill>
              <w14:schemeClr w14:val="tx1"/>
            </w14:solidFill>
          </w14:textFill>
        </w:rPr>
        <w:t>扶持重点企业开展含绿电碳足迹挂钩贷款等绿色信贷业务</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提供产业引导基金和区域规划政策性贷款</w:t>
      </w:r>
      <w:r>
        <w:rPr>
          <w:rFonts w:hint="eastAsia" w:ascii="仿宋_GB2312" w:hAnsi="仿宋_GB2312" w:eastAsia="仿宋_GB2312" w:cs="仿宋_GB2312"/>
          <w:color w:val="000000" w:themeColor="text1"/>
          <w:sz w:val="32"/>
          <w:szCs w:val="32"/>
          <w:lang w:eastAsia="zh"/>
          <w14:textFill>
            <w14:solidFill>
              <w14:schemeClr w14:val="tx1"/>
            </w14:solidFill>
          </w14:textFill>
        </w:rPr>
        <w:t>，坚定企业绿色低碳转型发展信心。</w:t>
      </w:r>
    </w:p>
    <w:p w14:paraId="36A99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6.依托“白云经验”</w:t>
      </w:r>
      <w:r>
        <w:rPr>
          <w:rFonts w:hint="eastAsia" w:ascii="仿宋_GB2312" w:hAnsi="仿宋_GB2312" w:eastAsia="仿宋_GB2312" w:cs="仿宋_GB2312"/>
          <w:color w:val="000000" w:themeColor="text1"/>
          <w:sz w:val="32"/>
          <w:szCs w:val="32"/>
          <w:lang w:eastAsia="zh"/>
          <w14:textFill>
            <w14:solidFill>
              <w14:schemeClr w14:val="tx1"/>
            </w14:solidFill>
          </w14:textFill>
        </w:rPr>
        <w:t>推动</w:t>
      </w:r>
      <w:r>
        <w:rPr>
          <w:rFonts w:hint="eastAsia" w:ascii="仿宋_GB2312" w:hAnsi="仿宋_GB2312" w:eastAsia="仿宋_GB2312" w:cs="仿宋_GB2312"/>
          <w:color w:val="000000" w:themeColor="text1"/>
          <w:sz w:val="32"/>
          <w:szCs w:val="32"/>
          <w14:textFill>
            <w14:solidFill>
              <w14:schemeClr w14:val="tx1"/>
            </w14:solidFill>
          </w14:textFill>
        </w:rPr>
        <w:t>全球</w:t>
      </w:r>
      <w:r>
        <w:rPr>
          <w:rFonts w:hint="eastAsia" w:ascii="仿宋_GB2312" w:hAnsi="仿宋_GB2312" w:eastAsia="仿宋_GB2312" w:cs="仿宋_GB2312"/>
          <w:color w:val="000000" w:themeColor="text1"/>
          <w:sz w:val="32"/>
          <w:szCs w:val="32"/>
          <w:lang w:eastAsia="zh"/>
          <w14:textFill>
            <w14:solidFill>
              <w14:schemeClr w14:val="tx1"/>
            </w14:solidFill>
          </w14:textFill>
        </w:rPr>
        <w:t>应对气候变化治理</w:t>
      </w:r>
      <w:r>
        <w:rPr>
          <w:rFonts w:hint="eastAsia" w:ascii="仿宋_GB2312" w:hAnsi="仿宋_GB2312" w:eastAsia="仿宋_GB2312" w:cs="仿宋_GB2312"/>
          <w:color w:val="000000" w:themeColor="text1"/>
          <w:sz w:val="32"/>
          <w:szCs w:val="32"/>
          <w14:textFill>
            <w14:solidFill>
              <w14:schemeClr w14:val="tx1"/>
            </w14:solidFill>
          </w14:textFill>
        </w:rPr>
        <w:t>。以全域为载体申请《ISO 14068-1:2023 气候变化管理－向净零过渡－第一部分碳中和》国际认证；在国际平台、会议（如联合国气候变化大会）、论坛（如可持续发展高级政治论坛），</w:t>
      </w:r>
      <w:r>
        <w:rPr>
          <w:rFonts w:hint="eastAsia" w:ascii="仿宋_GB2312" w:hAnsi="仿宋_GB2312" w:eastAsia="仿宋_GB2312" w:cs="仿宋_GB2312"/>
          <w:color w:val="000000" w:themeColor="text1"/>
          <w:sz w:val="32"/>
          <w:szCs w:val="32"/>
          <w:lang w:eastAsia="zh"/>
          <w14:textFill>
            <w14:solidFill>
              <w14:schemeClr w14:val="tx1"/>
            </w14:solidFill>
          </w14:textFill>
        </w:rPr>
        <w:t>分享白云矿区作为工业资源城市绿色低碳转型治理成果，形成可操作、可复制、可推广的模式为全球其他类型城市提供经验，</w:t>
      </w:r>
      <w:r>
        <w:rPr>
          <w:rFonts w:hint="eastAsia" w:ascii="仿宋_GB2312" w:hAnsi="仿宋_GB2312" w:eastAsia="仿宋_GB2312" w:cs="仿宋_GB2312"/>
          <w:color w:val="000000" w:themeColor="text1"/>
          <w:sz w:val="32"/>
          <w:szCs w:val="32"/>
          <w14:textFill>
            <w14:solidFill>
              <w14:schemeClr w14:val="tx1"/>
            </w14:solidFill>
          </w14:textFill>
        </w:rPr>
        <w:t>宣传“白云经验”，讲好“白云故事”。</w:t>
      </w:r>
    </w:p>
    <w:p w14:paraId="237DC7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2"/>
          <w14:textFill>
            <w14:solidFill>
              <w14:schemeClr w14:val="tx1"/>
            </w14:solidFill>
          </w14:textFill>
        </w:rPr>
      </w:pPr>
      <w:bookmarkStart w:id="11" w:name="_Toc24006"/>
      <w:r>
        <w:rPr>
          <w:rFonts w:hint="eastAsia" w:eastAsia="楷体_GB2312" w:cs="楷体_GB2312"/>
          <w:b/>
          <w:bCs/>
          <w:color w:val="000000" w:themeColor="text1"/>
          <w:sz w:val="32"/>
          <w:szCs w:val="32"/>
          <w14:textFill>
            <w14:solidFill>
              <w14:schemeClr w14:val="tx1"/>
            </w14:solidFill>
          </w14:textFill>
        </w:rPr>
        <w:t>（二）聚焦产业转型，推动工业领域率先实现碳达峰</w:t>
      </w:r>
      <w:bookmarkEnd w:id="11"/>
    </w:p>
    <w:p w14:paraId="2B493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1.严格控制高耗能、低产出项目。严格执行节能审查工作，严控新增高耗能项目，着力抑制超目标用能，坚决守住能耗“双控”底线。科学评估项目单位增加值能耗水平，坚决停止能源消耗</w:t>
      </w:r>
      <w:r>
        <w:rPr>
          <w:rFonts w:hint="eastAsia" w:ascii="仿宋_GB2312" w:hAnsi="仿宋_GB2312" w:eastAsia="仿宋_GB2312" w:cs="仿宋_GB2312"/>
          <w:color w:val="000000" w:themeColor="text1"/>
          <w:sz w:val="32"/>
          <w:szCs w:val="32"/>
          <w:lang w:eastAsia="zh"/>
          <w14:textFill>
            <w14:solidFill>
              <w14:schemeClr w14:val="tx1"/>
            </w14:solidFill>
          </w14:textFill>
        </w:rPr>
        <w:t>偏</w:t>
      </w:r>
      <w:r>
        <w:rPr>
          <w:rFonts w:hint="eastAsia" w:ascii="仿宋_GB2312" w:hAnsi="仿宋_GB2312" w:eastAsia="仿宋_GB2312" w:cs="仿宋_GB2312"/>
          <w:color w:val="000000" w:themeColor="text1"/>
          <w:sz w:val="32"/>
          <w:szCs w:val="32"/>
          <w14:textFill>
            <w14:solidFill>
              <w14:schemeClr w14:val="tx1"/>
            </w14:solidFill>
          </w14:textFill>
        </w:rPr>
        <w:t>高项目</w:t>
      </w:r>
      <w:r>
        <w:rPr>
          <w:rFonts w:hint="eastAsia" w:ascii="仿宋_GB2312" w:hAnsi="仿宋_GB2312" w:eastAsia="仿宋_GB2312" w:cs="仿宋_GB2312"/>
          <w:color w:val="000000" w:themeColor="text1"/>
          <w:sz w:val="32"/>
          <w:szCs w:val="32"/>
          <w:lang w:eastAsia="zh"/>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审批</w:t>
      </w:r>
      <w:r>
        <w:rPr>
          <w:rFonts w:hint="eastAsia" w:ascii="仿宋_GB2312" w:hAnsi="仿宋_GB2312" w:eastAsia="仿宋_GB2312" w:cs="仿宋_GB2312"/>
          <w:color w:val="000000" w:themeColor="text1"/>
          <w:sz w:val="32"/>
          <w:szCs w:val="32"/>
          <w:lang w:eastAsia="zh"/>
          <w14:textFill>
            <w14:solidFill>
              <w14:schemeClr w14:val="tx1"/>
            </w14:solidFill>
          </w14:textFill>
        </w:rPr>
        <w:t>建设</w:t>
      </w:r>
      <w:r>
        <w:rPr>
          <w:rFonts w:hint="eastAsia" w:ascii="仿宋_GB2312" w:hAnsi="仿宋_GB2312" w:eastAsia="仿宋_GB2312" w:cs="仿宋_GB2312"/>
          <w:color w:val="000000" w:themeColor="text1"/>
          <w:sz w:val="32"/>
          <w:szCs w:val="32"/>
          <w14:textFill>
            <w14:solidFill>
              <w14:schemeClr w14:val="tx1"/>
            </w14:solidFill>
          </w14:textFill>
        </w:rPr>
        <w:t>，引导在建低产出项目优化方案后复工，鼓励</w:t>
      </w:r>
      <w:r>
        <w:rPr>
          <w:rFonts w:hint="eastAsia" w:ascii="仿宋_GB2312" w:hAnsi="仿宋_GB2312" w:eastAsia="仿宋_GB2312" w:cs="仿宋_GB2312"/>
          <w:color w:val="000000" w:themeColor="text1"/>
          <w:sz w:val="32"/>
          <w:szCs w:val="32"/>
          <w:lang w:eastAsia="zh"/>
          <w14:textFill>
            <w14:solidFill>
              <w14:schemeClr w14:val="tx1"/>
            </w14:solidFill>
          </w14:textFill>
        </w:rPr>
        <w:t>内蒙古包钢金石选矿有限责任公司</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包头市沃尔特矿业有限公司等</w:t>
      </w:r>
      <w:r>
        <w:rPr>
          <w:rFonts w:hint="eastAsia" w:ascii="仿宋_GB2312" w:hAnsi="仿宋_GB2312" w:eastAsia="仿宋_GB2312" w:cs="仿宋_GB2312"/>
          <w:color w:val="000000" w:themeColor="text1"/>
          <w:sz w:val="32"/>
          <w:szCs w:val="32"/>
          <w14:textFill>
            <w14:solidFill>
              <w14:schemeClr w14:val="tx1"/>
            </w14:solidFill>
          </w14:textFill>
        </w:rPr>
        <w:t>企业，借助大规模设备更新契机，优化再造工艺流程，全面降低能源消耗。</w:t>
      </w:r>
    </w:p>
    <w:p w14:paraId="3425F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2.大力推进生产过程节能改造。制定节能改造行动计划，从</w:t>
      </w:r>
      <w:r>
        <w:rPr>
          <w:rFonts w:hint="eastAsia" w:ascii="仿宋_GB2312" w:hAnsi="仿宋_GB2312" w:eastAsia="仿宋_GB2312" w:cs="仿宋_GB2312"/>
          <w:color w:val="000000" w:themeColor="text1"/>
          <w:sz w:val="32"/>
          <w:szCs w:val="32"/>
          <w:lang w:eastAsia="zh"/>
          <w14:textFill>
            <w14:solidFill>
              <w14:schemeClr w14:val="tx1"/>
            </w14:solidFill>
          </w14:textFill>
        </w:rPr>
        <w:t>选矿、破碎、输送等高能耗环节</w:t>
      </w:r>
      <w:r>
        <w:rPr>
          <w:rFonts w:hint="eastAsia" w:ascii="仿宋_GB2312" w:hAnsi="仿宋_GB2312" w:eastAsia="仿宋_GB2312" w:cs="仿宋_GB2312"/>
          <w:color w:val="000000" w:themeColor="text1"/>
          <w:sz w:val="32"/>
          <w:szCs w:val="32"/>
          <w14:textFill>
            <w14:solidFill>
              <w14:schemeClr w14:val="tx1"/>
            </w14:solidFill>
          </w14:textFill>
        </w:rPr>
        <w:t>入手开展针对性改造，力争改造后能效指标达到国内先进水平</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w:t>
      </w:r>
      <w:r>
        <w:rPr>
          <w:rFonts w:hint="eastAsia" w:ascii="仿宋_GB2312" w:hAnsi="仿宋_GB2312" w:eastAsia="仿宋_GB2312" w:cs="仿宋_GB2312"/>
          <w:color w:val="000000" w:themeColor="text1"/>
          <w:sz w:val="32"/>
          <w:szCs w:val="32"/>
          <w:lang w:eastAsia="zh"/>
          <w14:textFill>
            <w14:solidFill>
              <w14:schemeClr w14:val="tx1"/>
            </w14:solidFill>
          </w14:textFill>
        </w:rPr>
        <w:t>沃尔特矿业有限公司节能环保采暖改造项目</w:t>
      </w:r>
      <w:r>
        <w:rPr>
          <w:rFonts w:hint="eastAsia" w:ascii="仿宋_GB2312" w:hAnsi="仿宋_GB2312" w:eastAsia="仿宋_GB2312" w:cs="仿宋_GB2312"/>
          <w:color w:val="000000" w:themeColor="text1"/>
          <w:sz w:val="32"/>
          <w:szCs w:val="32"/>
          <w14:textFill>
            <w14:solidFill>
              <w14:schemeClr w14:val="tx1"/>
            </w14:solidFill>
          </w14:textFill>
        </w:rPr>
        <w:t>入手，实施</w:t>
      </w:r>
      <w:r>
        <w:rPr>
          <w:rFonts w:hint="eastAsia" w:ascii="仿宋_GB2312" w:hAnsi="仿宋_GB2312" w:eastAsia="仿宋_GB2312" w:cs="仿宋_GB2312"/>
          <w:color w:val="000000" w:themeColor="text1"/>
          <w:sz w:val="32"/>
          <w:szCs w:val="32"/>
          <w:lang w:eastAsia="zh"/>
          <w14:textFill>
            <w14:solidFill>
              <w14:schemeClr w14:val="tx1"/>
            </w14:solidFill>
          </w14:textFill>
        </w:rPr>
        <w:t>工</w:t>
      </w:r>
      <w:r>
        <w:rPr>
          <w:rFonts w:hint="eastAsia" w:ascii="仿宋_GB2312" w:hAnsi="仿宋_GB2312" w:eastAsia="仿宋_GB2312" w:cs="仿宋_GB2312"/>
          <w:color w:val="000000" w:themeColor="text1"/>
          <w:sz w:val="32"/>
          <w:szCs w:val="32"/>
          <w14:textFill>
            <w14:solidFill>
              <w14:schemeClr w14:val="tx1"/>
            </w14:solidFill>
          </w14:textFill>
        </w:rPr>
        <w:t>业领域高耗能行业节能改造；督促包钢（集团）宝山矿业有限公司推进火电现役机组实施综合节能改造</w:t>
      </w:r>
      <w:r>
        <w:rPr>
          <w:rFonts w:hint="eastAsia" w:ascii="仿宋_GB2312" w:hAnsi="仿宋_GB2312" w:eastAsia="仿宋_GB2312" w:cs="仿宋_GB2312"/>
          <w:color w:val="000000" w:themeColor="text1"/>
          <w:sz w:val="32"/>
          <w:szCs w:val="32"/>
          <w:lang w:eastAsia="zh"/>
          <w14:textFill>
            <w14:solidFill>
              <w14:schemeClr w14:val="tx1"/>
            </w14:solidFill>
          </w14:textFill>
        </w:rPr>
        <w:t>；引导白云选矿分公司开展节能改造，使机组具备更好的负荷调节能力，灵活应对电力需求波动，为新能源消纳创造有利条件，促进电力系统的稳定运行和能源结构的优化。</w:t>
      </w:r>
      <w:r>
        <w:rPr>
          <w:rFonts w:hint="eastAsia" w:ascii="仿宋_GB2312" w:hAnsi="仿宋_GB2312" w:eastAsia="仿宋_GB2312" w:cs="仿宋_GB2312"/>
          <w:color w:val="000000" w:themeColor="text1"/>
          <w:sz w:val="32"/>
          <w:szCs w:val="32"/>
          <w14:textFill>
            <w14:solidFill>
              <w14:schemeClr w14:val="tx1"/>
            </w14:solidFill>
          </w14:textFill>
        </w:rPr>
        <w:t>探索</w:t>
      </w:r>
      <w:r>
        <w:rPr>
          <w:rFonts w:hint="eastAsia" w:ascii="仿宋_GB2312" w:hAnsi="仿宋_GB2312" w:eastAsia="仿宋_GB2312" w:cs="仿宋_GB2312"/>
          <w:color w:val="000000" w:themeColor="text1"/>
          <w:sz w:val="32"/>
          <w:szCs w:val="32"/>
          <w:lang w:eastAsia="zh"/>
          <w14:textFill>
            <w14:solidFill>
              <w14:schemeClr w14:val="tx1"/>
            </w14:solidFill>
          </w14:textFill>
        </w:rPr>
        <w:t>应用智能无人开采与机器人技术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提高资源利用效率</w:t>
      </w:r>
      <w:r>
        <w:rPr>
          <w:rFonts w:hint="eastAsia" w:ascii="仿宋_GB2312" w:hAnsi="仿宋_GB2312" w:eastAsia="仿宋_GB2312" w:cs="仿宋_GB2312"/>
          <w:color w:val="000000" w:themeColor="text1"/>
          <w:sz w:val="32"/>
          <w:szCs w:val="32"/>
          <w14:textFill>
            <w14:solidFill>
              <w14:schemeClr w14:val="tx1"/>
            </w14:solidFill>
          </w14:textFill>
        </w:rPr>
        <w:t>。</w:t>
      </w:r>
    </w:p>
    <w:p w14:paraId="2F3BE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
          <w14:textFill>
            <w14:solidFill>
              <w14:schemeClr w14:val="tx1"/>
            </w14:solidFill>
          </w14:textFill>
        </w:rPr>
        <w:t>.加快</w:t>
      </w:r>
      <w:r>
        <w:rPr>
          <w:rFonts w:hint="eastAsia" w:ascii="仿宋_GB2312" w:hAnsi="仿宋_GB2312" w:eastAsia="仿宋_GB2312" w:cs="仿宋_GB2312"/>
          <w:color w:val="000000" w:themeColor="text1"/>
          <w:sz w:val="32"/>
          <w:szCs w:val="32"/>
          <w14:textFill>
            <w14:solidFill>
              <w14:schemeClr w14:val="tx1"/>
            </w14:solidFill>
          </w14:textFill>
        </w:rPr>
        <w:t>资源采选行业</w:t>
      </w:r>
      <w:r>
        <w:rPr>
          <w:rFonts w:hint="eastAsia" w:ascii="仿宋_GB2312" w:hAnsi="仿宋_GB2312" w:eastAsia="仿宋_GB2312" w:cs="仿宋_GB2312"/>
          <w:color w:val="000000" w:themeColor="text1"/>
          <w:sz w:val="32"/>
          <w:szCs w:val="32"/>
          <w:lang w:eastAsia="zh"/>
          <w14:textFill>
            <w14:solidFill>
              <w14:schemeClr w14:val="tx1"/>
            </w14:solidFill>
          </w14:textFill>
        </w:rPr>
        <w:t>向绿色低碳方向转型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推广电动化、氢能化等新型矿山运输及作业设备，减少对化石能源的依赖，促进绿色低碳转型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加强多金属伴生矿综合回收，强化尾矿资源</w:t>
      </w:r>
      <w:r>
        <w:rPr>
          <w:rFonts w:hint="eastAsia" w:ascii="仿宋_GB2312" w:hAnsi="仿宋_GB2312" w:eastAsia="仿宋_GB2312" w:cs="仿宋_GB2312"/>
          <w:color w:val="000000" w:themeColor="text1"/>
          <w:sz w:val="32"/>
          <w:szCs w:val="32"/>
          <w14:textFill>
            <w14:solidFill>
              <w14:schemeClr w14:val="tx1"/>
            </w14:solidFill>
          </w14:textFill>
        </w:rPr>
        <w:t>综合</w:t>
      </w:r>
      <w:r>
        <w:rPr>
          <w:rFonts w:hint="eastAsia" w:ascii="仿宋_GB2312" w:hAnsi="仿宋_GB2312" w:eastAsia="仿宋_GB2312" w:cs="仿宋_GB2312"/>
          <w:color w:val="000000" w:themeColor="text1"/>
          <w:sz w:val="32"/>
          <w:szCs w:val="32"/>
          <w:lang w:eastAsia="zh"/>
          <w14:textFill>
            <w14:solidFill>
              <w14:schemeClr w14:val="tx1"/>
            </w14:solidFill>
          </w14:textFill>
        </w:rPr>
        <w:t>利用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完善碳排放监测体系和排放清单制度，建立全行业可比可追踪的碳排放数据库</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围绕绿色开采、节能环保、清洁能源利用、碳排放核算等重点领域，构建行业标准体系</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推行能耗在线监测系统</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定期开展第三方评估与认证工作，不断强化“绿色矿山”“低碳矿山”的示范引领作用</w:t>
      </w:r>
      <w:r>
        <w:rPr>
          <w:rFonts w:hint="eastAsia" w:ascii="仿宋_GB2312" w:hAnsi="仿宋_GB2312" w:eastAsia="仿宋_GB2312" w:cs="仿宋_GB2312"/>
          <w:color w:val="000000" w:themeColor="text1"/>
          <w:sz w:val="32"/>
          <w:szCs w:val="32"/>
          <w14:textFill>
            <w14:solidFill>
              <w14:schemeClr w14:val="tx1"/>
            </w14:solidFill>
          </w14:textFill>
        </w:rPr>
        <w:t>。</w:t>
      </w:r>
    </w:p>
    <w:p w14:paraId="28CA8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4.加快发展新质生产力。</w:t>
      </w:r>
      <w:r>
        <w:rPr>
          <w:rFonts w:hint="eastAsia" w:eastAsia="仿宋_GB2312" w:cs="仿宋_GB2312"/>
          <w:color w:val="000000" w:themeColor="text1"/>
          <w:sz w:val="32"/>
          <w:szCs w:val="32"/>
          <w14:textFill>
            <w14:solidFill>
              <w14:schemeClr w14:val="tx1"/>
            </w14:solidFill>
          </w14:textFill>
        </w:rPr>
        <w:t>以科技创新的先进性引领产业链、价值链迈向中高端</w:t>
      </w:r>
      <w:r>
        <w:rPr>
          <w:rFonts w:hint="eastAsia" w:eastAsia="仿宋_GB2312" w:cs="仿宋_GB2312"/>
          <w:color w:val="000000" w:themeColor="text1"/>
          <w:sz w:val="32"/>
          <w:szCs w:val="32"/>
          <w:lang w:eastAsia="zh"/>
          <w14:textFill>
            <w14:solidFill>
              <w14:schemeClr w14:val="tx1"/>
            </w14:solidFill>
          </w14:textFill>
        </w:rPr>
        <w:t>，为全社会绿色低碳发展奠定基础</w:t>
      </w:r>
      <w:r>
        <w:rPr>
          <w:rFonts w:hint="eastAsia"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碳排放“双控”总体要求，以碳生产力为抓手，结合2+3+N产业定位，引进更多为矿产资源综合利用、稀土、新材料、蒙古国资源就近转化等产业提供数字化服务的企业，为传统产业转型赋能，推动传统劳动者、劳动资料、劳动对象及其组合方式实现跃升；发展飞地经济新模式，重点围绕高端软件、人工智能、云计算、大数据、跨境电商等数字经济核心产业，以及高端装备、稀土产业等产业的数字化转型，培育一批汇聚高端创新要素的创业创新“飞地”和产业创新“飞地”，建成一批协作的生产制造“飞地”，布局一批一体化产业合作“飞地”，推动飞地经济整体生态持续优化。</w:t>
      </w:r>
    </w:p>
    <w:p w14:paraId="7D1743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2"/>
          <w14:textFill>
            <w14:solidFill>
              <w14:schemeClr w14:val="tx1"/>
            </w14:solidFill>
          </w14:textFill>
        </w:rPr>
      </w:pPr>
      <w:bookmarkStart w:id="12" w:name="_Toc11739"/>
      <w:r>
        <w:rPr>
          <w:rFonts w:hint="eastAsia" w:eastAsia="楷体_GB2312" w:cs="楷体_GB2312"/>
          <w:b/>
          <w:bCs/>
          <w:color w:val="000000" w:themeColor="text1"/>
          <w:sz w:val="32"/>
          <w:szCs w:val="32"/>
          <w14:textFill>
            <w14:solidFill>
              <w14:schemeClr w14:val="tx1"/>
            </w14:solidFill>
          </w14:textFill>
        </w:rPr>
        <w:t>（三）整合园区资源，通过融合发展实现优势互补</w:t>
      </w:r>
      <w:bookmarkEnd w:id="12"/>
    </w:p>
    <w:p w14:paraId="007D5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1.不断深化纯绿色供应链创新实践。</w:t>
      </w:r>
      <w:r>
        <w:rPr>
          <w:rFonts w:hint="eastAsia" w:ascii="仿宋_GB2312" w:hAnsi="仿宋_GB2312" w:eastAsia="仿宋_GB2312" w:cs="仿宋_GB2312"/>
          <w:color w:val="000000" w:themeColor="text1"/>
          <w:sz w:val="32"/>
          <w:szCs w:val="32"/>
          <w:lang w:eastAsia="zh"/>
          <w14:textFill>
            <w14:solidFill>
              <w14:schemeClr w14:val="tx1"/>
            </w14:solidFill>
          </w14:textFill>
        </w:rPr>
        <w:t>结合</w:t>
      </w:r>
      <w:r>
        <w:rPr>
          <w:rFonts w:hint="eastAsia" w:ascii="仿宋_GB2312" w:hAnsi="仿宋_GB2312" w:eastAsia="仿宋_GB2312" w:cs="仿宋_GB2312"/>
          <w:color w:val="000000" w:themeColor="text1"/>
          <w:sz w:val="32"/>
          <w:szCs w:val="32"/>
          <w14:textFill>
            <w14:solidFill>
              <w14:schemeClr w14:val="tx1"/>
            </w14:solidFill>
          </w14:textFill>
        </w:rPr>
        <w:t>包头</w:t>
      </w:r>
      <w:r>
        <w:rPr>
          <w:rFonts w:hint="eastAsia" w:ascii="仿宋_GB2312" w:hAnsi="仿宋_GB2312" w:eastAsia="仿宋_GB2312" w:cs="仿宋_GB2312"/>
          <w:color w:val="000000" w:themeColor="text1"/>
          <w:sz w:val="32"/>
          <w:szCs w:val="32"/>
          <w:lang w:eastAsia="zh"/>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全力推进“两个稀土基地”建设</w:t>
      </w:r>
      <w:r>
        <w:rPr>
          <w:rFonts w:hint="eastAsia" w:ascii="仿宋_GB2312" w:hAnsi="仿宋_GB2312" w:eastAsia="仿宋_GB2312" w:cs="仿宋_GB2312"/>
          <w:color w:val="000000" w:themeColor="text1"/>
          <w:sz w:val="32"/>
          <w:szCs w:val="32"/>
          <w:lang w:eastAsia="zh"/>
          <w14:textFill>
            <w14:solidFill>
              <w14:schemeClr w14:val="tx1"/>
            </w14:solidFill>
          </w14:textFill>
        </w:rPr>
        <w:t>的工作部署及白云矿区近年来稀土深加工企业快速集聚的良好势头，</w:t>
      </w:r>
      <w:r>
        <w:rPr>
          <w:rFonts w:hint="eastAsia" w:ascii="仿宋_GB2312" w:hAnsi="仿宋_GB2312" w:eastAsia="仿宋_GB2312" w:cs="仿宋_GB2312"/>
          <w:color w:val="000000" w:themeColor="text1"/>
          <w:sz w:val="32"/>
          <w:szCs w:val="32"/>
          <w14:textFill>
            <w14:solidFill>
              <w14:schemeClr w14:val="tx1"/>
            </w14:solidFill>
          </w14:textFill>
        </w:rPr>
        <w:t>以打造稀土新材料产业园为重点，加快</w:t>
      </w:r>
      <w:r>
        <w:rPr>
          <w:rFonts w:hint="eastAsia" w:ascii="仿宋_GB2312" w:hAnsi="仿宋_GB2312" w:eastAsia="仿宋_GB2312" w:cs="仿宋_GB2312"/>
          <w:color w:val="000000" w:themeColor="text1"/>
          <w:sz w:val="32"/>
          <w:szCs w:val="32"/>
          <w:lang w:eastAsia="zh"/>
          <w14:textFill>
            <w14:solidFill>
              <w14:schemeClr w14:val="tx1"/>
            </w14:solidFill>
          </w14:textFill>
        </w:rPr>
        <w:t>推动</w:t>
      </w:r>
      <w:r>
        <w:rPr>
          <w:rFonts w:hint="eastAsia" w:ascii="仿宋_GB2312" w:hAnsi="仿宋_GB2312" w:eastAsia="仿宋_GB2312" w:cs="仿宋_GB2312"/>
          <w:color w:val="000000" w:themeColor="text1"/>
          <w:sz w:val="32"/>
          <w:szCs w:val="32"/>
          <w14:textFill>
            <w14:solidFill>
              <w14:schemeClr w14:val="tx1"/>
            </w14:solidFill>
          </w14:textFill>
        </w:rPr>
        <w:t>华麟津磁（杭州）科技有限公司落地，推动镧铈镨钕稀土氟化物、氧化物园区内就近供应，以及跨企业间的原材料闭路循环；通过包头市华鹿稀土冶炼有限责任公司</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解决包头再生稀土合金有限公司</w:t>
      </w:r>
      <w:r>
        <w:rPr>
          <w:rFonts w:hint="eastAsia" w:ascii="仿宋_GB2312" w:hAnsi="仿宋_GB2312" w:eastAsia="仿宋_GB2312" w:cs="仿宋_GB2312"/>
          <w:color w:val="000000" w:themeColor="text1"/>
          <w:sz w:val="32"/>
          <w:szCs w:val="32"/>
          <w:lang w:eastAsia="zh"/>
          <w14:textFill>
            <w14:solidFill>
              <w14:schemeClr w14:val="tx1"/>
            </w14:solidFill>
          </w14:textFill>
        </w:rPr>
        <w:t>氧化镨钕不合格产品</w:t>
      </w:r>
      <w:r>
        <w:rPr>
          <w:rFonts w:hint="eastAsia" w:ascii="仿宋_GB2312" w:hAnsi="仿宋_GB2312" w:eastAsia="仿宋_GB2312" w:cs="仿宋_GB2312"/>
          <w:color w:val="000000" w:themeColor="text1"/>
          <w:sz w:val="32"/>
          <w:szCs w:val="32"/>
          <w14:textFill>
            <w14:solidFill>
              <w14:schemeClr w14:val="tx1"/>
            </w14:solidFill>
          </w14:textFill>
        </w:rPr>
        <w:t>长距离发往赣州处理的问题，</w:t>
      </w:r>
      <w:r>
        <w:rPr>
          <w:rFonts w:hint="eastAsia" w:ascii="仿宋_GB2312" w:hAnsi="仿宋_GB2312" w:eastAsia="仿宋_GB2312" w:cs="仿宋_GB2312"/>
          <w:color w:val="000000" w:themeColor="text1"/>
          <w:sz w:val="32"/>
          <w:szCs w:val="32"/>
          <w:lang w:eastAsia="zh"/>
          <w14:textFill>
            <w14:solidFill>
              <w14:schemeClr w14:val="tx1"/>
            </w14:solidFill>
          </w14:textFill>
        </w:rPr>
        <w:t>降低物流成本，</w:t>
      </w:r>
      <w:r>
        <w:rPr>
          <w:rFonts w:hint="eastAsia" w:ascii="仿宋_GB2312" w:hAnsi="仿宋_GB2312" w:eastAsia="仿宋_GB2312" w:cs="仿宋_GB2312"/>
          <w:color w:val="000000" w:themeColor="text1"/>
          <w:sz w:val="32"/>
          <w:szCs w:val="32"/>
          <w14:textFill>
            <w14:solidFill>
              <w14:schemeClr w14:val="tx1"/>
            </w14:solidFill>
          </w14:textFill>
        </w:rPr>
        <w:t>提高园区循环利用率</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源产出率；引导园区内企业通过包头市滦鑫物流有限公司清洁能源重卡将产品拉运至国内供应商、各港口，推动园区内跨行业互联互动。加快铽、镝等重稀土冶炼分离产线建设进度，大幅拓宽稀土加工产品种类。</w:t>
      </w:r>
    </w:p>
    <w:p w14:paraId="63BC1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2.发展绿电直供模式。以</w:t>
      </w:r>
      <w:r>
        <w:rPr>
          <w:rFonts w:hint="eastAsia" w:ascii="仿宋_GB2312" w:hAnsi="仿宋_GB2312" w:eastAsia="仿宋_GB2312" w:cs="仿宋_GB2312"/>
          <w:color w:val="000000" w:themeColor="text1"/>
          <w:sz w:val="32"/>
          <w:szCs w:val="32"/>
          <w:lang w:eastAsia="zh"/>
          <w14:textFill>
            <w14:solidFill>
              <w14:schemeClr w14:val="tx1"/>
            </w14:solidFill>
          </w14:textFill>
        </w:rPr>
        <w:t>包钢</w:t>
      </w:r>
      <w:r>
        <w:rPr>
          <w:rFonts w:hint="eastAsia" w:ascii="仿宋_GB2312" w:hAnsi="仿宋_GB2312" w:eastAsia="仿宋_GB2312" w:cs="仿宋_GB2312"/>
          <w:color w:val="000000" w:themeColor="text1"/>
          <w:sz w:val="32"/>
          <w:szCs w:val="32"/>
          <w14:textFill>
            <w14:solidFill>
              <w14:schemeClr w14:val="tx1"/>
            </w14:solidFill>
          </w14:textFill>
        </w:rPr>
        <w:t>（集团）</w:t>
      </w:r>
      <w:r>
        <w:rPr>
          <w:rFonts w:hint="eastAsia" w:ascii="仿宋_GB2312" w:hAnsi="仿宋_GB2312" w:eastAsia="仿宋_GB2312" w:cs="仿宋_GB2312"/>
          <w:color w:val="000000" w:themeColor="text1"/>
          <w:sz w:val="32"/>
          <w:szCs w:val="32"/>
          <w:lang w:eastAsia="zh"/>
          <w14:textFill>
            <w14:solidFill>
              <w14:schemeClr w14:val="tx1"/>
            </w14:solidFill>
          </w14:textFill>
        </w:rPr>
        <w:t>150MW绿电直供项目为基础，</w:t>
      </w:r>
      <w:r>
        <w:rPr>
          <w:rFonts w:hint="eastAsia" w:ascii="仿宋_GB2312" w:hAnsi="仿宋_GB2312" w:eastAsia="仿宋_GB2312" w:cs="仿宋_GB2312"/>
          <w:color w:val="000000" w:themeColor="text1"/>
          <w:sz w:val="32"/>
          <w:szCs w:val="30"/>
          <w14:textFill>
            <w14:solidFill>
              <w14:schemeClr w14:val="tx1"/>
            </w14:solidFill>
          </w14:textFill>
        </w:rPr>
        <w:t>强化园区与周边光伏、风电等发电资源匹配对接，加快建设更多绿电直供项目，推进园区内部及周边分布式光伏风电应建尽建。应用柔性直流输电、交直流混合配电网等先进技术，确保可再生能源电力高效接入和灵活调度。</w:t>
      </w:r>
    </w:p>
    <w:p w14:paraId="420F8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0"/>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3.加快绿色低碳产业转型。将零碳园区作为培育绿色低碳新质生产力的重要载体，发展“以绿制绿”模式，探索新兴产业低碳发展和传统产业深度脱碳路径。鼓励园区内重点企业先行先试，积极探索绿色低碳转型道路，全力支持重点企业参与全国碳市场和温室气体自愿减排市场交易。</w:t>
      </w:r>
    </w:p>
    <w:p w14:paraId="6835B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0"/>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4.搭建园区重点行业能碳智慧管理平台。以园区内</w:t>
      </w:r>
      <w:r>
        <w:rPr>
          <w:rFonts w:hint="eastAsia" w:ascii="仿宋_GB2312" w:hAnsi="仿宋_GB2312" w:eastAsia="仿宋_GB2312" w:cs="仿宋_GB2312"/>
          <w:color w:val="000000" w:themeColor="text1"/>
          <w:sz w:val="32"/>
          <w:szCs w:val="32"/>
          <w:lang w:eastAsia="zh"/>
          <w14:textFill>
            <w14:solidFill>
              <w14:schemeClr w14:val="tx1"/>
            </w14:solidFill>
          </w14:textFill>
        </w:rPr>
        <w:t>资源采选业、稀土产业</w:t>
      </w:r>
      <w:r>
        <w:rPr>
          <w:rFonts w:hint="eastAsia" w:ascii="仿宋_GB2312" w:hAnsi="仿宋_GB2312" w:eastAsia="仿宋_GB2312" w:cs="仿宋_GB2312"/>
          <w:color w:val="000000" w:themeColor="text1"/>
          <w:sz w:val="32"/>
          <w:szCs w:val="32"/>
          <w14:textFill>
            <w14:solidFill>
              <w14:schemeClr w14:val="tx1"/>
            </w14:solidFill>
          </w14:textFill>
        </w:rPr>
        <w:t>等重点产业为抓手，</w:t>
      </w:r>
      <w:r>
        <w:rPr>
          <w:rFonts w:hint="eastAsia" w:ascii="仿宋_GB2312" w:hAnsi="仿宋_GB2312" w:eastAsia="仿宋_GB2312" w:cs="仿宋_GB2312"/>
          <w:color w:val="000000" w:themeColor="text1"/>
          <w:sz w:val="32"/>
          <w:szCs w:val="30"/>
          <w14:textFill>
            <w14:solidFill>
              <w14:schemeClr w14:val="tx1"/>
            </w14:solidFill>
          </w14:textFill>
        </w:rPr>
        <w:t>加快数智技术应用，建设园区重点行业能碳智慧平台，加强能源和碳排放统计监测系统，建立重点行业重点企业用能和碳排放管理制度，提升电力、热力等能源资源的灵活调度能力。开展重点企业“能碳管家”托管服务，支持企业开展碳排放核算、产品碳足迹认证和可持续信息披露等。</w:t>
      </w:r>
    </w:p>
    <w:p w14:paraId="6F2C6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5.全方位努力获取碳中和园区认证。</w:t>
      </w:r>
      <w:r>
        <w:rPr>
          <w:rFonts w:hint="eastAsia" w:ascii="仿宋_GB2312" w:hAnsi="仿宋_GB2312" w:eastAsia="仿宋_GB2312" w:cs="仿宋_GB2312"/>
          <w:color w:val="000000" w:themeColor="text1"/>
          <w:sz w:val="32"/>
          <w:szCs w:val="32"/>
          <w14:textFill>
            <w14:solidFill>
              <w14:schemeClr w14:val="tx1"/>
            </w14:solidFill>
          </w14:textFill>
        </w:rPr>
        <w:t>以“高科技、专业化、集约化”为发展目标，积极引进铌钪合金、稀土金属</w:t>
      </w:r>
      <w:r>
        <w:rPr>
          <w:rFonts w:hint="eastAsia" w:ascii="仿宋_GB2312" w:hAnsi="仿宋_GB2312" w:eastAsia="仿宋_GB2312" w:cs="仿宋_GB2312"/>
          <w:color w:val="000000" w:themeColor="text1"/>
          <w:sz w:val="32"/>
          <w:szCs w:val="32"/>
          <w:lang w:eastAsia="zh"/>
          <w14:textFill>
            <w14:solidFill>
              <w14:schemeClr w14:val="tx1"/>
            </w14:solidFill>
          </w14:textFill>
        </w:rPr>
        <w:t>、高纯石英砂</w:t>
      </w:r>
      <w:r>
        <w:rPr>
          <w:rFonts w:hint="eastAsia" w:ascii="仿宋_GB2312" w:hAnsi="仿宋_GB2312" w:eastAsia="仿宋_GB2312" w:cs="仿宋_GB2312"/>
          <w:color w:val="000000" w:themeColor="text1"/>
          <w:sz w:val="32"/>
          <w:szCs w:val="32"/>
          <w14:textFill>
            <w14:solidFill>
              <w14:schemeClr w14:val="tx1"/>
            </w14:solidFill>
          </w14:textFill>
        </w:rPr>
        <w:t>等产业上下游配套企业，延伸新材料产业链，逐步从原料向材料转变，进一步增强自主创新能力，提高核心竞争力。</w:t>
      </w:r>
      <w:r>
        <w:rPr>
          <w:rFonts w:hint="eastAsia" w:ascii="仿宋_GB2312" w:hAnsi="仿宋_GB2312" w:eastAsia="仿宋_GB2312" w:cs="仿宋_GB2312"/>
          <w:color w:val="000000" w:themeColor="text1"/>
          <w:sz w:val="32"/>
          <w:szCs w:val="32"/>
          <w:lang w:eastAsia="zh"/>
          <w14:textFill>
            <w14:solidFill>
              <w14:schemeClr w14:val="tx1"/>
            </w14:solidFill>
          </w14:textFill>
        </w:rPr>
        <w:t>加快</w:t>
      </w:r>
      <w:r>
        <w:rPr>
          <w:rFonts w:hint="eastAsia" w:ascii="仿宋_GB2312" w:hAnsi="仿宋_GB2312" w:eastAsia="仿宋_GB2312" w:cs="仿宋_GB2312"/>
          <w:color w:val="000000" w:themeColor="text1"/>
          <w:sz w:val="32"/>
          <w:szCs w:val="32"/>
          <w14:textFill>
            <w14:solidFill>
              <w14:schemeClr w14:val="tx1"/>
            </w14:solidFill>
          </w14:textFill>
        </w:rPr>
        <w:t>实施更多“源网荷储一体化”“绿电直供”项目，使新能源充分运用于</w:t>
      </w:r>
      <w:r>
        <w:rPr>
          <w:rFonts w:hint="eastAsia" w:ascii="仿宋_GB2312" w:hAnsi="仿宋_GB2312" w:eastAsia="仿宋_GB2312" w:cs="仿宋_GB2312"/>
          <w:color w:val="000000" w:themeColor="text1"/>
          <w:sz w:val="32"/>
          <w:szCs w:val="32"/>
          <w:lang w:eastAsia="zh"/>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生活等场景</w:t>
      </w:r>
      <w:r>
        <w:rPr>
          <w:rFonts w:hint="eastAsia" w:ascii="仿宋_GB2312" w:hAnsi="仿宋_GB2312" w:eastAsia="仿宋_GB2312" w:cs="仿宋_GB2312"/>
          <w:color w:val="000000" w:themeColor="text1"/>
          <w:sz w:val="32"/>
          <w:szCs w:val="32"/>
          <w:lang w:eastAsia="zh"/>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重点支持企业低碳技术创新，围绕氢能、CCUS、BIPV（光伏建筑一体化）、源网荷储等前沿技术进行产业示范与推广。鼓励重点企业加快开展碳足迹、碳中和认证，</w:t>
      </w:r>
      <w:r>
        <w:rPr>
          <w:rFonts w:hint="eastAsia" w:ascii="仿宋_GB2312" w:hAnsi="仿宋_GB2312" w:eastAsia="仿宋_GB2312" w:cs="仿宋_GB2312"/>
          <w:color w:val="000000" w:themeColor="text1"/>
          <w:sz w:val="32"/>
          <w:szCs w:val="32"/>
          <w:lang w:eastAsia="zh"/>
          <w14:textFill>
            <w14:solidFill>
              <w14:schemeClr w14:val="tx1"/>
            </w14:solidFill>
          </w14:textFill>
        </w:rPr>
        <w:t>鼓励重点企业打造“碳中和”</w:t>
      </w:r>
      <w:r>
        <w:rPr>
          <w:rFonts w:hint="eastAsia" w:ascii="仿宋_GB2312" w:hAnsi="仿宋_GB2312" w:eastAsia="仿宋_GB2312" w:cs="仿宋_GB2312"/>
          <w:color w:val="000000" w:themeColor="text1"/>
          <w:sz w:val="32"/>
          <w:szCs w:val="32"/>
          <w14:textFill>
            <w14:solidFill>
              <w14:schemeClr w14:val="tx1"/>
            </w14:solidFill>
          </w14:textFill>
        </w:rPr>
        <w:t>样板工厂，引导样板工厂侧重于产品全生命周期的低碳化。开展重点企业ESG、EPD等认证工作。</w:t>
      </w:r>
    </w:p>
    <w:p w14:paraId="14B74E7F">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outlineLvl w:val="1"/>
        <w:rPr>
          <w:rFonts w:eastAsia="楷体_GB2312" w:cs="楷体_GB2312"/>
          <w:b/>
          <w:bCs/>
          <w:color w:val="000000" w:themeColor="text1"/>
          <w:spacing w:val="-6"/>
          <w:sz w:val="32"/>
          <w:szCs w:val="30"/>
          <w14:textFill>
            <w14:solidFill>
              <w14:schemeClr w14:val="tx1"/>
            </w14:solidFill>
          </w14:textFill>
        </w:rPr>
      </w:pPr>
      <w:bookmarkStart w:id="13" w:name="_Toc13185"/>
      <w:r>
        <w:rPr>
          <w:rFonts w:hint="eastAsia" w:eastAsia="楷体_GB2312" w:cs="楷体_GB2312"/>
          <w:b/>
          <w:bCs/>
          <w:color w:val="000000" w:themeColor="text1"/>
          <w:spacing w:val="-6"/>
          <w:sz w:val="32"/>
          <w:szCs w:val="30"/>
          <w14:textFill>
            <w14:solidFill>
              <w14:schemeClr w14:val="tx1"/>
            </w14:solidFill>
          </w14:textFill>
        </w:rPr>
        <w:t>（四）</w:t>
      </w:r>
      <w:r>
        <w:rPr>
          <w:rFonts w:hint="eastAsia" w:eastAsia="楷体_GB2312" w:cs="楷体_GB2312"/>
          <w:b/>
          <w:bCs/>
          <w:color w:val="000000" w:themeColor="text1"/>
          <w:spacing w:val="-6"/>
          <w:sz w:val="32"/>
          <w:szCs w:val="30"/>
          <w:lang w:eastAsia="zh"/>
          <w14:textFill>
            <w14:solidFill>
              <w14:schemeClr w14:val="tx1"/>
            </w14:solidFill>
          </w14:textFill>
        </w:rPr>
        <w:t>发挥人无我有独特优势</w:t>
      </w:r>
      <w:r>
        <w:rPr>
          <w:rFonts w:hint="eastAsia" w:eastAsia="楷体_GB2312" w:cs="楷体_GB2312"/>
          <w:b/>
          <w:bCs/>
          <w:color w:val="000000" w:themeColor="text1"/>
          <w:spacing w:val="-6"/>
          <w:sz w:val="32"/>
          <w:szCs w:val="30"/>
          <w14:textFill>
            <w14:solidFill>
              <w14:schemeClr w14:val="tx1"/>
            </w14:solidFill>
          </w14:textFill>
        </w:rPr>
        <w:t>，为绿电创造更大价值保驾护航</w:t>
      </w:r>
      <w:bookmarkEnd w:id="13"/>
    </w:p>
    <w:p w14:paraId="574B2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1.</w:t>
      </w:r>
      <w:r>
        <w:rPr>
          <w:rFonts w:hint="eastAsia" w:ascii="仿宋_GB2312" w:hAnsi="仿宋_GB2312" w:eastAsia="仿宋_GB2312" w:cs="仿宋_GB2312"/>
          <w:color w:val="000000" w:themeColor="text1"/>
          <w:sz w:val="32"/>
          <w:szCs w:val="30"/>
          <w:lang w:eastAsia="zh"/>
          <w14:textFill>
            <w14:solidFill>
              <w14:schemeClr w14:val="tx1"/>
            </w14:solidFill>
          </w14:textFill>
        </w:rPr>
        <w:t>推动存量用电负荷绿电替代</w:t>
      </w:r>
      <w:r>
        <w:rPr>
          <w:rFonts w:hint="eastAsia" w:ascii="仿宋_GB2312" w:hAnsi="仿宋_GB2312" w:eastAsia="仿宋_GB2312" w:cs="仿宋_GB2312"/>
          <w:color w:val="000000" w:themeColor="text1"/>
          <w:sz w:val="32"/>
          <w:szCs w:val="30"/>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结合绿电发电高于实际用电的实际情况，</w:t>
      </w:r>
      <w:r>
        <w:rPr>
          <w:rFonts w:hint="eastAsia" w:ascii="仿宋_GB2312" w:hAnsi="仿宋_GB2312" w:eastAsia="仿宋_GB2312" w:cs="仿宋_GB2312"/>
          <w:color w:val="000000" w:themeColor="text1"/>
          <w:sz w:val="32"/>
          <w:szCs w:val="32"/>
          <w:lang w:eastAsia="zh"/>
          <w14:textFill>
            <w14:solidFill>
              <w14:schemeClr w14:val="tx1"/>
            </w14:solidFill>
          </w14:textFill>
        </w:rPr>
        <w:t>加快包钢</w:t>
      </w:r>
      <w:r>
        <w:rPr>
          <w:rFonts w:hint="eastAsia" w:ascii="仿宋_GB2312" w:hAnsi="仿宋_GB2312" w:eastAsia="仿宋_GB2312" w:cs="仿宋_GB2312"/>
          <w:color w:val="000000" w:themeColor="text1"/>
          <w:sz w:val="32"/>
          <w:szCs w:val="32"/>
          <w14:textFill>
            <w14:solidFill>
              <w14:schemeClr w14:val="tx1"/>
            </w14:solidFill>
          </w14:textFill>
        </w:rPr>
        <w:t>（集团）</w:t>
      </w:r>
      <w:r>
        <w:rPr>
          <w:rFonts w:hint="eastAsia" w:ascii="仿宋_GB2312" w:hAnsi="仿宋_GB2312" w:eastAsia="仿宋_GB2312" w:cs="仿宋_GB2312"/>
          <w:color w:val="000000" w:themeColor="text1"/>
          <w:sz w:val="32"/>
          <w:szCs w:val="32"/>
          <w:lang w:eastAsia="zh"/>
          <w14:textFill>
            <w14:solidFill>
              <w14:schemeClr w14:val="tx1"/>
            </w14:solidFill>
          </w14:textFill>
        </w:rPr>
        <w:t>150MW绿电直供项目建设</w:t>
      </w:r>
      <w:r>
        <w:rPr>
          <w:rFonts w:hint="eastAsia" w:ascii="仿宋_GB2312" w:hAnsi="仿宋_GB2312" w:eastAsia="仿宋_GB2312" w:cs="仿宋_GB2312"/>
          <w:color w:val="000000" w:themeColor="text1"/>
          <w:sz w:val="32"/>
          <w:szCs w:val="32"/>
          <w14:textFill>
            <w14:solidFill>
              <w14:schemeClr w14:val="tx1"/>
            </w14:solidFill>
          </w14:textFill>
        </w:rPr>
        <w:t>进度</w:t>
      </w:r>
      <w:r>
        <w:rPr>
          <w:rFonts w:hint="eastAsia" w:ascii="仿宋_GB2312" w:hAnsi="仿宋_GB2312" w:eastAsia="仿宋_GB2312" w:cs="仿宋_GB2312"/>
          <w:color w:val="000000" w:themeColor="text1"/>
          <w:sz w:val="32"/>
          <w:szCs w:val="32"/>
          <w:lang w:eastAsia="zh"/>
          <w14:textFill>
            <w14:solidFill>
              <w14:schemeClr w14:val="tx1"/>
            </w14:solidFill>
          </w14:textFill>
        </w:rPr>
        <w:t>，按照“自发自用，接带存量负荷”模式，就地消纳清洁能源电力</w:t>
      </w:r>
      <w:r>
        <w:rPr>
          <w:rFonts w:hint="eastAsia" w:ascii="仿宋_GB2312" w:hAnsi="仿宋_GB2312" w:eastAsia="仿宋_GB2312" w:cs="仿宋_GB2312"/>
          <w:color w:val="000000" w:themeColor="text1"/>
          <w:sz w:val="32"/>
          <w:szCs w:val="32"/>
          <w14:textFill>
            <w14:solidFill>
              <w14:schemeClr w14:val="tx1"/>
            </w14:solidFill>
          </w14:textFill>
        </w:rPr>
        <w:t>；强化高耗能项目使用绿电刚性约束，</w:t>
      </w:r>
      <w:r>
        <w:rPr>
          <w:rFonts w:hint="eastAsia" w:ascii="仿宋_GB2312" w:hAnsi="仿宋_GB2312" w:eastAsia="仿宋_GB2312" w:cs="仿宋_GB2312"/>
          <w:color w:val="000000" w:themeColor="text1"/>
          <w:sz w:val="32"/>
          <w:szCs w:val="32"/>
          <w:lang w:eastAsia="zh"/>
          <w14:textFill>
            <w14:solidFill>
              <w14:schemeClr w14:val="tx1"/>
            </w14:solidFill>
          </w14:textFill>
        </w:rPr>
        <w:t>合理确定绿电消费比例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建立高耗能企业绿电强制消费机制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探索将绿电消纳量分解至重点用能单位，消纳量不足部分通过购买可再生能源绿色电力证书或通过绿色电力交易解决</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确保重点项目实现全绿电消纳。</w:t>
      </w:r>
      <w:r>
        <w:rPr>
          <w:rFonts w:hint="eastAsia" w:ascii="仿宋_GB2312" w:hAnsi="仿宋_GB2312" w:eastAsia="仿宋_GB2312" w:cs="仿宋_GB2312"/>
          <w:color w:val="000000" w:themeColor="text1"/>
          <w:sz w:val="32"/>
          <w:szCs w:val="32"/>
          <w14:textFill>
            <w14:solidFill>
              <w14:schemeClr w14:val="tx1"/>
            </w14:solidFill>
          </w14:textFill>
        </w:rPr>
        <w:t>鼓励重点企业采用风光互补全额自发自用模式，对用能结构以电力为主且绿电使用比例达到50%以上的新建“两高”项目，在达到能耗强度要求的前提下，不需全额落实能耗指标。</w:t>
      </w:r>
    </w:p>
    <w:p w14:paraId="79C0D9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2.推动源网荷储实现重大突破。</w:t>
      </w:r>
      <w:r>
        <w:rPr>
          <w:rFonts w:hint="eastAsia" w:ascii="仿宋_GB2312" w:hAnsi="仿宋_GB2312" w:eastAsia="仿宋_GB2312" w:cs="仿宋_GB2312"/>
          <w:color w:val="000000" w:themeColor="text1"/>
          <w:sz w:val="32"/>
          <w:szCs w:val="32"/>
          <w14:textFill>
            <w14:solidFill>
              <w14:schemeClr w14:val="tx1"/>
            </w14:solidFill>
          </w14:textFill>
        </w:rPr>
        <w:t>在电源上创造更多可能，充分借鉴苏州、常州等地工作经验，通过建设更多分布式光伏、屋顶光伏、小型风力系统，实现就近发电、就近并网、就近转换、就近使用。在电网上提高传输和分配效率，加快推动建设乌兰变电站，提升地区电力输送接入能力，加强地区电力基础设施保障；使用智能电网、虚拟电站解决智能化调度问题。在负荷端满足不同用户需求，灵活满足国纳资源循环利用项目、三才低铝硅铁、大有算力等耗能</w:t>
      </w:r>
      <w:r>
        <w:rPr>
          <w:rFonts w:hint="eastAsia" w:ascii="仿宋_GB2312" w:hAnsi="仿宋_GB2312" w:eastAsia="仿宋_GB2312" w:cs="仿宋_GB2312"/>
          <w:color w:val="000000" w:themeColor="text1"/>
          <w:sz w:val="32"/>
          <w:szCs w:val="32"/>
          <w:lang w:eastAsia="zh"/>
          <w14:textFill>
            <w14:solidFill>
              <w14:schemeClr w14:val="tx1"/>
            </w14:solidFill>
          </w14:textFill>
        </w:rPr>
        <w:t>偏高</w:t>
      </w:r>
      <w:r>
        <w:rPr>
          <w:rFonts w:hint="eastAsia" w:ascii="仿宋_GB2312" w:hAnsi="仿宋_GB2312" w:eastAsia="仿宋_GB2312" w:cs="仿宋_GB2312"/>
          <w:color w:val="000000" w:themeColor="text1"/>
          <w:sz w:val="32"/>
          <w:szCs w:val="32"/>
          <w14:textFill>
            <w14:solidFill>
              <w14:schemeClr w14:val="tx1"/>
            </w14:solidFill>
          </w14:textFill>
        </w:rPr>
        <w:t>企业依据实际情况选择用电计划。在储能上加大瞬时需求保障能力，形成储能产品就地应用的局面；积极申请延长补贴政策，力争自治区首个电网侧</w:t>
      </w:r>
      <w:r>
        <w:rPr>
          <w:rFonts w:hint="eastAsia" w:ascii="仿宋_GB2312" w:hAnsi="仿宋_GB2312" w:eastAsia="仿宋_GB2312" w:cs="仿宋_GB2312"/>
          <w:color w:val="000000" w:themeColor="text1"/>
          <w:sz w:val="32"/>
          <w:szCs w:val="32"/>
          <w:lang w:eastAsia="zh"/>
          <w14:textFill>
            <w14:solidFill>
              <w14:schemeClr w14:val="tx1"/>
            </w14:solidFill>
          </w14:textFill>
        </w:rPr>
        <w:t>300MW空气压缩储能项目</w:t>
      </w:r>
      <w:r>
        <w:rPr>
          <w:rFonts w:hint="eastAsia" w:ascii="仿宋_GB2312" w:hAnsi="仿宋_GB2312" w:eastAsia="仿宋_GB2312" w:cs="仿宋_GB2312"/>
          <w:color w:val="000000" w:themeColor="text1"/>
          <w:sz w:val="32"/>
          <w:szCs w:val="32"/>
          <w14:textFill>
            <w14:solidFill>
              <w14:schemeClr w14:val="tx1"/>
            </w14:solidFill>
          </w14:textFill>
        </w:rPr>
        <w:t>如期落地</w:t>
      </w:r>
      <w:r>
        <w:rPr>
          <w:rFonts w:hint="eastAsia" w:ascii="仿宋_GB2312" w:hAnsi="仿宋_GB2312" w:eastAsia="仿宋_GB2312" w:cs="仿宋_GB2312"/>
          <w:color w:val="000000" w:themeColor="text1"/>
          <w:sz w:val="32"/>
          <w:szCs w:val="32"/>
          <w:lang w:eastAsia="zh"/>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减少地区弃风、弃电等能源流失现象。</w:t>
      </w:r>
    </w:p>
    <w:p w14:paraId="766DEC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0"/>
          <w14:textFill>
            <w14:solidFill>
              <w14:schemeClr w14:val="tx1"/>
            </w14:solidFill>
          </w14:textFill>
        </w:rPr>
      </w:pPr>
      <w:bookmarkStart w:id="14" w:name="_Toc7373"/>
      <w:r>
        <w:rPr>
          <w:rFonts w:hint="eastAsia" w:eastAsia="楷体_GB2312" w:cs="楷体_GB2312"/>
          <w:b/>
          <w:bCs/>
          <w:color w:val="000000" w:themeColor="text1"/>
          <w:sz w:val="32"/>
          <w:szCs w:val="30"/>
          <w14:textFill>
            <w14:solidFill>
              <w14:schemeClr w14:val="tx1"/>
            </w14:solidFill>
          </w14:textFill>
        </w:rPr>
        <w:t>（五）统筹风光氢储核，打造塞北清洁能源生产基地</w:t>
      </w:r>
      <w:bookmarkEnd w:id="14"/>
    </w:p>
    <w:p w14:paraId="7228C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1.大力开展新能源保供建设。</w:t>
      </w:r>
      <w:r>
        <w:rPr>
          <w:rFonts w:hint="eastAsia" w:ascii="仿宋_GB2312" w:hAnsi="仿宋_GB2312" w:eastAsia="仿宋_GB2312" w:cs="仿宋_GB2312"/>
          <w:color w:val="000000" w:themeColor="text1"/>
          <w:sz w:val="32"/>
          <w:szCs w:val="32"/>
          <w14:textFill>
            <w14:solidFill>
              <w14:schemeClr w14:val="tx1"/>
            </w14:solidFill>
          </w14:textFill>
        </w:rPr>
        <w:t>按照《国务院关于推动内蒙古高质量发展奋力书写中国式现代化新篇章的意见》及包头千亿级新能源装备制造产业集群的工作部署，积极引进中国东方电气集团有限公司、天能电池集团股份有限公司、北京晶澳太阳能光伏科技有限公司等风电开发和装备制造企业，逐步带动风机塔筒等风电、光伏配套设备制造、维修维护项目落地。与中核·包头融创核科技产业示范园共同探索钍元素的提取和合理安全应用，积极推动研究重水堆、压水堆、高温堆等核电燃料制造，推动地区核资源的开发和有效利用。</w:t>
      </w:r>
    </w:p>
    <w:p w14:paraId="2074C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2.积极探索制氢储能应用范围。</w:t>
      </w:r>
      <w:r>
        <w:rPr>
          <w:rFonts w:hint="eastAsia" w:ascii="仿宋_GB2312" w:hAnsi="仿宋_GB2312" w:eastAsia="仿宋_GB2312" w:cs="仿宋_GB2312"/>
          <w:color w:val="000000" w:themeColor="text1"/>
          <w:sz w:val="32"/>
          <w:szCs w:val="32"/>
          <w14:textFill>
            <w14:solidFill>
              <w14:schemeClr w14:val="tx1"/>
            </w14:solidFill>
          </w14:textFill>
        </w:rPr>
        <w:t>结合包头市五大战新产业集群发展规划及打造“储能之都”的发展目标，加大与上海宏英智能科技股份有限公司、浙江凌骁能源科技有限公司的紧密对接，在储能Pack方面实现重大突破；积极引进电解铜箔、六氟磷酸锂生产企业，弥补产业链空白。按照包头市打造全国首座全场景绿氢自循环创新之城的发展目标，组织开展光伏发电制氢、氢能制造、氢能利用、氢能储存、储氢材料等领域的技术攻关，积极引进上海远见集团、江苏德春电力等企业开展电解水制氢；紧抓《支持氢能产业高质量发展若干措施（试行）》的政策窗口期，协助华电（包头）清洁能源有限公司在白云矿区新建加氢站、为包头氢能绿电能源有限公司加氢站落实相关</w:t>
      </w:r>
      <w:r>
        <w:rPr>
          <w:rFonts w:hint="eastAsia" w:ascii="仿宋_GB2312" w:hAnsi="仿宋_GB2312" w:eastAsia="仿宋_GB2312" w:cs="仿宋_GB2312"/>
          <w:color w:val="000000" w:themeColor="text1"/>
          <w:sz w:val="32"/>
          <w:szCs w:val="32"/>
          <w:lang w:eastAsia="zh"/>
          <w14:textFill>
            <w14:solidFill>
              <w14:schemeClr w14:val="tx1"/>
            </w14:solidFill>
          </w14:textFill>
        </w:rPr>
        <w:t>政策</w:t>
      </w:r>
      <w:r>
        <w:rPr>
          <w:rFonts w:hint="eastAsia" w:ascii="仿宋_GB2312" w:hAnsi="仿宋_GB2312" w:eastAsia="仿宋_GB2312" w:cs="仿宋_GB2312"/>
          <w:color w:val="000000" w:themeColor="text1"/>
          <w:sz w:val="32"/>
          <w:szCs w:val="32"/>
          <w14:textFill>
            <w14:solidFill>
              <w14:schemeClr w14:val="tx1"/>
            </w14:solidFill>
          </w14:textFill>
        </w:rPr>
        <w:t>补贴。</w:t>
      </w:r>
    </w:p>
    <w:p w14:paraId="3A9AB5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0"/>
          <w14:textFill>
            <w14:solidFill>
              <w14:schemeClr w14:val="tx1"/>
            </w14:solidFill>
          </w14:textFill>
        </w:rPr>
      </w:pPr>
      <w:bookmarkStart w:id="15" w:name="_Toc7778"/>
      <w:r>
        <w:rPr>
          <w:rFonts w:hint="eastAsia" w:eastAsia="楷体_GB2312" w:cs="楷体_GB2312"/>
          <w:b/>
          <w:bCs/>
          <w:color w:val="000000" w:themeColor="text1"/>
          <w:sz w:val="32"/>
          <w:szCs w:val="30"/>
          <w14:textFill>
            <w14:solidFill>
              <w14:schemeClr w14:val="tx1"/>
            </w14:solidFill>
          </w14:textFill>
        </w:rPr>
        <w:t>（六）优化运输体系，推进交通运输绿色低碳发展</w:t>
      </w:r>
      <w:bookmarkEnd w:id="15"/>
    </w:p>
    <w:p w14:paraId="5C2D1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1.积极探索构建绿色低碳交通运输体系。</w:t>
      </w:r>
      <w:r>
        <w:rPr>
          <w:rFonts w:hint="eastAsia" w:ascii="仿宋_GB2312" w:hAnsi="仿宋_GB2312" w:eastAsia="仿宋_GB2312" w:cs="仿宋_GB2312"/>
          <w:color w:val="000000" w:themeColor="text1"/>
          <w:sz w:val="32"/>
          <w:szCs w:val="32"/>
          <w14:textFill>
            <w14:solidFill>
              <w14:schemeClr w14:val="tx1"/>
            </w14:solidFill>
          </w14:textFill>
        </w:rPr>
        <w:t>推进白云鄂博至包头铁路电气化改造，提升运输能力。推动国道335、国道210线白云鄂博至固阳段公路项目建设，缩短出行距离，降低交通领域能耗和碳排放量。广泛征求党代表、人大代表、政协委员、职工代表、居民代表意见建议，优化公交线网、站点设置，加大公交线路覆盖面，构建“布局合理、容能充分、设施完善”的公共交通体系。在新能源公交车全覆盖的基础上探索提高新能源出租车占比，吸取宁夏替代经验，按照3分钟充满4公斤氢、续航里程达到400公里的标准，将服务年限已满的出租车更换为氢能源汽车，满足白云矿区到呼和浩特市区、包头市区接送乘客的需求。增加共享单车投放数量。</w:t>
      </w:r>
    </w:p>
    <w:p w14:paraId="4A0D4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2.加快建设绿色交通基础设施。</w:t>
      </w:r>
      <w:r>
        <w:rPr>
          <w:rFonts w:hint="eastAsia" w:ascii="仿宋_GB2312" w:hAnsi="仿宋_GB2312" w:eastAsia="仿宋_GB2312" w:cs="仿宋_GB2312"/>
          <w:color w:val="000000" w:themeColor="text1"/>
          <w:sz w:val="32"/>
          <w:szCs w:val="32"/>
          <w14:textFill>
            <w14:solidFill>
              <w14:schemeClr w14:val="tx1"/>
            </w14:solidFill>
          </w14:textFill>
        </w:rPr>
        <w:t>鼓励白云铁矿陆续将职工通勤车、服务年限已满的矿用重卡更换为纯电车、加氢车。要求新购置的公务用车全部为绿色能源汽车。</w:t>
      </w:r>
      <w:r>
        <w:rPr>
          <w:rFonts w:hint="eastAsia" w:ascii="仿宋_GB2312" w:hAnsi="仿宋_GB2312" w:eastAsia="仿宋_GB2312" w:cs="仿宋_GB2312"/>
          <w:color w:val="000000" w:themeColor="text1"/>
          <w:sz w:val="32"/>
          <w:szCs w:val="32"/>
          <w:lang w:eastAsia="zh"/>
          <w14:textFill>
            <w14:solidFill>
              <w14:schemeClr w14:val="tx1"/>
            </w14:solidFill>
          </w14:textFill>
        </w:rPr>
        <w:t>加快推</w:t>
      </w:r>
      <w:r>
        <w:rPr>
          <w:rFonts w:hint="eastAsia" w:ascii="仿宋_GB2312" w:hAnsi="仿宋_GB2312" w:eastAsia="仿宋_GB2312" w:cs="仿宋_GB2312"/>
          <w:color w:val="000000" w:themeColor="text1"/>
          <w:sz w:val="32"/>
          <w:szCs w:val="32"/>
          <w14:textFill>
            <w14:solidFill>
              <w14:schemeClr w14:val="tx1"/>
            </w14:solidFill>
          </w14:textFill>
        </w:rPr>
        <w:t>进</w:t>
      </w:r>
      <w:r>
        <w:rPr>
          <w:rFonts w:hint="eastAsia" w:ascii="仿宋_GB2312" w:hAnsi="仿宋_GB2312" w:eastAsia="仿宋_GB2312" w:cs="仿宋_GB2312"/>
          <w:color w:val="000000" w:themeColor="text1"/>
          <w:sz w:val="32"/>
          <w:szCs w:val="32"/>
          <w:lang w:eastAsia="zh"/>
          <w14:textFill>
            <w14:solidFill>
              <w14:schemeClr w14:val="tx1"/>
            </w14:solidFill>
          </w14:textFill>
        </w:rPr>
        <w:t>加氢站建设，探索氢能汽车场景应用。</w:t>
      </w:r>
      <w:r>
        <w:rPr>
          <w:rFonts w:hint="eastAsia" w:ascii="仿宋_GB2312" w:hAnsi="仿宋_GB2312" w:eastAsia="仿宋_GB2312" w:cs="仿宋_GB2312"/>
          <w:color w:val="000000" w:themeColor="text1"/>
          <w:sz w:val="32"/>
          <w:szCs w:val="32"/>
          <w14:textFill>
            <w14:solidFill>
              <w14:schemeClr w14:val="tx1"/>
            </w14:solidFill>
          </w14:textFill>
        </w:rPr>
        <w:t>大力推进民用新能源充电桩等配套设施建设，在国家消费品以旧换新补贴力度的基础上，联合销售机构增加补贴力度，引导居民更换新能源汽车。积极构建</w:t>
      </w:r>
      <w:r>
        <w:rPr>
          <w:rFonts w:hint="eastAsia" w:ascii="仿宋_GB2312" w:hAnsi="仿宋_GB2312" w:eastAsia="仿宋_GB2312" w:cs="仿宋_GB2312"/>
          <w:color w:val="000000" w:themeColor="text1"/>
          <w:sz w:val="32"/>
          <w:szCs w:val="32"/>
          <w:lang w:eastAsia="zh"/>
          <w14:textFill>
            <w14:solidFill>
              <w14:schemeClr w14:val="tx1"/>
            </w14:solidFill>
          </w14:textFill>
        </w:rPr>
        <w:t>白云</w:t>
      </w:r>
      <w:r>
        <w:rPr>
          <w:rFonts w:hint="eastAsia" w:ascii="仿宋_GB2312" w:hAnsi="仿宋_GB2312" w:eastAsia="仿宋_GB2312" w:cs="仿宋_GB2312"/>
          <w:color w:val="000000" w:themeColor="text1"/>
          <w:sz w:val="32"/>
          <w:szCs w:val="32"/>
          <w14:textFill>
            <w14:solidFill>
              <w14:schemeClr w14:val="tx1"/>
            </w14:solidFill>
          </w14:textFill>
        </w:rPr>
        <w:t>矿</w:t>
      </w:r>
      <w:r>
        <w:rPr>
          <w:rFonts w:hint="eastAsia" w:ascii="仿宋_GB2312" w:hAnsi="仿宋_GB2312" w:eastAsia="仿宋_GB2312" w:cs="仿宋_GB2312"/>
          <w:color w:val="000000" w:themeColor="text1"/>
          <w:sz w:val="32"/>
          <w:szCs w:val="32"/>
          <w:lang w:eastAsia="zh"/>
          <w14:textFill>
            <w14:solidFill>
              <w14:schemeClr w14:val="tx1"/>
            </w14:solidFill>
          </w14:textFill>
        </w:rPr>
        <w:t>区新能源物流集散基地</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
          <w14:textFill>
            <w14:solidFill>
              <w14:schemeClr w14:val="tx1"/>
            </w14:solidFill>
          </w14:textFill>
        </w:rPr>
        <w:t>联合北奔</w:t>
      </w:r>
      <w:r>
        <w:rPr>
          <w:rFonts w:hint="eastAsia" w:ascii="仿宋_GB2312" w:hAnsi="仿宋_GB2312" w:eastAsia="仿宋_GB2312" w:cs="仿宋_GB2312"/>
          <w:color w:val="000000" w:themeColor="text1"/>
          <w:sz w:val="32"/>
          <w:szCs w:val="32"/>
          <w14:textFill>
            <w14:solidFill>
              <w14:schemeClr w14:val="tx1"/>
            </w14:solidFill>
          </w14:textFill>
        </w:rPr>
        <w:t>提升新能源矿用车辆的研发、改造、制造能力，大力支持包头市滦鑫物流有限公司、包头启源芯动力科技有限公司通过充电换重卡开展公铁港联运服务。</w:t>
      </w:r>
    </w:p>
    <w:p w14:paraId="7B66ED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0"/>
          <w14:textFill>
            <w14:solidFill>
              <w14:schemeClr w14:val="tx1"/>
            </w14:solidFill>
          </w14:textFill>
        </w:rPr>
      </w:pPr>
      <w:bookmarkStart w:id="16" w:name="_Toc7336"/>
      <w:r>
        <w:rPr>
          <w:rFonts w:hint="eastAsia" w:eastAsia="楷体_GB2312" w:cs="楷体_GB2312"/>
          <w:b/>
          <w:bCs/>
          <w:color w:val="000000" w:themeColor="text1"/>
          <w:sz w:val="32"/>
          <w:szCs w:val="30"/>
          <w14:textFill>
            <w14:solidFill>
              <w14:schemeClr w14:val="tx1"/>
            </w14:solidFill>
          </w14:textFill>
        </w:rPr>
        <w:t>（七）提升建筑绿色，加快城乡建设低碳转型水平</w:t>
      </w:r>
      <w:bookmarkEnd w:id="16"/>
    </w:p>
    <w:p w14:paraId="36C19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1.推进城乡建设绿色低碳发展。</w:t>
      </w:r>
      <w:r>
        <w:rPr>
          <w:rFonts w:hint="eastAsia" w:ascii="仿宋_GB2312" w:hAnsi="仿宋_GB2312" w:eastAsia="仿宋_GB2312" w:cs="仿宋_GB2312"/>
          <w:color w:val="000000" w:themeColor="text1"/>
          <w:sz w:val="32"/>
          <w:szCs w:val="32"/>
          <w14:textFill>
            <w14:solidFill>
              <w14:schemeClr w14:val="tx1"/>
            </w14:solidFill>
          </w14:textFill>
        </w:rPr>
        <w:t>建立统一规范的空间规划体系，按照“多规合一”要求科学编制国土空间规划。根据主体功能定位，将资源环境影响力作为开发建设的刚性约束，在资源环境承载力和国土空间开发适宜性评价的基础上，以环境容量、环境质量和水资源承载能力定布局、定产业、定规模，以公共空间为重点，统筹布局生态空间、生产空间和生活空间，进一步优化国土空间开发格局；科学划定城镇开发边界，优化城市功能布局，合理安排各类用地，构建绿色、和谐、高品质的国土空间开发保护格局。优化传统生活和服务空间，控制城区用地规模，城区向心紧凑发展，实现土地资源的集约、高效利用，形成“一带、两轴、多组团”的城市空间布局结构。</w:t>
      </w:r>
    </w:p>
    <w:p w14:paraId="3B1A7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2.加快提升建筑能效水平。</w:t>
      </w:r>
      <w:r>
        <w:rPr>
          <w:rFonts w:hint="eastAsia" w:ascii="仿宋_GB2312" w:hAnsi="仿宋_GB2312" w:eastAsia="仿宋_GB2312" w:cs="仿宋_GB2312"/>
          <w:color w:val="000000" w:themeColor="text1"/>
          <w:sz w:val="32"/>
          <w:szCs w:val="32"/>
          <w14:textFill>
            <w14:solidFill>
              <w14:schemeClr w14:val="tx1"/>
            </w14:solidFill>
          </w14:textFill>
        </w:rPr>
        <w:t>加大公共建筑节能65%和居住建筑节能75%设计标准的执行监督力度。严格执行新建建筑节能设计标准。鼓励执行更高标准的低能耗建筑设计标准。到2027年新建星级绿色建筑不少于50%，新建政府办公楼和大型公共建筑全部达到一星以上。在新建12层以下的居住建筑和医院、学校、宾馆、浴室等公共建筑，落实太阳能可再生能源一体化应用技术；加快内蒙古白云鄂博峰象标循环产业有限公司再生资源循环利用项目建设进度，为再生建筑材料加工、绿色建材应用奠定基础。要求开发企业和设计单位推广应用绿色建材，鼓励使用建筑墙体保温结构一体化技术，使用新型墙体材料。绿色建筑项目必须使用高性能混凝土、预拌砂浆、预拌混凝土、高强度钢筋等绿色建材。在具备条件的建筑中开展超低能耗建筑试点工作。</w:t>
      </w:r>
    </w:p>
    <w:p w14:paraId="007C6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3.大力推进建筑材料的循环利用。</w:t>
      </w:r>
      <w:r>
        <w:rPr>
          <w:rFonts w:hint="eastAsia" w:ascii="仿宋_GB2312" w:hAnsi="仿宋_GB2312" w:eastAsia="仿宋_GB2312" w:cs="仿宋_GB2312"/>
          <w:color w:val="000000" w:themeColor="text1"/>
          <w:sz w:val="32"/>
          <w:szCs w:val="32"/>
          <w14:textFill>
            <w14:solidFill>
              <w14:schemeClr w14:val="tx1"/>
            </w14:solidFill>
          </w14:textFill>
        </w:rPr>
        <w:t>构建系统化的建筑废弃物资源化利用基础设施，针对大型设备，建立专业化的回收、拆解和处理网络，确保资源的高效回收和循环使用，减少建筑废弃物对环境的负担。推动建筑垃圾源头减量、分类处理、资源化利用，鼓励新建建筑使用可循环的建筑材料。加大对可循环建筑材料如再生混凝土、钢材、木材的技术研发投入，推动先进循环利用技术的创新与应用，提高材料的再生质量和性能，促进建筑行业的绿色转型与产业升级。</w:t>
      </w:r>
    </w:p>
    <w:p w14:paraId="3FC7E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4.稳步推进清洁取暖。</w:t>
      </w:r>
      <w:r>
        <w:rPr>
          <w:rFonts w:hint="eastAsia" w:ascii="仿宋_GB2312" w:hAnsi="仿宋_GB2312" w:eastAsia="仿宋_GB2312" w:cs="仿宋_GB2312"/>
          <w:color w:val="000000" w:themeColor="text1"/>
          <w:sz w:val="32"/>
          <w:szCs w:val="32"/>
          <w14:textFill>
            <w14:solidFill>
              <w14:schemeClr w14:val="tx1"/>
            </w14:solidFill>
          </w14:textFill>
        </w:rPr>
        <w:t>推动背压机组收购进度，启动内蒙古粤电蒙华新能源有限责任公司包头市白云鄂博矿区10万千瓦风电供热项目重新核算工作，以供热安全角度申请城区供热锅炉、附属管网更新改造，探索内蒙古金鄂博氟化工有限责任公司余酸供热方案，形成以工业余热、热电联产、燃气锅炉、风光绿电等集中供暖为主，分散式发电、可再生能源、天然气等为辅的清洁取暖格局。通过智能化管理，利用物联网和大数据技术，实现锅炉运行的实时监控与优化管理，提高设备的运行效率和稳定性。</w:t>
      </w:r>
    </w:p>
    <w:p w14:paraId="73F85D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0"/>
          <w14:textFill>
            <w14:solidFill>
              <w14:schemeClr w14:val="tx1"/>
            </w14:solidFill>
          </w14:textFill>
        </w:rPr>
      </w:pPr>
      <w:bookmarkStart w:id="17" w:name="_Toc9839"/>
      <w:r>
        <w:rPr>
          <w:rFonts w:hint="eastAsia" w:eastAsia="楷体_GB2312" w:cs="楷体_GB2312"/>
          <w:b/>
          <w:bCs/>
          <w:color w:val="000000" w:themeColor="text1"/>
          <w:sz w:val="32"/>
          <w:szCs w:val="30"/>
          <w14:textFill>
            <w14:solidFill>
              <w14:schemeClr w14:val="tx1"/>
            </w14:solidFill>
          </w14:textFill>
        </w:rPr>
        <w:t>（八）加强固废利用，推进循环经济发展助力降碳</w:t>
      </w:r>
      <w:bookmarkEnd w:id="17"/>
    </w:p>
    <w:p w14:paraId="1A241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1.推进生活垃圾减量化资源化。</w:t>
      </w:r>
      <w:r>
        <w:rPr>
          <w:rFonts w:hint="eastAsia" w:ascii="仿宋_GB2312" w:hAnsi="仿宋_GB2312" w:eastAsia="仿宋_GB2312" w:cs="仿宋_GB2312"/>
          <w:color w:val="000000" w:themeColor="text1"/>
          <w:sz w:val="32"/>
          <w:szCs w:val="32"/>
          <w14:textFill>
            <w14:solidFill>
              <w14:schemeClr w14:val="tx1"/>
            </w14:solidFill>
          </w14:textFill>
        </w:rPr>
        <w:t>建立生活垃圾收运处置体系，加快建设生活垃圾分类实施设备，</w:t>
      </w:r>
      <w:r>
        <w:rPr>
          <w:rFonts w:hint="eastAsia" w:ascii="仿宋_GB2312" w:hAnsi="仿宋_GB2312" w:eastAsia="仿宋_GB2312" w:cs="仿宋_GB2312"/>
          <w:color w:val="000000" w:themeColor="text1"/>
          <w:sz w:val="32"/>
          <w:szCs w:val="30"/>
          <w14:textFill>
            <w14:solidFill>
              <w14:schemeClr w14:val="tx1"/>
            </w14:solidFill>
          </w14:textFill>
        </w:rPr>
        <w:t>逐步拓展垃圾分类实施，强化分类收集、收运、处置工作力度，做到“日产日清”，避免二次污染，无害化处理</w:t>
      </w:r>
      <w:r>
        <w:rPr>
          <w:rFonts w:hint="eastAsia" w:ascii="仿宋_GB2312" w:hAnsi="仿宋_GB2312" w:eastAsia="仿宋_GB2312" w:cs="仿宋_GB2312"/>
          <w:color w:val="000000" w:themeColor="text1"/>
          <w:sz w:val="32"/>
          <w:szCs w:val="32"/>
          <w14:textFill>
            <w14:solidFill>
              <w14:schemeClr w14:val="tx1"/>
            </w14:solidFill>
          </w14:textFill>
        </w:rPr>
        <w:t>。推进以焚烧发电为主的生活垃圾处理体系建设，大幅降低原生垃圾填埋比例。推进城镇生活垃圾分类和处理设施建设。增加餐厨废弃物处置设施数量，实现城镇餐厨垃圾处理设施全覆盖。实施快递包装绿色转型，大力整治过度包装。到2025年，城镇生活垃圾分类体系基本健全。</w:t>
      </w:r>
    </w:p>
    <w:p w14:paraId="75085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2.促进退役新能源设备循环利用。</w:t>
      </w:r>
      <w:r>
        <w:rPr>
          <w:rFonts w:hint="eastAsia" w:ascii="仿宋_GB2312" w:hAnsi="仿宋_GB2312" w:eastAsia="仿宋_GB2312" w:cs="仿宋_GB2312"/>
          <w:color w:val="000000" w:themeColor="text1"/>
          <w:sz w:val="32"/>
          <w:szCs w:val="32"/>
          <w14:textFill>
            <w14:solidFill>
              <w14:schemeClr w14:val="tx1"/>
            </w14:solidFill>
          </w14:textFill>
        </w:rPr>
        <w:t>推进包头市风电退役装备资源化再利用示范区建设，以鲁能白云鄂博风电有限责任公司、内蒙古蒙电华能热电股份有限公司白云鄂博风电场“上大压小”改造替代需求为导向，引进</w:t>
      </w:r>
      <w:r>
        <w:rPr>
          <w:rFonts w:hint="eastAsia" w:ascii="仿宋_GB2312" w:hAnsi="仿宋_GB2312" w:eastAsia="仿宋_GB2312" w:cs="仿宋_GB2312"/>
          <w:color w:val="000000" w:themeColor="text1"/>
          <w:sz w:val="32"/>
          <w:szCs w:val="32"/>
          <w:lang w:eastAsia="zh"/>
          <w14:textFill>
            <w14:solidFill>
              <w14:schemeClr w14:val="tx1"/>
            </w14:solidFill>
          </w14:textFill>
        </w:rPr>
        <w:t>丰诺环保科技有限公司、泰道环保科技有限公司</w:t>
      </w:r>
      <w:r>
        <w:rPr>
          <w:rFonts w:hint="eastAsia" w:ascii="仿宋_GB2312" w:hAnsi="仿宋_GB2312" w:eastAsia="仿宋_GB2312" w:cs="仿宋_GB2312"/>
          <w:color w:val="000000" w:themeColor="text1"/>
          <w:sz w:val="32"/>
          <w:szCs w:val="32"/>
          <w14:textFill>
            <w14:solidFill>
              <w14:schemeClr w14:val="tx1"/>
            </w14:solidFill>
          </w14:textFill>
        </w:rPr>
        <w:t>等叶片回收处置企业，实施退役风电光伏装备资源化再利用项目，构建规范回收、高值利用、无害处置等环节的风电和光伏设备循环利用体系，推动新能源产业绿色低碳循环发展。</w:t>
      </w:r>
    </w:p>
    <w:p w14:paraId="5D059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0"/>
          <w14:textFill>
            <w14:solidFill>
              <w14:schemeClr w14:val="tx1"/>
            </w14:solidFill>
          </w14:textFill>
        </w:rPr>
        <w:t>3.加快建设循环利用经济示范项目。</w:t>
      </w:r>
      <w:r>
        <w:rPr>
          <w:rFonts w:hint="eastAsia" w:eastAsia="仿宋_GB2312" w:cs="仿宋_GB2312"/>
          <w:color w:val="000000" w:themeColor="text1"/>
          <w:sz w:val="32"/>
          <w:szCs w:val="32"/>
          <w14:textFill>
            <w14:solidFill>
              <w14:schemeClr w14:val="tx1"/>
            </w14:solidFill>
          </w14:textFill>
        </w:rPr>
        <w:t>以</w:t>
      </w:r>
      <w:r>
        <w:rPr>
          <w:rFonts w:hint="eastAsia" w:eastAsia="仿宋_GB2312" w:cs="仿宋_GB2312"/>
          <w:color w:val="000000" w:themeColor="text1"/>
          <w:sz w:val="32"/>
          <w:szCs w:val="32"/>
          <w:lang w:eastAsia="zh"/>
          <w14:textFill>
            <w14:solidFill>
              <w14:schemeClr w14:val="tx1"/>
            </w14:solidFill>
          </w14:textFill>
        </w:rPr>
        <w:t>内蒙古国纳资源循环利用有限公司4</w:t>
      </w:r>
      <w:r>
        <w:rPr>
          <w:rFonts w:hint="eastAsia" w:eastAsia="仿宋_GB2312" w:cs="仿宋_GB2312"/>
          <w:color w:val="000000" w:themeColor="text1"/>
          <w:sz w:val="32"/>
          <w:szCs w:val="32"/>
          <w14:textFill>
            <w14:solidFill>
              <w14:schemeClr w14:val="tx1"/>
            </w14:solidFill>
          </w14:textFill>
        </w:rPr>
        <w:t>0万吨废旧</w:t>
      </w:r>
      <w:r>
        <w:rPr>
          <w:rFonts w:hint="eastAsia" w:eastAsia="仿宋_GB2312" w:cs="仿宋_GB2312"/>
          <w:color w:val="000000" w:themeColor="text1"/>
          <w:sz w:val="32"/>
          <w:szCs w:val="32"/>
          <w:lang w:eastAsia="zh"/>
          <w14:textFill>
            <w14:solidFill>
              <w14:schemeClr w14:val="tx1"/>
            </w14:solidFill>
          </w14:textFill>
        </w:rPr>
        <w:t>电池和6</w:t>
      </w:r>
      <w:r>
        <w:rPr>
          <w:rFonts w:hint="eastAsia" w:eastAsia="仿宋_GB2312" w:cs="仿宋_GB2312"/>
          <w:color w:val="000000" w:themeColor="text1"/>
          <w:sz w:val="32"/>
          <w:szCs w:val="32"/>
          <w14:textFill>
            <w14:solidFill>
              <w14:schemeClr w14:val="tx1"/>
            </w14:solidFill>
          </w14:textFill>
        </w:rPr>
        <w:t>0万吨废铜处置项目、深圳市捷晶科技股份有限公司退役磷酸铁锂电池极粉回收利用和高盐锂云母卤水分盐提锂技术及工业级碳酸锂储备电池级碳酸锂的连续生产工艺为依托，建设循环利用经济示范项目，培育一批再生资源综合利用先进企业。</w:t>
      </w:r>
    </w:p>
    <w:p w14:paraId="3990AD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0"/>
          <w14:textFill>
            <w14:solidFill>
              <w14:schemeClr w14:val="tx1"/>
            </w14:solidFill>
          </w14:textFill>
        </w:rPr>
      </w:pPr>
      <w:bookmarkStart w:id="18" w:name="_Toc4671"/>
      <w:r>
        <w:rPr>
          <w:rFonts w:hint="eastAsia" w:eastAsia="楷体_GB2312" w:cs="楷体_GB2312"/>
          <w:b/>
          <w:bCs/>
          <w:color w:val="000000" w:themeColor="text1"/>
          <w:sz w:val="32"/>
          <w:szCs w:val="30"/>
          <w14:textFill>
            <w14:solidFill>
              <w14:schemeClr w14:val="tx1"/>
            </w14:solidFill>
          </w14:textFill>
        </w:rPr>
        <w:t>（九）提升碳汇能力，构筑北方重要生态安全屏障</w:t>
      </w:r>
      <w:bookmarkEnd w:id="18"/>
    </w:p>
    <w:p w14:paraId="7E6AC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强林草植被保护工作。严格执行基本草原保护制度，建立和完善符合实际的草畜平衡和禁牧休牧制度，争取实施退化草原修复、京津风沙源治理、人工种草等草原保护修复工程，加大草原生态监测评价力度，全面提升草原生态系统质量和效益。全面推行林长制、河长制、草长制，严格落实保护发展林草资源目标责任制，实现青山有人管、绿树植被有人护。开展林草督查和整改工作，加强项目使用林地草原审核审批及监管，严厉打击非法占用林地草地、毁林毁草毁湿、乱捕滥食野生动物等违法行为。</w:t>
      </w:r>
    </w:p>
    <w:p w14:paraId="60D1C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加强林草碳汇计量统计与编制工作。对白云矿区林地及草原、湿地的分布、质量、保护等级、权属，以及退化林、无立木林地等情况进行全面调查摸底，开展林地、草原、湿地生物量、年生长量调查和固碳特性综合分析，完善林草在温室气体排放统计端口的数据，科学测算林地、草原、湿地等碳汇量规模，推动实现林业应对气候变化工作决策科学化。立足白云矿区自然生态系统实际，编制林业草原碳增汇发展规划，科学规划安排实施林草碳增汇重点工程，进一步优化森林、草原、湿地资源结构与布局，明确林草碳增汇目标任务和实施路径。</w:t>
      </w:r>
    </w:p>
    <w:p w14:paraId="6A14D9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2"/>
          <w14:textFill>
            <w14:solidFill>
              <w14:schemeClr w14:val="tx1"/>
            </w14:solidFill>
          </w14:textFill>
        </w:rPr>
      </w:pPr>
      <w:bookmarkStart w:id="19" w:name="_Toc11921"/>
      <w:r>
        <w:rPr>
          <w:rFonts w:hint="eastAsia" w:eastAsia="楷体_GB2312" w:cs="楷体_GB2312"/>
          <w:b/>
          <w:bCs/>
          <w:color w:val="000000" w:themeColor="text1"/>
          <w:sz w:val="32"/>
          <w:szCs w:val="32"/>
          <w14:textFill>
            <w14:solidFill>
              <w14:schemeClr w14:val="tx1"/>
            </w14:solidFill>
          </w14:textFill>
        </w:rPr>
        <w:t>（十）引导全民行动，推动全社会绿色低碳发展</w:t>
      </w:r>
      <w:bookmarkEnd w:id="19"/>
    </w:p>
    <w:p w14:paraId="3CE13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1.创建绿色低碳学校。积极开展生态文明宣传，全面发挥学校课堂教学主渠道功能，将</w:t>
      </w:r>
      <w:r>
        <w:rPr>
          <w:rFonts w:hint="eastAsia" w:ascii="仿宋_GB2312" w:hAnsi="仿宋_GB2312" w:eastAsia="仿宋_GB2312" w:cs="仿宋_GB2312"/>
          <w:color w:val="000000" w:themeColor="text1"/>
          <w:sz w:val="32"/>
          <w:szCs w:val="32"/>
          <w:lang w:eastAsia="zh-CN"/>
          <w14:textFill>
            <w14:solidFill>
              <w14:schemeClr w14:val="tx1"/>
            </w14:solidFill>
          </w14:textFill>
        </w:rPr>
        <w:t>习近平生态文明思想</w:t>
      </w:r>
      <w:r>
        <w:rPr>
          <w:rFonts w:hint="eastAsia" w:ascii="仿宋_GB2312" w:hAnsi="仿宋_GB2312" w:eastAsia="仿宋_GB2312" w:cs="仿宋_GB2312"/>
          <w:color w:val="000000" w:themeColor="text1"/>
          <w:sz w:val="32"/>
          <w:szCs w:val="32"/>
          <w14:textFill>
            <w14:solidFill>
              <w14:schemeClr w14:val="tx1"/>
            </w14:solidFill>
          </w14:textFill>
        </w:rPr>
        <w:t>有机融入教育教学管理全过程，强化“绿水青山就是金山银山”的绿色发展理念。推动全区中小学各学科生态文明教育“项目课程”建设，将生态环境教育作为校本课程重要内容，充分挖掘各学科的环境教育内涵，开设生态环境保护校本课程，将生态文明教育融入校外实践活动课程体系，依托校外教育活动场所、中小学生研学实践教育基地开展形式多样的综合实践、研学实践活动，实现实践育人功能。校园内场所建筑设计、实践操作均从节省能源、空间、用水、材料等角度进行综合考虑，使用绿色环保产品，校园新建和改扩建项目按照绿色建筑标准要求设计建造，有序推进建筑绿色化改造和运行，确保工程不对环境产生负面影响或使影响降到最低。扩大校园绿色能源的使用范围。</w:t>
      </w:r>
    </w:p>
    <w:p w14:paraId="27B7B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创建绿色低碳商铺。</w:t>
      </w:r>
      <w:r>
        <w:rPr>
          <w:rFonts w:hint="eastAsia" w:ascii="仿宋_GB2312" w:hAnsi="仿宋_GB2312" w:eastAsia="仿宋_GB2312" w:cs="仿宋_GB2312"/>
          <w:color w:val="000000" w:themeColor="text1"/>
          <w:spacing w:val="-20"/>
          <w:sz w:val="32"/>
          <w:szCs w:val="32"/>
          <w14:textFill>
            <w14:solidFill>
              <w14:schemeClr w14:val="tx1"/>
            </w14:solidFill>
          </w14:textFill>
        </w:rPr>
        <w:t>结合绿色商场行业标准（SB/T11135-2015）</w:t>
      </w:r>
      <w:r>
        <w:rPr>
          <w:rFonts w:hint="eastAsia" w:ascii="仿宋_GB2312" w:hAnsi="仿宋_GB2312" w:eastAsia="仿宋_GB2312" w:cs="仿宋_GB2312"/>
          <w:color w:val="000000" w:themeColor="text1"/>
          <w:sz w:val="32"/>
          <w:szCs w:val="32"/>
          <w14:textFill>
            <w14:solidFill>
              <w14:schemeClr w14:val="tx1"/>
            </w14:solidFill>
          </w14:textFill>
        </w:rPr>
        <w:t>和商务部组织编制的《流通业能源管理体系指引》制定绿色商铺标准细则，明确各类设备设施的分类管理，强化能耗水耗管理。在白云矿区商贸流通领域推广节能灯等设施设备改造、太阳能光伏发电、水资源循环利用等技术，采取自然采光、循环通风等措施降低能耗。新建商场、商铺必须使用符合国家节能标准能效3级（含）以上的节能设备设施。按照商贸流通业销售的可追溯商品比例不低于80%，销售能效3级（含）以上的节能产品、环境标志产品和绿色产品的要求，控制商超类不低于10%，电器专卖店不低于90%。开展节能、节水、环保等方面培训，提升商铺绿色运营能力，设置绿色环保商品销售专区或专用货架（柜），向消费者推广绿色节能降耗产品。</w:t>
      </w:r>
    </w:p>
    <w:p w14:paraId="4CF906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15"/>
          <w:shd w:val="clear" w:color="auto" w:fill="FFFFFF"/>
          <w14:textFill>
            <w14:solidFill>
              <w14:schemeClr w14:val="tx1"/>
            </w14:solidFill>
          </w14:textFill>
        </w:rPr>
      </w:pPr>
      <w:bookmarkStart w:id="20" w:name="_Toc2250"/>
      <w:r>
        <w:rPr>
          <w:rFonts w:hint="eastAsia" w:eastAsia="楷体_GB2312" w:cs="楷体_GB2312"/>
          <w:b/>
          <w:bCs/>
          <w:color w:val="000000" w:themeColor="text1"/>
          <w:sz w:val="32"/>
          <w:szCs w:val="32"/>
          <w14:textFill>
            <w14:solidFill>
              <w14:schemeClr w14:val="tx1"/>
            </w14:solidFill>
          </w14:textFill>
        </w:rPr>
        <w:t>（十一）提高科研创新，拓宽绿色低碳技术广泛应用</w:t>
      </w:r>
      <w:bookmarkEnd w:id="20"/>
    </w:p>
    <w:p w14:paraId="086D6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完善绿色低碳科技创新机制。强化企业创新主体地位，鼓励企业建设低碳领域科技创新平台，促进科技成果落地转化应用，探索形成科技成果向先进团体标准转化的机制和模式。开展低碳零碳负碳、碳捕集碳利用等新技术的创新攻关与应用，搭建公共技术研发、检验检测、仪器共享等服务平台。支持龙头企业加快专利转化和技术交易，提供第三方合同能源管理、“能碳管家”等服务和企业需求发布对接等。加强知识产权保护。到2025年，初步构建绿色低碳技术创新体系。</w:t>
      </w:r>
    </w:p>
    <w:p w14:paraId="694E8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加强绿色低碳技术创新能力建设和人才培养。用好用足特色研发优势，争取将白云鄂博共伴生铌矿石全链条综合利用技术研究及应用列入自治区重大专项。围绕采矿业和新材料等工业重点领域，培育绿色技术创新龙头企业，加快科技团队和人才引进培养。鼓励企业通过自主建设、联合共建等方式，在绿色技术领域建设创新联合体，强化产业链前端技术供给。增强企业同高校、科研院所等对接，共同开展科学技术研发攻关。到2025年，绿色低碳技术研发及推广应用创新能力得到大幅提升。到2027年，低碳、零碳、负碳等关键核心技术不断突破，绿色低碳技术创新及产业发展取得显著进展，基本形成与生态文明建设相适应、与高质量发展相协调、与节能减排相协同的科技创新能力和人才支撑体系，为如期实现碳达峰目标提供有力支撑。</w:t>
      </w:r>
    </w:p>
    <w:p w14:paraId="03BDF9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eastAsia="黑体" w:cs="黑体"/>
          <w:b/>
          <w:bCs/>
          <w:color w:val="000000" w:themeColor="text1"/>
          <w:kern w:val="0"/>
          <w:sz w:val="32"/>
          <w:szCs w:val="32"/>
          <w14:textFill>
            <w14:solidFill>
              <w14:schemeClr w14:val="tx1"/>
            </w14:solidFill>
          </w14:textFill>
        </w:rPr>
      </w:pPr>
      <w:bookmarkStart w:id="21" w:name="_Toc17216"/>
      <w:bookmarkStart w:id="22" w:name="_Toc16709"/>
      <w:r>
        <w:rPr>
          <w:rFonts w:hint="eastAsia" w:eastAsia="黑体" w:cs="黑体"/>
          <w:b/>
          <w:bCs/>
          <w:color w:val="000000" w:themeColor="text1"/>
          <w:kern w:val="0"/>
          <w:sz w:val="32"/>
          <w:szCs w:val="32"/>
          <w14:textFill>
            <w14:solidFill>
              <w14:schemeClr w14:val="tx1"/>
            </w14:solidFill>
          </w14:textFill>
        </w:rPr>
        <w:t>五、保障措施</w:t>
      </w:r>
      <w:bookmarkEnd w:id="21"/>
      <w:bookmarkEnd w:id="22"/>
    </w:p>
    <w:p w14:paraId="2A0A5A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2"/>
          <w14:textFill>
            <w14:solidFill>
              <w14:schemeClr w14:val="tx1"/>
            </w14:solidFill>
          </w14:textFill>
        </w:rPr>
      </w:pPr>
      <w:bookmarkStart w:id="23" w:name="_Toc1103"/>
      <w:r>
        <w:rPr>
          <w:rFonts w:hint="eastAsia" w:eastAsia="楷体_GB2312" w:cs="楷体_GB2312"/>
          <w:b/>
          <w:bCs/>
          <w:color w:val="000000" w:themeColor="text1"/>
          <w:sz w:val="32"/>
          <w:szCs w:val="32"/>
          <w14:textFill>
            <w14:solidFill>
              <w14:schemeClr w14:val="tx1"/>
            </w14:solidFill>
          </w14:textFill>
        </w:rPr>
        <w:t>（一）建立工作机制</w:t>
      </w:r>
      <w:bookmarkEnd w:id="23"/>
    </w:p>
    <w:p w14:paraId="6A360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加强组织领导，依托白云鄂博矿区</w:t>
      </w:r>
      <w:r>
        <w:rPr>
          <w:rFonts w:hint="eastAsia" w:eastAsia="仿宋_GB2312" w:cs="仿宋_GB2312"/>
          <w:color w:val="000000" w:themeColor="text1"/>
          <w:sz w:val="32"/>
          <w:szCs w:val="32"/>
          <w:lang w:eastAsia="zh-CN"/>
          <w14:textFill>
            <w14:solidFill>
              <w14:schemeClr w14:val="tx1"/>
            </w14:solidFill>
          </w14:textFill>
        </w:rPr>
        <w:t>区委、区政府</w:t>
      </w:r>
      <w:r>
        <w:rPr>
          <w:rFonts w:hint="eastAsia" w:eastAsia="仿宋_GB2312" w:cs="仿宋_GB2312"/>
          <w:color w:val="000000" w:themeColor="text1"/>
          <w:sz w:val="32"/>
          <w:szCs w:val="32"/>
          <w14:textFill>
            <w14:solidFill>
              <w14:schemeClr w14:val="tx1"/>
            </w14:solidFill>
          </w14:textFill>
        </w:rPr>
        <w:t>领导架构成立碳达峰试点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工作领导小组，按照职责分工，落实好工作任务，强化协同联动，形成合力，着力解决创建试点工作推进遇</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到的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突出问题，有序推进创建试点重点工作的开展，定期调度汇报重点行业、重点企业、重点项目工作进展，以重点行业、重点企业为抓手，建立全区智慧能碳平台开展企业“能碳管家”服务，推动白云矿区全区重点企业绿色低碳生产，有效保障创建碳达峰试点各项任务完成。</w:t>
      </w:r>
    </w:p>
    <w:p w14:paraId="355C35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2"/>
          <w14:textFill>
            <w14:solidFill>
              <w14:schemeClr w14:val="tx1"/>
            </w14:solidFill>
          </w14:textFill>
        </w:rPr>
      </w:pPr>
      <w:bookmarkStart w:id="24" w:name="_Toc28663"/>
      <w:r>
        <w:rPr>
          <w:rFonts w:hint="eastAsia" w:eastAsia="楷体_GB2312" w:cs="楷体_GB2312"/>
          <w:b/>
          <w:bCs/>
          <w:color w:val="000000" w:themeColor="text1"/>
          <w:sz w:val="32"/>
          <w:szCs w:val="32"/>
          <w14:textFill>
            <w14:solidFill>
              <w14:schemeClr w14:val="tx1"/>
            </w14:solidFill>
          </w14:textFill>
        </w:rPr>
        <w:t>（二）细化任务清单</w:t>
      </w:r>
      <w:bookmarkEnd w:id="24"/>
    </w:p>
    <w:p w14:paraId="2D871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重点围绕本实施方案</w:t>
      </w:r>
      <w:r>
        <w:rPr>
          <w:rFonts w:hint="eastAsia" w:eastAsia="仿宋_GB2312" w:cs="仿宋_GB2312"/>
          <w:color w:val="000000" w:themeColor="text1"/>
          <w:sz w:val="32"/>
          <w:szCs w:val="32"/>
          <w:lang w:eastAsia="zh-CN"/>
          <w14:textFill>
            <w14:solidFill>
              <w14:schemeClr w14:val="tx1"/>
            </w14:solidFill>
          </w14:textFill>
        </w:rPr>
        <w:t>中的</w:t>
      </w:r>
      <w:r>
        <w:rPr>
          <w:rFonts w:hint="eastAsia" w:eastAsia="仿宋_GB2312" w:cs="仿宋_GB2312"/>
          <w:color w:val="000000" w:themeColor="text1"/>
          <w:sz w:val="32"/>
          <w:szCs w:val="32"/>
          <w14:textFill>
            <w14:solidFill>
              <w14:schemeClr w14:val="tx1"/>
            </w14:solidFill>
          </w14:textFill>
        </w:rPr>
        <w:t>主要目标和重点任务，</w:t>
      </w:r>
      <w:r>
        <w:rPr>
          <w:rFonts w:eastAsia="仿宋_GB2312" w:cs="仿宋_GB2312"/>
          <w:color w:val="000000" w:themeColor="text1"/>
          <w:sz w:val="32"/>
          <w:szCs w:val="32"/>
          <w14:textFill>
            <w14:solidFill>
              <w14:schemeClr w14:val="tx1"/>
            </w14:solidFill>
          </w14:textFill>
        </w:rPr>
        <w:t>各有关部门要明确责任，将各项任务落实落细，及时总结好经验好做法，扎实推进相关工作。</w:t>
      </w:r>
      <w:r>
        <w:rPr>
          <w:rFonts w:hint="eastAsia" w:eastAsia="仿宋_GB2312" w:cs="仿宋_GB2312"/>
          <w:color w:val="000000" w:themeColor="text1"/>
          <w:sz w:val="32"/>
          <w:szCs w:val="32"/>
          <w14:textFill>
            <w14:solidFill>
              <w14:schemeClr w14:val="tx1"/>
            </w14:solidFill>
          </w14:textFill>
        </w:rPr>
        <w:t>列出任务清单，明确时间表、路线图、施工图。全力推动创建碳达峰试点各项工作有效</w:t>
      </w:r>
      <w:r>
        <w:rPr>
          <w:rFonts w:hint="eastAsia" w:eastAsia="仿宋_GB2312" w:cs="仿宋_GB2312"/>
          <w:color w:val="000000" w:themeColor="text1"/>
          <w:sz w:val="32"/>
          <w:szCs w:val="32"/>
          <w:lang w:eastAsia="zh-CN"/>
          <w14:textFill>
            <w14:solidFill>
              <w14:schemeClr w14:val="tx1"/>
            </w14:solidFill>
          </w14:textFill>
        </w:rPr>
        <w:t>开展</w:t>
      </w:r>
      <w:r>
        <w:rPr>
          <w:rFonts w:hint="eastAsia" w:eastAsia="仿宋_GB2312" w:cs="仿宋_GB2312"/>
          <w:color w:val="000000" w:themeColor="text1"/>
          <w:sz w:val="32"/>
          <w:szCs w:val="32"/>
          <w14:textFill>
            <w14:solidFill>
              <w14:schemeClr w14:val="tx1"/>
            </w14:solidFill>
          </w14:textFill>
        </w:rPr>
        <w:t>，创建全国首家县域碳中和示范模式，打造零碳园区，推广绿色低碳先进技术、推行绿色低碳管理机制、倡导全社会绿色低碳生活。</w:t>
      </w:r>
    </w:p>
    <w:p w14:paraId="33DCE5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2"/>
          <w14:textFill>
            <w14:solidFill>
              <w14:schemeClr w14:val="tx1"/>
            </w14:solidFill>
          </w14:textFill>
        </w:rPr>
      </w:pPr>
      <w:bookmarkStart w:id="25" w:name="_Toc24606"/>
      <w:r>
        <w:rPr>
          <w:rFonts w:hint="eastAsia" w:eastAsia="楷体_GB2312" w:cs="楷体_GB2312"/>
          <w:b/>
          <w:bCs/>
          <w:color w:val="000000" w:themeColor="text1"/>
          <w:sz w:val="32"/>
          <w:szCs w:val="32"/>
          <w14:textFill>
            <w14:solidFill>
              <w14:schemeClr w14:val="tx1"/>
            </w14:solidFill>
          </w14:textFill>
        </w:rPr>
        <w:t>（三）出台配套政策</w:t>
      </w:r>
      <w:bookmarkEnd w:id="25"/>
    </w:p>
    <w:p w14:paraId="3C587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持续出台绿色低碳发展政策。加强“双碳”重点领域和关键环节创新研究，落实支持绿色低碳发展的相关税收优惠、价格、土地、金融等政策，促进能源绿色低碳转型。充分发挥好用能权市场与碳排放权市场、新能源电力消纳责任权重等机制的综合调控作用。推动完善适应低碳发展的价格机制，充分发挥价格杠杆调节作用，挖掘各类资源调节潜力。</w:t>
      </w:r>
    </w:p>
    <w:p w14:paraId="295301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eastAsia="楷体_GB2312" w:cs="楷体_GB2312"/>
          <w:b/>
          <w:bCs/>
          <w:color w:val="000000" w:themeColor="text1"/>
          <w:sz w:val="32"/>
          <w:szCs w:val="32"/>
          <w14:textFill>
            <w14:solidFill>
              <w14:schemeClr w14:val="tx1"/>
            </w14:solidFill>
          </w14:textFill>
        </w:rPr>
      </w:pPr>
      <w:bookmarkStart w:id="26" w:name="_Toc16891"/>
      <w:r>
        <w:rPr>
          <w:rFonts w:hint="eastAsia" w:eastAsia="楷体_GB2312" w:cs="楷体_GB2312"/>
          <w:b/>
          <w:bCs/>
          <w:color w:val="000000" w:themeColor="text1"/>
          <w:sz w:val="32"/>
          <w:szCs w:val="32"/>
          <w14:textFill>
            <w14:solidFill>
              <w14:schemeClr w14:val="tx1"/>
            </w14:solidFill>
          </w14:textFill>
        </w:rPr>
        <w:t>（四）做好宣传引导</w:t>
      </w:r>
      <w:bookmarkEnd w:id="26"/>
    </w:p>
    <w:p w14:paraId="70747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充分发挥报刊、广播、电视、网络等新闻媒体作用，广泛宣传“双碳”的重要意义以及区委、区政府在“双碳”方面的具体举措，营造良好的外部环境。加强相关知识普及，倡导绿色能源消费理念，提高社会各界和民众对节能减排、绿色低碳、可持续发展迫切性的认识。</w:t>
      </w:r>
    </w:p>
    <w:p w14:paraId="3EEF59D6">
      <w:pPr>
        <w:spacing w:line="600" w:lineRule="exact"/>
        <w:ind w:firstLine="640" w:firstLineChars="200"/>
        <w:rPr>
          <w:rFonts w:eastAsia="仿宋_GB2312" w:cs="仿宋_GB2312"/>
          <w:color w:val="000000" w:themeColor="text1"/>
          <w:sz w:val="32"/>
          <w:szCs w:val="32"/>
          <w14:textFill>
            <w14:solidFill>
              <w14:schemeClr w14:val="tx1"/>
            </w14:solidFill>
          </w14:textFill>
        </w:rPr>
      </w:pPr>
    </w:p>
    <w:p w14:paraId="7F562980">
      <w:pPr>
        <w:spacing w:line="600" w:lineRule="exact"/>
        <w:rPr>
          <w:rFonts w:eastAsia="仿宋_GB2312" w:cs="仿宋_GB2312"/>
          <w:color w:val="000000" w:themeColor="text1"/>
          <w:sz w:val="32"/>
          <w:szCs w:val="32"/>
          <w14:textFill>
            <w14:solidFill>
              <w14:schemeClr w14:val="tx1"/>
            </w14:solidFill>
          </w14:textFill>
        </w:rPr>
        <w:sectPr>
          <w:footerReference r:id="rId3" w:type="default"/>
          <w:pgSz w:w="11906" w:h="16838"/>
          <w:pgMar w:top="1440" w:right="1803" w:bottom="1440" w:left="1803" w:header="851" w:footer="992" w:gutter="0"/>
          <w:cols w:space="425" w:num="1"/>
          <w:docGrid w:type="lines" w:linePitch="312" w:charSpace="0"/>
        </w:sectPr>
      </w:pPr>
    </w:p>
    <w:p w14:paraId="27830DA3">
      <w:pPr>
        <w:spacing w:line="576" w:lineRule="exact"/>
        <w:jc w:val="center"/>
        <w:outlineLvl w:val="0"/>
        <w:rPr>
          <w:rFonts w:eastAsia="仿宋_GB2312"/>
          <w:color w:val="000000" w:themeColor="text1"/>
          <w:spacing w:val="-10"/>
          <w:kern w:val="0"/>
          <w:sz w:val="32"/>
          <w:szCs w:val="32"/>
          <w14:textFill>
            <w14:solidFill>
              <w14:schemeClr w14:val="tx1"/>
            </w14:solidFill>
          </w14:textFill>
        </w:rPr>
      </w:pPr>
      <w:bookmarkStart w:id="27" w:name="_Toc812"/>
      <w:bookmarkStart w:id="28" w:name="_Toc25180"/>
      <w:r>
        <w:rPr>
          <w:rFonts w:hint="eastAsia" w:eastAsia="方正小标宋简体" w:cs="方正小标宋简体"/>
          <w:color w:val="000000" w:themeColor="text1"/>
          <w:sz w:val="40"/>
          <w:szCs w:val="40"/>
          <w14:textFill>
            <w14:solidFill>
              <w14:schemeClr w14:val="tx1"/>
            </w14:solidFill>
          </w14:textFill>
        </w:rPr>
        <w:t>白云鄂博矿区碳达峰试点建设指标</w:t>
      </w:r>
      <w:bookmarkEnd w:id="27"/>
      <w:bookmarkEnd w:id="28"/>
    </w:p>
    <w:tbl>
      <w:tblPr>
        <w:tblStyle w:val="12"/>
        <w:tblW w:w="6020" w:type="pct"/>
        <w:jc w:val="center"/>
        <w:tblLayout w:type="autofit"/>
        <w:tblCellMar>
          <w:top w:w="0" w:type="dxa"/>
          <w:left w:w="108" w:type="dxa"/>
          <w:bottom w:w="0" w:type="dxa"/>
          <w:right w:w="108" w:type="dxa"/>
        </w:tblCellMar>
      </w:tblPr>
      <w:tblGrid>
        <w:gridCol w:w="719"/>
        <w:gridCol w:w="880"/>
        <w:gridCol w:w="4270"/>
        <w:gridCol w:w="1570"/>
        <w:gridCol w:w="1035"/>
        <w:gridCol w:w="1159"/>
        <w:gridCol w:w="1275"/>
      </w:tblGrid>
      <w:tr w14:paraId="723331BD">
        <w:tblPrEx>
          <w:tblCellMar>
            <w:top w:w="0" w:type="dxa"/>
            <w:left w:w="108" w:type="dxa"/>
            <w:bottom w:w="0" w:type="dxa"/>
            <w:right w:w="108" w:type="dxa"/>
          </w:tblCellMar>
        </w:tblPrEx>
        <w:trPr>
          <w:trHeight w:val="170" w:hRule="atLeast"/>
          <w:jc w:val="center"/>
        </w:trPr>
        <w:tc>
          <w:tcPr>
            <w:tcW w:w="330" w:type="pct"/>
            <w:tcBorders>
              <w:top w:val="single" w:color="auto" w:sz="4" w:space="0"/>
              <w:left w:val="single" w:color="000000" w:sz="4" w:space="0"/>
              <w:bottom w:val="single" w:color="000000" w:sz="4" w:space="0"/>
              <w:right w:val="single" w:color="000000" w:sz="4" w:space="0"/>
            </w:tcBorders>
            <w:shd w:val="clear" w:color="auto" w:fill="auto"/>
            <w:vAlign w:val="center"/>
          </w:tcPr>
          <w:p w14:paraId="69AEDCAF">
            <w:pPr>
              <w:widowControl/>
              <w:jc w:val="center"/>
              <w:textAlignment w:val="center"/>
              <w:rPr>
                <w:rFonts w:eastAsia="黑体" w:cs="黑体"/>
                <w:color w:val="000000" w:themeColor="text1"/>
                <w:sz w:val="24"/>
                <w14:textFill>
                  <w14:solidFill>
                    <w14:schemeClr w14:val="tx1"/>
                  </w14:solidFill>
                </w14:textFill>
              </w:rPr>
            </w:pPr>
            <w:r>
              <w:rPr>
                <w:rStyle w:val="25"/>
                <w:rFonts w:hint="eastAsia" w:ascii="Times New Roman" w:hAnsi="Times New Roman" w:eastAsia="黑体" w:cs="黑体"/>
                <w:color w:val="000000" w:themeColor="text1"/>
                <w:lang w:bidi="ar"/>
                <w14:textFill>
                  <w14:solidFill>
                    <w14:schemeClr w14:val="tx1"/>
                  </w14:solidFill>
                </w14:textFill>
              </w:rPr>
              <w:t>序号</w:t>
            </w:r>
          </w:p>
        </w:tc>
        <w:tc>
          <w:tcPr>
            <w:tcW w:w="403" w:type="pct"/>
            <w:tcBorders>
              <w:top w:val="single" w:color="auto" w:sz="4" w:space="0"/>
              <w:left w:val="single" w:color="000000" w:sz="4" w:space="0"/>
              <w:bottom w:val="single" w:color="000000" w:sz="4" w:space="0"/>
              <w:right w:val="single" w:color="000000" w:sz="4" w:space="0"/>
            </w:tcBorders>
            <w:shd w:val="clear" w:color="auto" w:fill="auto"/>
            <w:vAlign w:val="center"/>
          </w:tcPr>
          <w:p w14:paraId="745527CC">
            <w:pPr>
              <w:widowControl/>
              <w:jc w:val="center"/>
              <w:textAlignment w:val="center"/>
              <w:rPr>
                <w:rFonts w:eastAsia="黑体" w:cs="黑体"/>
                <w:color w:val="000000" w:themeColor="text1"/>
                <w:sz w:val="24"/>
                <w14:textFill>
                  <w14:solidFill>
                    <w14:schemeClr w14:val="tx1"/>
                  </w14:solidFill>
                </w14:textFill>
              </w:rPr>
            </w:pPr>
            <w:r>
              <w:rPr>
                <w:rStyle w:val="25"/>
                <w:rFonts w:hint="eastAsia" w:ascii="Times New Roman" w:hAnsi="Times New Roman" w:eastAsia="黑体" w:cs="黑体"/>
                <w:color w:val="000000" w:themeColor="text1"/>
                <w:lang w:bidi="ar"/>
                <w14:textFill>
                  <w14:solidFill>
                    <w14:schemeClr w14:val="tx1"/>
                  </w14:solidFill>
                </w14:textFill>
              </w:rPr>
              <w:t>类别</w:t>
            </w:r>
          </w:p>
        </w:tc>
        <w:tc>
          <w:tcPr>
            <w:tcW w:w="1956" w:type="pct"/>
            <w:tcBorders>
              <w:top w:val="single" w:color="auto" w:sz="4" w:space="0"/>
              <w:left w:val="single" w:color="000000" w:sz="4" w:space="0"/>
              <w:bottom w:val="single" w:color="000000" w:sz="4" w:space="0"/>
              <w:right w:val="single" w:color="000000" w:sz="4" w:space="0"/>
            </w:tcBorders>
            <w:shd w:val="clear" w:color="auto" w:fill="auto"/>
            <w:vAlign w:val="center"/>
          </w:tcPr>
          <w:p w14:paraId="01E4B17A">
            <w:pPr>
              <w:widowControl/>
              <w:jc w:val="center"/>
              <w:textAlignment w:val="center"/>
              <w:rPr>
                <w:rFonts w:eastAsia="黑体" w:cs="黑体"/>
                <w:color w:val="000000" w:themeColor="text1"/>
                <w:sz w:val="24"/>
                <w14:textFill>
                  <w14:solidFill>
                    <w14:schemeClr w14:val="tx1"/>
                  </w14:solidFill>
                </w14:textFill>
              </w:rPr>
            </w:pPr>
            <w:r>
              <w:rPr>
                <w:rStyle w:val="25"/>
                <w:rFonts w:hint="eastAsia" w:ascii="Times New Roman" w:hAnsi="Times New Roman" w:eastAsia="黑体" w:cs="黑体"/>
                <w:color w:val="000000" w:themeColor="text1"/>
                <w:lang w:bidi="ar"/>
                <w14:textFill>
                  <w14:solidFill>
                    <w14:schemeClr w14:val="tx1"/>
                  </w14:solidFill>
                </w14:textFill>
              </w:rPr>
              <w:t>指标</w:t>
            </w:r>
          </w:p>
        </w:tc>
        <w:tc>
          <w:tcPr>
            <w:tcW w:w="719" w:type="pct"/>
            <w:tcBorders>
              <w:top w:val="single" w:color="auto" w:sz="4" w:space="0"/>
              <w:left w:val="single" w:color="000000" w:sz="4" w:space="0"/>
              <w:bottom w:val="single" w:color="000000" w:sz="4" w:space="0"/>
              <w:right w:val="single" w:color="000000" w:sz="4" w:space="0"/>
            </w:tcBorders>
            <w:shd w:val="clear" w:color="auto" w:fill="auto"/>
            <w:vAlign w:val="center"/>
          </w:tcPr>
          <w:p w14:paraId="3D794C3E">
            <w:pPr>
              <w:widowControl/>
              <w:jc w:val="center"/>
              <w:textAlignment w:val="center"/>
              <w:rPr>
                <w:rFonts w:eastAsia="黑体" w:cs="黑体"/>
                <w:color w:val="000000" w:themeColor="text1"/>
                <w:sz w:val="24"/>
                <w14:textFill>
                  <w14:solidFill>
                    <w14:schemeClr w14:val="tx1"/>
                  </w14:solidFill>
                </w14:textFill>
              </w:rPr>
            </w:pPr>
            <w:r>
              <w:rPr>
                <w:rStyle w:val="25"/>
                <w:rFonts w:hint="eastAsia" w:ascii="Times New Roman" w:hAnsi="Times New Roman" w:eastAsia="黑体" w:cs="黑体"/>
                <w:color w:val="000000" w:themeColor="text1"/>
                <w:lang w:bidi="ar"/>
                <w14:textFill>
                  <w14:solidFill>
                    <w14:schemeClr w14:val="tx1"/>
                  </w14:solidFill>
                </w14:textFill>
              </w:rPr>
              <w:t>单位</w:t>
            </w:r>
          </w:p>
        </w:tc>
        <w:tc>
          <w:tcPr>
            <w:tcW w:w="474" w:type="pct"/>
            <w:tcBorders>
              <w:top w:val="single" w:color="auto" w:sz="4" w:space="0"/>
              <w:left w:val="single" w:color="000000" w:sz="4" w:space="0"/>
              <w:bottom w:val="single" w:color="000000" w:sz="4" w:space="0"/>
              <w:right w:val="single" w:color="000000" w:sz="4" w:space="0"/>
            </w:tcBorders>
            <w:shd w:val="clear" w:color="auto" w:fill="auto"/>
            <w:vAlign w:val="center"/>
          </w:tcPr>
          <w:p w14:paraId="716EC5D5">
            <w:pPr>
              <w:widowControl/>
              <w:jc w:val="center"/>
              <w:textAlignment w:val="center"/>
              <w:rPr>
                <w:rFonts w:eastAsia="黑体" w:cs="黑体"/>
                <w:color w:val="000000" w:themeColor="text1"/>
                <w:sz w:val="24"/>
                <w14:textFill>
                  <w14:solidFill>
                    <w14:schemeClr w14:val="tx1"/>
                  </w14:solidFill>
                </w14:textFill>
              </w:rPr>
            </w:pPr>
            <w:r>
              <w:rPr>
                <w:rStyle w:val="25"/>
                <w:rFonts w:hint="eastAsia" w:ascii="Times New Roman" w:hAnsi="Times New Roman" w:eastAsia="黑体" w:cs="黑体"/>
                <w:color w:val="000000" w:themeColor="text1"/>
                <w:lang w:bidi="ar"/>
                <w14:textFill>
                  <w14:solidFill>
                    <w14:schemeClr w14:val="tx1"/>
                  </w14:solidFill>
                </w14:textFill>
              </w:rPr>
              <w:t>2023年</w:t>
            </w:r>
          </w:p>
        </w:tc>
        <w:tc>
          <w:tcPr>
            <w:tcW w:w="531" w:type="pct"/>
            <w:tcBorders>
              <w:top w:val="single" w:color="auto" w:sz="4" w:space="0"/>
              <w:left w:val="single" w:color="000000" w:sz="4" w:space="0"/>
              <w:bottom w:val="single" w:color="000000" w:sz="4" w:space="0"/>
              <w:right w:val="single" w:color="000000" w:sz="4" w:space="0"/>
            </w:tcBorders>
            <w:shd w:val="clear" w:color="auto" w:fill="auto"/>
            <w:vAlign w:val="center"/>
          </w:tcPr>
          <w:p w14:paraId="41A86F05">
            <w:pPr>
              <w:widowControl/>
              <w:jc w:val="center"/>
              <w:textAlignment w:val="center"/>
              <w:rPr>
                <w:rFonts w:eastAsia="黑体" w:cs="黑体"/>
                <w:color w:val="000000" w:themeColor="text1"/>
                <w:sz w:val="24"/>
                <w14:textFill>
                  <w14:solidFill>
                    <w14:schemeClr w14:val="tx1"/>
                  </w14:solidFill>
                </w14:textFill>
              </w:rPr>
            </w:pPr>
            <w:r>
              <w:rPr>
                <w:rStyle w:val="25"/>
                <w:rFonts w:hint="eastAsia" w:ascii="Times New Roman" w:hAnsi="Times New Roman" w:eastAsia="黑体" w:cs="黑体"/>
                <w:color w:val="000000" w:themeColor="text1"/>
                <w:lang w:bidi="ar"/>
                <w14:textFill>
                  <w14:solidFill>
                    <w14:schemeClr w14:val="tx1"/>
                  </w14:solidFill>
                </w14:textFill>
              </w:rPr>
              <w:t>2025年（目标）</w:t>
            </w:r>
          </w:p>
        </w:tc>
        <w:tc>
          <w:tcPr>
            <w:tcW w:w="584" w:type="pct"/>
            <w:tcBorders>
              <w:top w:val="single" w:color="auto" w:sz="4" w:space="0"/>
              <w:left w:val="single" w:color="000000" w:sz="4" w:space="0"/>
              <w:bottom w:val="single" w:color="000000" w:sz="4" w:space="0"/>
              <w:right w:val="single" w:color="000000" w:sz="4" w:space="0"/>
            </w:tcBorders>
            <w:shd w:val="clear" w:color="auto" w:fill="auto"/>
            <w:vAlign w:val="center"/>
          </w:tcPr>
          <w:p w14:paraId="75B7E95B">
            <w:pPr>
              <w:widowControl/>
              <w:jc w:val="center"/>
              <w:textAlignment w:val="center"/>
              <w:rPr>
                <w:rStyle w:val="25"/>
                <w:rFonts w:ascii="Times New Roman" w:hAnsi="Times New Roman" w:eastAsia="黑体" w:cs="黑体"/>
                <w:color w:val="000000" w:themeColor="text1"/>
                <w:lang w:bidi="ar"/>
                <w14:textFill>
                  <w14:solidFill>
                    <w14:schemeClr w14:val="tx1"/>
                  </w14:solidFill>
                </w14:textFill>
              </w:rPr>
            </w:pPr>
            <w:r>
              <w:rPr>
                <w:rStyle w:val="25"/>
                <w:rFonts w:hint="eastAsia" w:ascii="Times New Roman" w:hAnsi="Times New Roman" w:eastAsia="黑体" w:cs="黑体"/>
                <w:color w:val="000000" w:themeColor="text1"/>
                <w:lang w:bidi="ar"/>
                <w14:textFill>
                  <w14:solidFill>
                    <w14:schemeClr w14:val="tx1"/>
                  </w14:solidFill>
                </w14:textFill>
              </w:rPr>
              <w:t>2027年</w:t>
            </w:r>
          </w:p>
          <w:p w14:paraId="2B804065">
            <w:pPr>
              <w:widowControl/>
              <w:jc w:val="center"/>
              <w:textAlignment w:val="center"/>
              <w:rPr>
                <w:rFonts w:eastAsia="黑体" w:cs="黑体"/>
                <w:color w:val="000000" w:themeColor="text1"/>
                <w:sz w:val="24"/>
                <w14:textFill>
                  <w14:solidFill>
                    <w14:schemeClr w14:val="tx1"/>
                  </w14:solidFill>
                </w14:textFill>
              </w:rPr>
            </w:pPr>
            <w:r>
              <w:rPr>
                <w:rStyle w:val="25"/>
                <w:rFonts w:hint="eastAsia" w:ascii="Times New Roman" w:hAnsi="Times New Roman" w:eastAsia="黑体" w:cs="黑体"/>
                <w:color w:val="000000" w:themeColor="text1"/>
                <w:lang w:bidi="ar"/>
                <w14:textFill>
                  <w14:solidFill>
                    <w14:schemeClr w14:val="tx1"/>
                  </w14:solidFill>
                </w14:textFill>
              </w:rPr>
              <w:t>（目标）</w:t>
            </w:r>
          </w:p>
        </w:tc>
      </w:tr>
      <w:tr w14:paraId="5FBF5198">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11B4">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BEB8D">
            <w:pPr>
              <w:widowControl/>
              <w:spacing w:line="28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绿色低碳发展指标</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4CCE">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GDP 增速</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2060">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DCCB">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20.2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1587">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9998">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20</w:t>
            </w:r>
          </w:p>
        </w:tc>
      </w:tr>
      <w:tr w14:paraId="73DB85ED">
        <w:tblPrEx>
          <w:tblCellMar>
            <w:top w:w="0" w:type="dxa"/>
            <w:left w:w="108" w:type="dxa"/>
            <w:bottom w:w="0" w:type="dxa"/>
            <w:right w:w="108" w:type="dxa"/>
          </w:tblCellMar>
        </w:tblPrEx>
        <w:trPr>
          <w:trHeight w:val="68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0FB5">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6447">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C33E">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单位 GDP 能耗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1E5B">
            <w:pPr>
              <w:widowControl/>
              <w:spacing w:line="320" w:lineRule="exact"/>
              <w:jc w:val="center"/>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吨标准煤/</w:t>
            </w:r>
          </w:p>
          <w:p w14:paraId="73045435">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万元</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7C94">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0.40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EF0A">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0.37</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3217">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0.33</w:t>
            </w:r>
          </w:p>
        </w:tc>
      </w:tr>
      <w:tr w14:paraId="23A5F92D">
        <w:tblPrEx>
          <w:tblCellMar>
            <w:top w:w="0" w:type="dxa"/>
            <w:left w:w="108" w:type="dxa"/>
            <w:bottom w:w="0" w:type="dxa"/>
            <w:right w:w="108" w:type="dxa"/>
          </w:tblCellMar>
        </w:tblPrEx>
        <w:trPr>
          <w:trHeight w:val="68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D2AD">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212B">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6529">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单位 GDP 二氧化碳排放</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9729">
            <w:pPr>
              <w:widowControl/>
              <w:spacing w:line="320" w:lineRule="exact"/>
              <w:jc w:val="center"/>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吨二氧化碳/</w:t>
            </w:r>
          </w:p>
          <w:p w14:paraId="3639BB63">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万元</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A759">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DEC4">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F273">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0.8</w:t>
            </w:r>
          </w:p>
        </w:tc>
      </w:tr>
      <w:tr w14:paraId="39D6A42E">
        <w:tblPrEx>
          <w:tblCellMar>
            <w:top w:w="0" w:type="dxa"/>
            <w:left w:w="108" w:type="dxa"/>
            <w:bottom w:w="0" w:type="dxa"/>
            <w:right w:w="108" w:type="dxa"/>
          </w:tblCellMar>
        </w:tblPrEx>
        <w:trPr>
          <w:trHeight w:val="68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ED32">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5355">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B840">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单位工业增加值碳排放</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36F4">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吨二氧化碳/万元</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2853">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0.86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D164">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0.75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CFFA">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0.7</w:t>
            </w:r>
          </w:p>
        </w:tc>
      </w:tr>
      <w:tr w14:paraId="1FAF17E1">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43F0">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361E">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CDFB">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战略新兴产业增加值占比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C8B0">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CBC0">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eastAsia="zh" w:bidi="ar"/>
                <w14:textFill>
                  <w14:solidFill>
                    <w14:schemeClr w14:val="tx1"/>
                  </w14:solidFill>
                </w14:textFill>
              </w:rPr>
              <w:t>79.2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46FC">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2144">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85</w:t>
            </w:r>
          </w:p>
        </w:tc>
      </w:tr>
      <w:tr w14:paraId="07FA27B2">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D50D">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6</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240C">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AF69">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第三产业占比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1AD2">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D5A9">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17.36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966">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18.5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B232">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21</w:t>
            </w:r>
          </w:p>
        </w:tc>
      </w:tr>
      <w:tr w14:paraId="1A7003C5">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90FC">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7</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3EBA9">
            <w:pPr>
              <w:widowControl/>
              <w:spacing w:line="28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能源绿色低碳转型指标</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A39C">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非化石能源占比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831F">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0205">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57C7">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3E98">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60</w:t>
            </w:r>
          </w:p>
        </w:tc>
      </w:tr>
      <w:tr w14:paraId="48750973">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5908">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8</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D7825">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2764">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电能终端用能的比重</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FC38">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E8D4">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E9DB">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2C0E">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58</w:t>
            </w:r>
          </w:p>
        </w:tc>
      </w:tr>
      <w:tr w14:paraId="6EB84832">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5E10">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9</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6B1E">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5FE7">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可再生能源发电量总装机容量</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DA17">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万千瓦</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6E8A">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46.4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50DE">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62.8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18FC">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80</w:t>
            </w:r>
          </w:p>
        </w:tc>
      </w:tr>
      <w:tr w14:paraId="7ABA83B9">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9F66">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E200">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DA97">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新型储能装机容量</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9C5D">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万千瓦</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5688">
            <w:pPr>
              <w:widowControl/>
              <w:spacing w:line="320" w:lineRule="exact"/>
              <w:jc w:val="center"/>
              <w:textAlignment w:val="top"/>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0</w:t>
            </w:r>
          </w:p>
        </w:tc>
        <w:tc>
          <w:tcPr>
            <w:tcW w:w="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06277">
            <w:pPr>
              <w:widowControl/>
              <w:spacing w:line="320" w:lineRule="exact"/>
              <w:jc w:val="center"/>
              <w:textAlignment w:val="top"/>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5EDF">
            <w:pPr>
              <w:widowControl/>
              <w:spacing w:line="320" w:lineRule="exact"/>
              <w:jc w:val="center"/>
              <w:textAlignment w:val="top"/>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33</w:t>
            </w:r>
          </w:p>
        </w:tc>
      </w:tr>
      <w:tr w14:paraId="06E18922">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53EE">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11</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CB7E3">
            <w:pPr>
              <w:widowControl/>
              <w:spacing w:line="28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城乡建设绿色低碳发展指标</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64EA">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星级绿色建筑占新建建筑比例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62F7">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5E3E">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596E">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74EE">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50</w:t>
            </w:r>
          </w:p>
        </w:tc>
      </w:tr>
      <w:tr w14:paraId="66C628F4">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9972">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12</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77D1">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58C1">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新建建筑中超低能耗建筑面积占比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B70F">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9736">
            <w:pPr>
              <w:widowControl/>
              <w:spacing w:line="320" w:lineRule="exact"/>
              <w:jc w:val="center"/>
              <w:textAlignment w:val="top"/>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C782">
            <w:pPr>
              <w:widowControl/>
              <w:spacing w:line="320" w:lineRule="exact"/>
              <w:jc w:val="center"/>
              <w:textAlignment w:val="top"/>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BEB7">
            <w:pPr>
              <w:widowControl/>
              <w:spacing w:line="320" w:lineRule="exact"/>
              <w:jc w:val="center"/>
              <w:textAlignment w:val="top"/>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100</w:t>
            </w:r>
          </w:p>
        </w:tc>
      </w:tr>
      <w:tr w14:paraId="5DF2FD83">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F480">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13</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C6DE">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E97E">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新建公共机构建筑屋顶光伏覆盖率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8579">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7927">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B34B">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3430">
            <w:pPr>
              <w:widowControl/>
              <w:spacing w:line="320" w:lineRule="exact"/>
              <w:jc w:val="center"/>
              <w:textAlignment w:val="top"/>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100</w:t>
            </w:r>
          </w:p>
        </w:tc>
      </w:tr>
      <w:tr w14:paraId="5EA505F1">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6FE4">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14</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6DD9">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E682">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建筑垃圾资源化利用率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10C6">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4609">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9365">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30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7883">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100</w:t>
            </w:r>
          </w:p>
        </w:tc>
      </w:tr>
      <w:tr w14:paraId="15CA8A30">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CBE8">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15</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88FED">
            <w:pPr>
              <w:widowControl/>
              <w:spacing w:line="28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交通领域低碳发展指标</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2854">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城市绿色出行比例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DEF5">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1892">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8DE4">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53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34C1">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90</w:t>
            </w:r>
          </w:p>
        </w:tc>
      </w:tr>
      <w:tr w14:paraId="69DFCC77">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FE26">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16</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BFCF">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5765">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新能源汽车保有量</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8673">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AB90">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9F95">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3000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0319">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6000</w:t>
            </w:r>
          </w:p>
        </w:tc>
      </w:tr>
      <w:tr w14:paraId="412D5508">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F122">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17</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8184">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6877">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新能源汽车市场渗透率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69F6">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B5D7">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F124">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50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D6EF">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90</w:t>
            </w:r>
          </w:p>
        </w:tc>
      </w:tr>
      <w:tr w14:paraId="38D21E97">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F551">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18</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6DD00">
            <w:pPr>
              <w:widowControl/>
              <w:spacing w:line="28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循环经济助力降碳指标</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01CC">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工业用水重复利用率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D3D1">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B132">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59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B4D1">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95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6DBF">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95</w:t>
            </w:r>
          </w:p>
        </w:tc>
      </w:tr>
      <w:tr w14:paraId="10F86DD7">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5767">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19</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EE5F">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9856">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大宗固废综合利用率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15AD">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6031">
            <w:pPr>
              <w:widowControl/>
              <w:spacing w:line="320" w:lineRule="exact"/>
              <w:jc w:val="center"/>
              <w:textAlignment w:val="top"/>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30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298A">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8900">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100</w:t>
            </w:r>
          </w:p>
        </w:tc>
      </w:tr>
      <w:tr w14:paraId="6B96CA5B">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845C">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20</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7A31">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6930">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工业余能回收利用率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49E8">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F950">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60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361A">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4B39">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100</w:t>
            </w:r>
          </w:p>
        </w:tc>
      </w:tr>
      <w:tr w14:paraId="138F27D4">
        <w:tblPrEx>
          <w:tblCellMar>
            <w:top w:w="0" w:type="dxa"/>
            <w:left w:w="108" w:type="dxa"/>
            <w:bottom w:w="0" w:type="dxa"/>
            <w:right w:w="108" w:type="dxa"/>
          </w:tblCellMar>
        </w:tblPrEx>
        <w:trPr>
          <w:trHeight w:val="397"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009E">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21</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751A">
            <w:pPr>
              <w:spacing w:line="28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6022">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城市生活垃圾资源化利用率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AB3A">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B6B9">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AB33">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B51F">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50</w:t>
            </w:r>
          </w:p>
        </w:tc>
      </w:tr>
      <w:tr w14:paraId="5A803463">
        <w:tblPrEx>
          <w:tblCellMar>
            <w:top w:w="0" w:type="dxa"/>
            <w:left w:w="108" w:type="dxa"/>
            <w:bottom w:w="0" w:type="dxa"/>
            <w:right w:w="108" w:type="dxa"/>
          </w:tblCellMar>
        </w:tblPrEx>
        <w:trPr>
          <w:trHeight w:val="688"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A104">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22</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91A37">
            <w:pPr>
              <w:widowControl/>
              <w:spacing w:line="28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碳汇能力巩固提升指标</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86AD">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城市森林覆盖率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5464">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6D5A">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D442">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DB84">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0.61</w:t>
            </w:r>
          </w:p>
        </w:tc>
      </w:tr>
      <w:tr w14:paraId="1ED2D264">
        <w:tblPrEx>
          <w:tblCellMar>
            <w:top w:w="0" w:type="dxa"/>
            <w:left w:w="108" w:type="dxa"/>
            <w:bottom w:w="0" w:type="dxa"/>
            <w:right w:w="108" w:type="dxa"/>
          </w:tblCellMar>
        </w:tblPrEx>
        <w:trPr>
          <w:trHeight w:val="84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A737">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23</w:t>
            </w: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9604">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D14D">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植树造林（或抚育森林、草原）面积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3324">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公顷</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C073">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C37B">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3F5E">
            <w:pPr>
              <w:widowControl/>
              <w:spacing w:line="320" w:lineRule="exact"/>
              <w:jc w:val="center"/>
              <w:textAlignment w:val="top"/>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26.7</w:t>
            </w:r>
          </w:p>
        </w:tc>
      </w:tr>
      <w:tr w14:paraId="494192F0">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069F">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24</w:t>
            </w:r>
          </w:p>
        </w:tc>
        <w:tc>
          <w:tcPr>
            <w:tcW w:w="403" w:type="pct"/>
            <w:vMerge w:val="restart"/>
            <w:tcBorders>
              <w:top w:val="single" w:color="000000" w:sz="4" w:space="0"/>
              <w:left w:val="single" w:color="000000" w:sz="4" w:space="0"/>
              <w:right w:val="single" w:color="000000" w:sz="4" w:space="0"/>
            </w:tcBorders>
            <w:shd w:val="clear" w:color="auto" w:fill="auto"/>
            <w:vAlign w:val="center"/>
          </w:tcPr>
          <w:p w14:paraId="18B0AF65">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特色指标</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80EB">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全社会绿电消纳占比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9F4B">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FDFA">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31DE">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9</w:t>
            </w:r>
            <w:r>
              <w:rPr>
                <w:rFonts w:hint="eastAsia" w:ascii="仿宋_GB2312" w:hAnsi="仿宋_GB2312" w:eastAsia="仿宋_GB2312" w:cs="仿宋_GB2312"/>
                <w:color w:val="000000" w:themeColor="text1"/>
                <w:sz w:val="24"/>
                <w14:textFill>
                  <w14:solidFill>
                    <w14:schemeClr w14:val="tx1"/>
                  </w14:solidFill>
                </w14:textFill>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E785">
            <w:pPr>
              <w:spacing w:line="320" w:lineRule="exact"/>
              <w:jc w:val="center"/>
              <w:rPr>
                <w:rFonts w:hint="eastAsia" w:ascii="仿宋_GB2312" w:hAnsi="仿宋_GB2312" w:eastAsia="仿宋_GB2312" w:cs="仿宋_GB2312"/>
                <w:color w:val="000000" w:themeColor="text1"/>
                <w:sz w:val="24"/>
                <w:lang w:eastAsia="zh"/>
                <w14:textFill>
                  <w14:solidFill>
                    <w14:schemeClr w14:val="tx1"/>
                  </w14:solidFill>
                </w14:textFill>
              </w:rPr>
            </w:pPr>
            <w:r>
              <w:rPr>
                <w:rFonts w:hint="eastAsia" w:ascii="仿宋_GB2312" w:hAnsi="仿宋_GB2312" w:eastAsia="仿宋_GB2312" w:cs="仿宋_GB2312"/>
                <w:color w:val="000000" w:themeColor="text1"/>
                <w:sz w:val="24"/>
                <w:lang w:eastAsia="zh"/>
                <w14:textFill>
                  <w14:solidFill>
                    <w14:schemeClr w14:val="tx1"/>
                  </w14:solidFill>
                </w14:textFill>
              </w:rPr>
              <w:t>100</w:t>
            </w:r>
          </w:p>
        </w:tc>
      </w:tr>
      <w:tr w14:paraId="5B10E04F">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CECF">
            <w:pPr>
              <w:widowControl/>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25</w:t>
            </w:r>
          </w:p>
        </w:tc>
        <w:tc>
          <w:tcPr>
            <w:tcW w:w="403" w:type="pct"/>
            <w:vMerge w:val="continue"/>
            <w:tcBorders>
              <w:left w:val="single" w:color="000000" w:sz="4" w:space="0"/>
              <w:right w:val="single" w:color="000000" w:sz="4" w:space="0"/>
            </w:tcBorders>
            <w:shd w:val="clear" w:color="auto" w:fill="auto"/>
            <w:vAlign w:val="center"/>
          </w:tcPr>
          <w:p w14:paraId="1440E24C">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4445">
            <w:pPr>
              <w:widowControl/>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规上企业绿电消纳占比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C98E">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3929">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9503">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79FF">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r>
      <w:tr w14:paraId="09CAEA6E">
        <w:tblPrEx>
          <w:tblCellMar>
            <w:top w:w="0" w:type="dxa"/>
            <w:left w:w="108" w:type="dxa"/>
            <w:bottom w:w="0" w:type="dxa"/>
            <w:right w:w="108" w:type="dxa"/>
          </w:tblCellMar>
        </w:tblPrEx>
        <w:trPr>
          <w:trHeight w:val="510" w:hRule="exact"/>
          <w:jc w:val="center"/>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2B24">
            <w:pPr>
              <w:widowControl/>
              <w:jc w:val="center"/>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26</w:t>
            </w:r>
          </w:p>
        </w:tc>
        <w:tc>
          <w:tcPr>
            <w:tcW w:w="403" w:type="pct"/>
            <w:vMerge w:val="continue"/>
            <w:tcBorders>
              <w:left w:val="single" w:color="000000" w:sz="4" w:space="0"/>
              <w:bottom w:val="single" w:color="000000" w:sz="4" w:space="0"/>
              <w:right w:val="single" w:color="000000" w:sz="4" w:space="0"/>
            </w:tcBorders>
            <w:shd w:val="clear" w:color="auto" w:fill="auto"/>
            <w:vAlign w:val="center"/>
          </w:tcPr>
          <w:p w14:paraId="36D5C1E5">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4269">
            <w:pPr>
              <w:widowControl/>
              <w:spacing w:line="320" w:lineRule="exact"/>
              <w:jc w:val="center"/>
              <w:textAlignment w:val="center"/>
              <w:rPr>
                <w:rFonts w:hint="eastAsia"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碳生产力</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9647">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万元/吨</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FD5C">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0.75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648C">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3C8D">
            <w:pPr>
              <w:spacing w:line="32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w:t>
            </w:r>
          </w:p>
        </w:tc>
      </w:tr>
    </w:tbl>
    <w:p w14:paraId="48904584">
      <w:pPr>
        <w:spacing w:line="576" w:lineRule="exact"/>
        <w:rPr>
          <w:rFonts w:eastAsia="仿宋_GB2312"/>
          <w:color w:val="000000" w:themeColor="text1"/>
          <w:spacing w:val="-10"/>
          <w:kern w:val="0"/>
          <w:sz w:val="32"/>
          <w:szCs w:val="32"/>
          <w14:textFill>
            <w14:solidFill>
              <w14:schemeClr w14:val="tx1"/>
            </w14:solidFill>
          </w14:textFill>
        </w:rPr>
        <w:sectPr>
          <w:pgSz w:w="11906" w:h="16838"/>
          <w:pgMar w:top="697" w:right="1531" w:bottom="697" w:left="1531" w:header="851" w:footer="992" w:gutter="0"/>
          <w:cols w:space="425" w:num="1"/>
          <w:docGrid w:type="lines" w:linePitch="312" w:charSpace="0"/>
        </w:sectPr>
      </w:pPr>
    </w:p>
    <w:tbl>
      <w:tblPr>
        <w:tblStyle w:val="12"/>
        <w:tblW w:w="5000" w:type="pct"/>
        <w:jc w:val="center"/>
        <w:tblLayout w:type="autofit"/>
        <w:tblCellMar>
          <w:top w:w="0" w:type="dxa"/>
          <w:left w:w="108" w:type="dxa"/>
          <w:bottom w:w="0" w:type="dxa"/>
          <w:right w:w="108" w:type="dxa"/>
        </w:tblCellMar>
      </w:tblPr>
      <w:tblGrid>
        <w:gridCol w:w="852"/>
        <w:gridCol w:w="2577"/>
        <w:gridCol w:w="1954"/>
        <w:gridCol w:w="6513"/>
        <w:gridCol w:w="1004"/>
        <w:gridCol w:w="1320"/>
      </w:tblGrid>
      <w:tr w14:paraId="47D1E882">
        <w:tblPrEx>
          <w:tblCellMar>
            <w:top w:w="0" w:type="dxa"/>
            <w:left w:w="108" w:type="dxa"/>
            <w:bottom w:w="0" w:type="dxa"/>
            <w:right w:w="108" w:type="dxa"/>
          </w:tblCellMar>
        </w:tblPrEx>
        <w:trPr>
          <w:trHeight w:val="960" w:hRule="atLeast"/>
          <w:jc w:val="center"/>
        </w:trPr>
        <w:tc>
          <w:tcPr>
            <w:tcW w:w="5000" w:type="pct"/>
            <w:gridSpan w:val="6"/>
            <w:tcBorders>
              <w:top w:val="nil"/>
              <w:left w:val="nil"/>
              <w:bottom w:val="nil"/>
              <w:right w:val="nil"/>
            </w:tcBorders>
            <w:shd w:val="clear" w:color="auto" w:fill="auto"/>
            <w:vAlign w:val="center"/>
          </w:tcPr>
          <w:p w14:paraId="61C7C4B3">
            <w:pPr>
              <w:widowControl/>
              <w:jc w:val="center"/>
              <w:textAlignment w:val="center"/>
              <w:outlineLvl w:val="0"/>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bookmarkStart w:id="29" w:name="_Toc19471"/>
            <w:r>
              <w:rPr>
                <w:rFonts w:hint="eastAsia" w:ascii="方正小标宋简体" w:hAnsi="方正小标宋简体" w:eastAsia="方正小标宋简体" w:cs="方正小标宋简体"/>
                <w:color w:val="000000" w:themeColor="text1"/>
                <w:kern w:val="0"/>
                <w:sz w:val="40"/>
                <w:szCs w:val="40"/>
                <w:lang w:bidi="ar"/>
                <w14:textFill>
                  <w14:solidFill>
                    <w14:schemeClr w14:val="tx1"/>
                  </w14:solidFill>
                </w14:textFill>
              </w:rPr>
              <w:t>白云鄂博矿区碳达峰试点重点项目一览表</w:t>
            </w:r>
            <w:bookmarkEnd w:id="29"/>
          </w:p>
        </w:tc>
      </w:tr>
      <w:tr w14:paraId="72F60F91">
        <w:tblPrEx>
          <w:tblCellMar>
            <w:top w:w="0" w:type="dxa"/>
            <w:left w:w="108" w:type="dxa"/>
            <w:bottom w:w="0" w:type="dxa"/>
            <w:right w:w="108" w:type="dxa"/>
          </w:tblCellMar>
        </w:tblPrEx>
        <w:trPr>
          <w:trHeight w:val="10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A921">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3207">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项目名称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049E">
            <w:pPr>
              <w:widowControl/>
              <w:spacing w:line="400" w:lineRule="exact"/>
              <w:jc w:val="center"/>
              <w:textAlignment w:val="center"/>
              <w:rPr>
                <w:rFonts w:hint="eastAsia" w:ascii="黑体" w:hAnsi="宋体" w:eastAsia="黑体" w:cs="黑体"/>
                <w:color w:val="000000" w:themeColor="text1"/>
                <w:kern w:val="0"/>
                <w:sz w:val="28"/>
                <w:szCs w:val="28"/>
                <w:lang w:bidi="ar"/>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公司或建设</w:t>
            </w:r>
          </w:p>
          <w:p w14:paraId="32FC0594">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主体全称</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D2FD">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主要建设内容及规模</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EDAD">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建设属性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07C5">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总投资</w:t>
            </w:r>
            <w:r>
              <w:rPr>
                <w:rFonts w:hint="eastAsia" w:ascii="黑体" w:hAnsi="宋体" w:eastAsia="黑体" w:cs="黑体"/>
                <w:color w:val="000000" w:themeColor="text1"/>
                <w:kern w:val="0"/>
                <w:sz w:val="28"/>
                <w:szCs w:val="28"/>
                <w:lang w:bidi="ar"/>
                <w14:textFill>
                  <w14:solidFill>
                    <w14:schemeClr w14:val="tx1"/>
                  </w14:solidFill>
                </w14:textFill>
              </w:rPr>
              <w:br w:type="textWrapping"/>
            </w:r>
            <w:r>
              <w:rPr>
                <w:rFonts w:hint="eastAsia" w:ascii="黑体" w:hAnsi="宋体" w:eastAsia="黑体" w:cs="黑体"/>
                <w:color w:val="000000" w:themeColor="text1"/>
                <w:kern w:val="0"/>
                <w:sz w:val="28"/>
                <w:szCs w:val="28"/>
                <w:lang w:bidi="ar"/>
                <w14:textFill>
                  <w14:solidFill>
                    <w14:schemeClr w14:val="tx1"/>
                  </w14:solidFill>
                </w14:textFill>
              </w:rPr>
              <w:t>（万元）</w:t>
            </w:r>
          </w:p>
        </w:tc>
      </w:tr>
      <w:tr w14:paraId="4B78ECF9">
        <w:tblPrEx>
          <w:tblCellMar>
            <w:top w:w="0" w:type="dxa"/>
            <w:left w:w="108" w:type="dxa"/>
            <w:bottom w:w="0" w:type="dxa"/>
            <w:right w:w="108" w:type="dxa"/>
          </w:tblCellMar>
        </w:tblPrEx>
        <w:trPr>
          <w:trHeight w:val="437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E88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121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内蒙古包钢稀土林峰科技有限公司选矿浮选药剂扩建项目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5CE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内蒙古包钢稀土林峰科技有限公司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654E">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增加2台30立方不锈钢反应釜，以及配套安装工程、操作平台、配套管道改造工程;增加场内污水管道改造工程及消防管道改造工程;屋顶铺设彩钢板(两座库房、一座锅炉房及生产车间)，一套积料自清除无人值守离心机及一个20立方硫酸罐，一台4吨电锅炉;蒸馏塔一台;2台结晶设备(结晶釜);生产车间增加一台100立方储料罐;增加一台烘干破碎一体机，将原有压滤机更换为1000型程控聚丙烯高压隔膜压滤机。</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5B8C">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续建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C727">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568 </w:t>
            </w:r>
          </w:p>
        </w:tc>
      </w:tr>
      <w:tr w14:paraId="0D0208E9">
        <w:tblPrEx>
          <w:tblCellMar>
            <w:top w:w="0" w:type="dxa"/>
            <w:left w:w="108" w:type="dxa"/>
            <w:bottom w:w="0" w:type="dxa"/>
            <w:right w:w="108" w:type="dxa"/>
          </w:tblCellMar>
        </w:tblPrEx>
        <w:trPr>
          <w:trHeight w:val="17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511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2</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60E2">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磷酸铁锂电池回收利用项目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A368">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深圳市捷晶科技股份有限公司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9670">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采用退役磷酸铁锂电池极粉回收利用技术、高盐锂云母卤水分盐提锂技术、工业级碳酸锂储备电池级碳酸锂的连续生产工艺，大力发展循环经济体系。</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0F5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6A5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35000 </w:t>
            </w:r>
          </w:p>
        </w:tc>
      </w:tr>
      <w:tr w14:paraId="63E5EADF">
        <w:tblPrEx>
          <w:tblCellMar>
            <w:top w:w="0" w:type="dxa"/>
            <w:left w:w="108" w:type="dxa"/>
            <w:bottom w:w="0" w:type="dxa"/>
            <w:right w:w="108" w:type="dxa"/>
          </w:tblCellMar>
        </w:tblPrEx>
        <w:trPr>
          <w:trHeight w:val="103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253C">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4C75">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项目名称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0072">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公司或建设主体全称</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C405">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主要建设内容及规模</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CCE7">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建设属性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B8FF">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总投资（万元）</w:t>
            </w:r>
          </w:p>
        </w:tc>
      </w:tr>
      <w:tr w14:paraId="3E4BFD57">
        <w:tblPrEx>
          <w:tblCellMar>
            <w:top w:w="0" w:type="dxa"/>
            <w:left w:w="108" w:type="dxa"/>
            <w:bottom w:w="0" w:type="dxa"/>
            <w:right w:w="108" w:type="dxa"/>
          </w:tblCellMar>
        </w:tblPrEx>
        <w:trPr>
          <w:trHeight w:val="17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E671">
            <w:pPr>
              <w:widowControl/>
              <w:spacing w:line="400" w:lineRule="exact"/>
              <w:jc w:val="center"/>
              <w:textAlignment w:val="center"/>
              <w:rPr>
                <w:rFonts w:hint="eastAsia" w:ascii="仿宋_GB2312" w:hAnsi="Arial" w:eastAsia="仿宋_GB2312" w:cs="仿宋_GB2312"/>
                <w:color w:val="000000" w:themeColor="text1"/>
                <w:kern w:val="0"/>
                <w:sz w:val="28"/>
                <w:szCs w:val="28"/>
                <w:lang w:bidi="ar"/>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3</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3D5C">
            <w:pPr>
              <w:widowControl/>
              <w:spacing w:line="400" w:lineRule="exact"/>
              <w:jc w:val="center"/>
              <w:textAlignment w:val="center"/>
              <w:rPr>
                <w:rFonts w:hint="eastAsia" w:ascii="仿宋_GB2312" w:hAnsi="Arial" w:eastAsia="仿宋_GB2312" w:cs="仿宋_GB2312"/>
                <w:color w:val="000000" w:themeColor="text1"/>
                <w:kern w:val="0"/>
                <w:sz w:val="28"/>
                <w:szCs w:val="28"/>
                <w:lang w:bidi="ar"/>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废旧铅酸电池回收利用项目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9944">
            <w:pPr>
              <w:widowControl/>
              <w:spacing w:line="400" w:lineRule="exact"/>
              <w:jc w:val="center"/>
              <w:textAlignment w:val="center"/>
              <w:rPr>
                <w:rFonts w:hint="eastAsia" w:ascii="仿宋_GB2312" w:hAnsi="Arial" w:eastAsia="仿宋_GB2312" w:cs="仿宋_GB2312"/>
                <w:color w:val="000000" w:themeColor="text1"/>
                <w:kern w:val="0"/>
                <w:sz w:val="28"/>
                <w:szCs w:val="28"/>
                <w:lang w:bidi="ar"/>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内蒙古国纳再生资源科技有限公司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CE7A">
            <w:pPr>
              <w:widowControl/>
              <w:spacing w:line="400" w:lineRule="exact"/>
              <w:textAlignment w:val="center"/>
              <w:rPr>
                <w:rFonts w:hint="eastAsia" w:ascii="仿宋_GB2312" w:hAnsi="Arial" w:eastAsia="仿宋_GB2312" w:cs="仿宋_GB2312"/>
                <w:color w:val="000000" w:themeColor="text1"/>
                <w:kern w:val="0"/>
                <w:sz w:val="28"/>
                <w:szCs w:val="28"/>
                <w:lang w:bidi="ar"/>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一期建设年处理30万吨废旧铅酸电池及深加工项目，投资4.5亿元人民币；年处理20万吨废铜回收综合利用项目，投资10亿元人民币。</w:t>
            </w:r>
            <w:r>
              <w:rPr>
                <w:rFonts w:hint="eastAsia" w:ascii="仿宋_GB2312" w:hAnsi="Arial" w:eastAsia="仿宋_GB2312" w:cs="仿宋_GB2312"/>
                <w:color w:val="000000" w:themeColor="text1"/>
                <w:kern w:val="0"/>
                <w:sz w:val="28"/>
                <w:szCs w:val="28"/>
                <w:lang w:bidi="ar"/>
                <w14:textFill>
                  <w14:solidFill>
                    <w14:schemeClr w14:val="tx1"/>
                  </w14:solidFill>
                </w14:textFill>
              </w:rPr>
              <w:br w:type="textWrapping"/>
            </w:r>
            <w:r>
              <w:rPr>
                <w:rFonts w:hint="eastAsia" w:ascii="仿宋_GB2312" w:hAnsi="Arial" w:eastAsia="仿宋_GB2312" w:cs="仿宋_GB2312"/>
                <w:color w:val="000000" w:themeColor="text1"/>
                <w:kern w:val="0"/>
                <w:sz w:val="28"/>
                <w:szCs w:val="28"/>
                <w:lang w:bidi="ar"/>
                <w14:textFill>
                  <w14:solidFill>
                    <w14:schemeClr w14:val="tx1"/>
                  </w14:solidFill>
                </w14:textFill>
              </w:rPr>
              <w:t>二期建设年处理10万吨废旧动力及储能电池综合利用项目，投资10亿元人民币；年产20 万吨特种铜合金铬锆铜项目，投资 15 亿元人民币；年处理40万吨废铜回收综合利用项目，投资20亿元人民币。</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0BB0">
            <w:pPr>
              <w:widowControl/>
              <w:spacing w:line="400" w:lineRule="exact"/>
              <w:jc w:val="center"/>
              <w:textAlignment w:val="center"/>
              <w:rPr>
                <w:rFonts w:hint="eastAsia" w:ascii="仿宋_GB2312" w:hAnsi="Arial" w:eastAsia="仿宋_GB2312" w:cs="仿宋_GB2312"/>
                <w:color w:val="000000" w:themeColor="text1"/>
                <w:kern w:val="0"/>
                <w:sz w:val="28"/>
                <w:szCs w:val="28"/>
                <w:lang w:bidi="ar"/>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63ED">
            <w:pPr>
              <w:widowControl/>
              <w:spacing w:line="400" w:lineRule="exact"/>
              <w:jc w:val="center"/>
              <w:textAlignment w:val="center"/>
              <w:rPr>
                <w:rFonts w:hint="eastAsia" w:ascii="仿宋_GB2312" w:hAnsi="Arial" w:eastAsia="仿宋_GB2312" w:cs="仿宋_GB2312"/>
                <w:color w:val="000000" w:themeColor="text1"/>
                <w:kern w:val="0"/>
                <w:sz w:val="28"/>
                <w:szCs w:val="28"/>
                <w:lang w:bidi="ar"/>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590000 </w:t>
            </w:r>
          </w:p>
        </w:tc>
      </w:tr>
      <w:tr w14:paraId="277F82F4">
        <w:tblPrEx>
          <w:tblCellMar>
            <w:top w:w="0" w:type="dxa"/>
            <w:left w:w="108" w:type="dxa"/>
            <w:bottom w:w="0" w:type="dxa"/>
            <w:right w:w="108" w:type="dxa"/>
          </w:tblCellMar>
        </w:tblPrEx>
        <w:trPr>
          <w:trHeight w:val="17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5DDC">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4</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632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固体废弃物再生资源综合利用工程</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1C79">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包头市峰象标新能源科技有限公司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1C1C">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建设固废生产线3条/厂房5栋，配套建设办公楼/原料仓2座/成品仓/锅炉房及配套水电暖等基础设施，项目建成后年处理固废能力达 201万吨。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22F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E11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20000 </w:t>
            </w:r>
          </w:p>
        </w:tc>
      </w:tr>
      <w:tr w14:paraId="5FFF54C0">
        <w:tblPrEx>
          <w:tblCellMar>
            <w:top w:w="0" w:type="dxa"/>
            <w:left w:w="108" w:type="dxa"/>
            <w:bottom w:w="0" w:type="dxa"/>
            <w:right w:w="108" w:type="dxa"/>
          </w:tblCellMar>
        </w:tblPrEx>
        <w:trPr>
          <w:trHeight w:val="90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A2A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5</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D77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清洁能源固废处置项目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931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丰诺(江苏)环保科技有限公司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0535">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对废弃风机叶片通过提油、打颗粒、做景观等方式进行处置再利用。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C322">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B30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10000 </w:t>
            </w:r>
          </w:p>
        </w:tc>
      </w:tr>
      <w:tr w14:paraId="5374F015">
        <w:tblPrEx>
          <w:tblCellMar>
            <w:top w:w="0" w:type="dxa"/>
            <w:left w:w="108" w:type="dxa"/>
            <w:bottom w:w="0" w:type="dxa"/>
            <w:right w:w="108" w:type="dxa"/>
          </w:tblCellMar>
        </w:tblPrEx>
        <w:trPr>
          <w:trHeight w:val="120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41B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6</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B58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泰道环保科技有限公司再生资源综合处理项目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417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张家口泰道环保科技有限公司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D710">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对拆解、回收的废弃风机叶片进行无害化处置。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504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DC31">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15000 </w:t>
            </w:r>
          </w:p>
        </w:tc>
      </w:tr>
      <w:tr w14:paraId="237FCED6">
        <w:tblPrEx>
          <w:tblCellMar>
            <w:top w:w="0" w:type="dxa"/>
            <w:left w:w="108" w:type="dxa"/>
            <w:bottom w:w="0" w:type="dxa"/>
            <w:right w:w="108" w:type="dxa"/>
          </w:tblCellMar>
        </w:tblPrEx>
        <w:trPr>
          <w:trHeight w:val="103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450D">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E9C4">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项目名称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FE2D">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公司或建设主体全称</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E47C">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主要建设内容及规模</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8C76">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建设属性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7005">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总投资（万元）</w:t>
            </w:r>
          </w:p>
        </w:tc>
      </w:tr>
      <w:tr w14:paraId="277686B0">
        <w:tblPrEx>
          <w:tblCellMar>
            <w:top w:w="0" w:type="dxa"/>
            <w:left w:w="108" w:type="dxa"/>
            <w:bottom w:w="0" w:type="dxa"/>
            <w:right w:w="108" w:type="dxa"/>
          </w:tblCellMar>
        </w:tblPrEx>
        <w:trPr>
          <w:trHeight w:val="14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3CE1">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7</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691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废旧稀土材料综合回收利用生产线项目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7486">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包头再生稀土合金</w:t>
            </w:r>
            <w:r>
              <w:rPr>
                <w:rFonts w:hint="eastAsia" w:ascii="仿宋_GB2312" w:hAnsi="Arial" w:eastAsia="仿宋_GB2312" w:cs="仿宋_GB2312"/>
                <w:color w:val="000000" w:themeColor="text1"/>
                <w:kern w:val="0"/>
                <w:sz w:val="28"/>
                <w:szCs w:val="28"/>
                <w:lang w:bidi="ar"/>
                <w14:textFill>
                  <w14:solidFill>
                    <w14:schemeClr w14:val="tx1"/>
                  </w14:solidFill>
                </w14:textFill>
              </w:rPr>
              <w:br w:type="textWrapping"/>
            </w:r>
            <w:r>
              <w:rPr>
                <w:rFonts w:hint="eastAsia" w:ascii="仿宋_GB2312" w:hAnsi="Arial" w:eastAsia="仿宋_GB2312" w:cs="仿宋_GB2312"/>
                <w:color w:val="000000" w:themeColor="text1"/>
                <w:kern w:val="0"/>
                <w:sz w:val="28"/>
                <w:szCs w:val="28"/>
                <w:lang w:bidi="ar"/>
                <w14:textFill>
                  <w14:solidFill>
                    <w14:schemeClr w14:val="tx1"/>
                  </w14:solidFill>
                </w14:textFill>
              </w:rPr>
              <w:t>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FD3E">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年产2000吨废旧稀土材料综合回收利用生产线项目。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EEB7">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CF5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10000 </w:t>
            </w:r>
          </w:p>
        </w:tc>
      </w:tr>
      <w:tr w14:paraId="3DFEDDC8">
        <w:tblPrEx>
          <w:tblCellMar>
            <w:top w:w="0" w:type="dxa"/>
            <w:left w:w="108" w:type="dxa"/>
            <w:bottom w:w="0" w:type="dxa"/>
            <w:right w:w="108" w:type="dxa"/>
          </w:tblCellMar>
        </w:tblPrEx>
        <w:trPr>
          <w:trHeight w:val="168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E35C">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8</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F698">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5000吨/年电解质资源回收综合利用项目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0B9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包头市华宇稀土新材料有限责任公司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BE86">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建设两条稀土金属电解质生产线，每条生产线配置6台氟化炉，配套建设公辅设施等，项目建成后年产5000吨稀土金属电解质。铽、镝等重稀土冶炼分离中试线建设。</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F66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4C38">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10000 </w:t>
            </w:r>
          </w:p>
        </w:tc>
      </w:tr>
      <w:tr w14:paraId="7261640A">
        <w:tblPrEx>
          <w:tblCellMar>
            <w:top w:w="0" w:type="dxa"/>
            <w:left w:w="108" w:type="dxa"/>
            <w:bottom w:w="0" w:type="dxa"/>
            <w:right w:w="108" w:type="dxa"/>
          </w:tblCellMar>
        </w:tblPrEx>
        <w:trPr>
          <w:trHeight w:val="146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A87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9</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05B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背压机组热电联产项目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B55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内蒙古北通元新能源科技有限公司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0F8E">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建设2×15MW 高温高压抽汽背压式汽轮发电机组配套建设辅助设施，同步建设脱硫脱硝装置，满足火力发电厂环保超低排放要求。</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9238">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续建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360D">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49000 </w:t>
            </w:r>
          </w:p>
        </w:tc>
      </w:tr>
      <w:tr w14:paraId="69E2D9D0">
        <w:tblPrEx>
          <w:tblCellMar>
            <w:top w:w="0" w:type="dxa"/>
            <w:left w:w="108" w:type="dxa"/>
            <w:bottom w:w="0" w:type="dxa"/>
            <w:right w:w="108" w:type="dxa"/>
          </w:tblCellMar>
        </w:tblPrEx>
        <w:trPr>
          <w:trHeight w:val="1125"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D33D">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10</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8B8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包头市沃尔特矿业有限公司节能环保采暖改造项目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6EA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包头市沃尔特矿业有限公司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770C">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新建电磁锅炉房，电磁锅炉设备安装调试，配套厂房封闭和电磁站防水工程等。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EFA9">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续建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FA3D">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500 </w:t>
            </w:r>
          </w:p>
        </w:tc>
      </w:tr>
      <w:tr w14:paraId="70C0BA54">
        <w:tblPrEx>
          <w:tblCellMar>
            <w:top w:w="0" w:type="dxa"/>
            <w:left w:w="108" w:type="dxa"/>
            <w:bottom w:w="0" w:type="dxa"/>
            <w:right w:w="108" w:type="dxa"/>
          </w:tblCellMar>
        </w:tblPrEx>
        <w:trPr>
          <w:trHeight w:val="130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F0B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11</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0C8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供暖设施节能降碳锅炉改造项目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562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包头市白云鄂博金源热力有限公司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5409">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拆除1座20蒸吨锅炉，建设一座91MW的低碳循环流化床热水锅炉，配套建设燃料输送系 统、烟气</w:t>
            </w:r>
            <w:r>
              <w:rPr>
                <w:rFonts w:hint="eastAsia" w:ascii="仿宋_GB2312" w:hAnsi="Arial" w:eastAsia="仿宋_GB2312" w:cs="仿宋_GB2312"/>
                <w:color w:val="000000" w:themeColor="text1"/>
                <w:kern w:val="0"/>
                <w:sz w:val="28"/>
                <w:szCs w:val="28"/>
                <w:lang w:eastAsia="zh-CN" w:bidi="ar"/>
                <w14:textFill>
                  <w14:solidFill>
                    <w14:schemeClr w14:val="tx1"/>
                  </w14:solidFill>
                </w14:textFill>
              </w:rPr>
              <w:t>环保</w:t>
            </w:r>
            <w:r>
              <w:rPr>
                <w:rFonts w:hint="eastAsia" w:ascii="仿宋_GB2312" w:hAnsi="Arial" w:eastAsia="仿宋_GB2312" w:cs="仿宋_GB2312"/>
                <w:color w:val="000000" w:themeColor="text1"/>
                <w:kern w:val="0"/>
                <w:sz w:val="28"/>
                <w:szCs w:val="28"/>
                <w:lang w:bidi="ar"/>
                <w14:textFill>
                  <w14:solidFill>
                    <w14:schemeClr w14:val="tx1"/>
                  </w14:solidFill>
                </w14:textFill>
              </w:rPr>
              <w:t>岛、软水的辅助系统。铺设3.2公里连接管道。</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C1B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AC7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4600 </w:t>
            </w:r>
          </w:p>
        </w:tc>
      </w:tr>
      <w:tr w14:paraId="14B93D9E">
        <w:tblPrEx>
          <w:tblCellMar>
            <w:top w:w="0" w:type="dxa"/>
            <w:left w:w="108" w:type="dxa"/>
            <w:bottom w:w="0" w:type="dxa"/>
            <w:right w:w="108" w:type="dxa"/>
          </w:tblCellMar>
        </w:tblPrEx>
        <w:trPr>
          <w:trHeight w:val="103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679B">
            <w:pPr>
              <w:widowControl/>
              <w:spacing w:line="400" w:lineRule="exact"/>
              <w:jc w:val="center"/>
              <w:textAlignment w:val="center"/>
              <w:rPr>
                <w:rFonts w:hint="eastAsia" w:ascii="黑体" w:hAnsi="宋体" w:eastAsia="黑体" w:cs="黑体"/>
                <w:color w:val="000000" w:themeColor="text1"/>
                <w:kern w:val="0"/>
                <w:sz w:val="28"/>
                <w:szCs w:val="28"/>
                <w:lang w:val="en-US" w:eastAsia="zh-CN" w:bidi="ar"/>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4770">
            <w:pPr>
              <w:widowControl/>
              <w:spacing w:line="400" w:lineRule="exact"/>
              <w:jc w:val="center"/>
              <w:textAlignment w:val="center"/>
              <w:rPr>
                <w:rFonts w:hint="eastAsia" w:ascii="黑体" w:hAnsi="宋体" w:eastAsia="黑体" w:cs="黑体"/>
                <w:color w:val="000000" w:themeColor="text1"/>
                <w:kern w:val="0"/>
                <w:sz w:val="28"/>
                <w:szCs w:val="28"/>
                <w:lang w:val="en-US" w:eastAsia="zh-CN" w:bidi="ar"/>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项目名称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107A">
            <w:pPr>
              <w:widowControl/>
              <w:spacing w:line="400" w:lineRule="exact"/>
              <w:jc w:val="center"/>
              <w:textAlignment w:val="center"/>
              <w:rPr>
                <w:rFonts w:hint="eastAsia" w:ascii="黑体" w:hAnsi="宋体" w:eastAsia="黑体" w:cs="黑体"/>
                <w:color w:val="000000" w:themeColor="text1"/>
                <w:kern w:val="0"/>
                <w:sz w:val="28"/>
                <w:szCs w:val="28"/>
                <w:lang w:val="en-US" w:eastAsia="zh-CN" w:bidi="ar"/>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公司或建设主体全称</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E403">
            <w:pPr>
              <w:widowControl/>
              <w:spacing w:line="400" w:lineRule="exact"/>
              <w:jc w:val="center"/>
              <w:textAlignment w:val="center"/>
              <w:rPr>
                <w:rFonts w:hint="eastAsia" w:ascii="黑体" w:hAnsi="宋体" w:eastAsia="黑体" w:cs="黑体"/>
                <w:color w:val="000000" w:themeColor="text1"/>
                <w:kern w:val="0"/>
                <w:sz w:val="28"/>
                <w:szCs w:val="28"/>
                <w:lang w:val="en-US" w:eastAsia="zh-CN" w:bidi="ar"/>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主要建设内容及规模</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6260">
            <w:pPr>
              <w:widowControl/>
              <w:spacing w:line="400" w:lineRule="exact"/>
              <w:jc w:val="center"/>
              <w:textAlignment w:val="center"/>
              <w:rPr>
                <w:rFonts w:hint="eastAsia" w:ascii="黑体" w:hAnsi="宋体" w:eastAsia="黑体" w:cs="黑体"/>
                <w:color w:val="000000" w:themeColor="text1"/>
                <w:kern w:val="0"/>
                <w:sz w:val="28"/>
                <w:szCs w:val="28"/>
                <w:lang w:val="en-US" w:eastAsia="zh-CN" w:bidi="ar"/>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建设属性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5150">
            <w:pPr>
              <w:widowControl/>
              <w:spacing w:line="400" w:lineRule="exact"/>
              <w:jc w:val="center"/>
              <w:textAlignment w:val="center"/>
              <w:rPr>
                <w:rFonts w:hint="eastAsia" w:ascii="黑体" w:hAnsi="宋体" w:eastAsia="黑体" w:cs="黑体"/>
                <w:color w:val="000000" w:themeColor="text1"/>
                <w:kern w:val="0"/>
                <w:sz w:val="28"/>
                <w:szCs w:val="28"/>
                <w:lang w:val="en-US" w:eastAsia="zh-CN" w:bidi="ar"/>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总投资（万元）</w:t>
            </w:r>
          </w:p>
        </w:tc>
      </w:tr>
      <w:tr w14:paraId="7FDE4EBD">
        <w:tblPrEx>
          <w:tblCellMar>
            <w:top w:w="0" w:type="dxa"/>
            <w:left w:w="108" w:type="dxa"/>
            <w:bottom w:w="0" w:type="dxa"/>
            <w:right w:w="108" w:type="dxa"/>
          </w:tblCellMar>
        </w:tblPrEx>
        <w:trPr>
          <w:trHeight w:val="2361"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2BF1">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12</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871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园区工业污水处理厂建设项目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E662">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白云鄂博园区运营建设发展有限公司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13B1">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依据园区现有企业及园区产业规划，集中建设产业园工业废水处理厂，通过集中处理改善水质，减少水体污染，降低园区水污染环境风险的同时，有效</w:t>
            </w:r>
            <w:r>
              <w:rPr>
                <w:rFonts w:hint="eastAsia" w:ascii="仿宋_GB2312" w:hAnsi="Arial" w:eastAsia="仿宋_GB2312" w:cs="仿宋_GB2312"/>
                <w:color w:val="000000" w:themeColor="text1"/>
                <w:kern w:val="0"/>
                <w:sz w:val="28"/>
                <w:szCs w:val="28"/>
                <w:lang w:eastAsia="zh-CN" w:bidi="ar"/>
                <w14:textFill>
                  <w14:solidFill>
                    <w14:schemeClr w14:val="tx1"/>
                  </w14:solidFill>
                </w14:textFill>
              </w:rPr>
              <w:t>地</w:t>
            </w:r>
            <w:r>
              <w:rPr>
                <w:rFonts w:hint="eastAsia" w:ascii="仿宋_GB2312" w:hAnsi="Arial" w:eastAsia="仿宋_GB2312" w:cs="仿宋_GB2312"/>
                <w:color w:val="000000" w:themeColor="text1"/>
                <w:kern w:val="0"/>
                <w:sz w:val="28"/>
                <w:szCs w:val="28"/>
                <w:lang w:bidi="ar"/>
                <w14:textFill>
                  <w14:solidFill>
                    <w14:schemeClr w14:val="tx1"/>
                  </w14:solidFill>
                </w14:textFill>
              </w:rPr>
              <w:t>提高水资源的利用率。项目总处理能力约2000吨/日。</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6230">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B310">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3000 </w:t>
            </w:r>
          </w:p>
        </w:tc>
      </w:tr>
      <w:tr w14:paraId="4D555073">
        <w:tblPrEx>
          <w:tblCellMar>
            <w:top w:w="0" w:type="dxa"/>
            <w:left w:w="108" w:type="dxa"/>
            <w:bottom w:w="0" w:type="dxa"/>
            <w:right w:w="108" w:type="dxa"/>
          </w:tblCellMar>
        </w:tblPrEx>
        <w:trPr>
          <w:trHeight w:val="210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27E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13</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2AD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工业园区雨水收集系统建设项目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8D12">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白云鄂博园区运营建设发展有限公司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C048">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根据园区现状情况，在园区内建设雨水收集设施，如雨水花园、雨水蓄水池等。收集的雨水经过简单处理后可用于车间地坪冲洗、绿化等用途， 以提高水资源的利用效率。</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74B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029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1000 </w:t>
            </w:r>
          </w:p>
        </w:tc>
      </w:tr>
      <w:tr w14:paraId="7227531B">
        <w:tblPrEx>
          <w:tblCellMar>
            <w:top w:w="0" w:type="dxa"/>
            <w:left w:w="108" w:type="dxa"/>
            <w:bottom w:w="0" w:type="dxa"/>
            <w:right w:w="108" w:type="dxa"/>
          </w:tblCellMar>
        </w:tblPrEx>
        <w:trPr>
          <w:trHeight w:val="150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2F9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14</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3ED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包钢（集团）公司白云鄂博矿区绿电直供项目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BF62">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包钢（集团）公司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12A7">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拟按照“ 自发自用，接带存量负荷”模式建设150MW风力发电新能源项目。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7AD7">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续建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72B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75000 </w:t>
            </w:r>
          </w:p>
        </w:tc>
      </w:tr>
      <w:tr w14:paraId="6587B5E9">
        <w:tblPrEx>
          <w:tblCellMar>
            <w:top w:w="0" w:type="dxa"/>
            <w:left w:w="108" w:type="dxa"/>
            <w:bottom w:w="0" w:type="dxa"/>
            <w:right w:w="108" w:type="dxa"/>
          </w:tblCellMar>
        </w:tblPrEx>
        <w:trPr>
          <w:trHeight w:val="13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9893">
            <w:pPr>
              <w:widowControl/>
              <w:spacing w:line="400" w:lineRule="exact"/>
              <w:jc w:val="center"/>
              <w:textAlignment w:val="center"/>
              <w:rPr>
                <w:rFonts w:ascii="仿宋_GB2312" w:hAnsi="Arial" w:eastAsia="仿宋_GB2312" w:cs="仿宋_GB2312"/>
                <w:color w:val="000000" w:themeColor="text1"/>
                <w:sz w:val="28"/>
                <w:szCs w:val="28"/>
                <w:highlight w:val="none"/>
                <w14:textFill>
                  <w14:solidFill>
                    <w14:schemeClr w14:val="tx1"/>
                  </w14:solidFill>
                </w14:textFill>
              </w:rPr>
            </w:pPr>
            <w:r>
              <w:rPr>
                <w:rFonts w:hint="eastAsia" w:ascii="仿宋_GB2312" w:hAnsi="Arial" w:eastAsia="仿宋_GB2312" w:cs="仿宋_GB2312"/>
                <w:color w:val="000000" w:themeColor="text1"/>
                <w:kern w:val="0"/>
                <w:sz w:val="28"/>
                <w:szCs w:val="28"/>
                <w:highlight w:val="none"/>
                <w:lang w:val="en-US" w:eastAsia="zh-CN" w:bidi="ar"/>
                <w14:textFill>
                  <w14:solidFill>
                    <w14:schemeClr w14:val="tx1"/>
                  </w14:solidFill>
                </w14:textFill>
              </w:rPr>
              <w:t>15</w:t>
            </w:r>
            <w:r>
              <w:rPr>
                <w:rFonts w:hint="eastAsia" w:ascii="仿宋_GB2312" w:hAnsi="Arial" w:eastAsia="仿宋_GB2312" w:cs="仿宋_GB2312"/>
                <w:color w:val="000000" w:themeColor="text1"/>
                <w:kern w:val="0"/>
                <w:sz w:val="28"/>
                <w:szCs w:val="28"/>
                <w:highlight w:val="none"/>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1007">
            <w:pPr>
              <w:widowControl/>
              <w:spacing w:line="400" w:lineRule="exact"/>
              <w:jc w:val="center"/>
              <w:textAlignment w:val="center"/>
              <w:rPr>
                <w:rFonts w:ascii="仿宋_GB2312" w:hAnsi="Arial" w:eastAsia="仿宋_GB2312" w:cs="仿宋_GB2312"/>
                <w:color w:val="000000" w:themeColor="text1"/>
                <w:sz w:val="28"/>
                <w:szCs w:val="28"/>
                <w:highlight w:val="none"/>
                <w14:textFill>
                  <w14:solidFill>
                    <w14:schemeClr w14:val="tx1"/>
                  </w14:solidFill>
                </w14:textFill>
              </w:rPr>
            </w:pPr>
            <w:r>
              <w:rPr>
                <w:rFonts w:hint="eastAsia" w:ascii="仿宋_GB2312" w:hAnsi="Arial" w:eastAsia="仿宋_GB2312" w:cs="仿宋_GB2312"/>
                <w:color w:val="000000" w:themeColor="text1"/>
                <w:kern w:val="0"/>
                <w:sz w:val="28"/>
                <w:szCs w:val="28"/>
                <w:highlight w:val="none"/>
                <w:lang w:eastAsia="zh-CN" w:bidi="ar"/>
                <w14:textFill>
                  <w14:solidFill>
                    <w14:schemeClr w14:val="tx1"/>
                  </w14:solidFill>
                </w14:textFill>
              </w:rPr>
              <w:t>升能能源</w:t>
            </w:r>
            <w:r>
              <w:rPr>
                <w:rFonts w:hint="eastAsia" w:ascii="仿宋_GB2312" w:hAnsi="Arial" w:eastAsia="仿宋_GB2312" w:cs="仿宋_GB2312"/>
                <w:color w:val="000000" w:themeColor="text1"/>
                <w:kern w:val="0"/>
                <w:sz w:val="28"/>
                <w:szCs w:val="28"/>
                <w:highlight w:val="none"/>
                <w:lang w:bidi="ar"/>
                <w14:textFill>
                  <w14:solidFill>
                    <w14:schemeClr w14:val="tx1"/>
                  </w14:solidFill>
                </w14:textFill>
              </w:rPr>
              <w:t>空气压缩储能项目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A11A">
            <w:pPr>
              <w:widowControl/>
              <w:spacing w:line="400" w:lineRule="exact"/>
              <w:jc w:val="center"/>
              <w:textAlignment w:val="center"/>
              <w:rPr>
                <w:rFonts w:ascii="仿宋_GB2312" w:hAnsi="Arial" w:eastAsia="仿宋_GB2312" w:cs="仿宋_GB2312"/>
                <w:color w:val="000000" w:themeColor="text1"/>
                <w:sz w:val="28"/>
                <w:szCs w:val="28"/>
                <w:highlight w:val="none"/>
                <w14:textFill>
                  <w14:solidFill>
                    <w14:schemeClr w14:val="tx1"/>
                  </w14:solidFill>
                </w14:textFill>
              </w:rPr>
            </w:pPr>
            <w:r>
              <w:rPr>
                <w:rFonts w:hint="eastAsia" w:ascii="仿宋_GB2312" w:hAnsi="Arial" w:eastAsia="仿宋_GB2312" w:cs="仿宋_GB2312"/>
                <w:color w:val="000000" w:themeColor="text1"/>
                <w:kern w:val="0"/>
                <w:sz w:val="28"/>
                <w:szCs w:val="28"/>
                <w:highlight w:val="none"/>
                <w:lang w:eastAsia="zh-CN" w:bidi="ar"/>
                <w14:textFill>
                  <w14:solidFill>
                    <w14:schemeClr w14:val="tx1"/>
                  </w14:solidFill>
                </w14:textFill>
              </w:rPr>
              <w:t>升能能源</w:t>
            </w:r>
            <w:r>
              <w:rPr>
                <w:rFonts w:hint="eastAsia" w:ascii="仿宋_GB2312" w:hAnsi="Arial" w:eastAsia="仿宋_GB2312" w:cs="仿宋_GB2312"/>
                <w:color w:val="000000" w:themeColor="text1"/>
                <w:kern w:val="0"/>
                <w:sz w:val="28"/>
                <w:szCs w:val="28"/>
                <w:highlight w:val="none"/>
                <w:lang w:bidi="ar"/>
                <w14:textFill>
                  <w14:solidFill>
                    <w14:schemeClr w14:val="tx1"/>
                  </w14:solidFill>
                </w14:textFill>
              </w:rPr>
              <w:t>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4401">
            <w:pPr>
              <w:widowControl/>
              <w:spacing w:line="400" w:lineRule="exact"/>
              <w:textAlignment w:val="center"/>
              <w:rPr>
                <w:rFonts w:hint="eastAsia" w:ascii="仿宋_GB2312" w:hAnsi="Arial" w:eastAsia="仿宋_GB2312" w:cs="仿宋_GB2312"/>
                <w:color w:val="000000" w:themeColor="text1"/>
                <w:kern w:val="0"/>
                <w:sz w:val="28"/>
                <w:szCs w:val="28"/>
                <w:lang w:bidi="ar"/>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电网侧300MW空气储能。</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A0DF">
            <w:pPr>
              <w:widowControl/>
              <w:spacing w:line="400" w:lineRule="exact"/>
              <w:textAlignment w:val="center"/>
              <w:rPr>
                <w:rFonts w:hint="eastAsia" w:ascii="仿宋_GB2312" w:hAnsi="Arial" w:eastAsia="仿宋_GB2312" w:cs="仿宋_GB2312"/>
                <w:color w:val="000000" w:themeColor="text1"/>
                <w:kern w:val="0"/>
                <w:sz w:val="28"/>
                <w:szCs w:val="28"/>
                <w:lang w:bidi="ar"/>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61EF">
            <w:pPr>
              <w:widowControl/>
              <w:spacing w:line="400" w:lineRule="exact"/>
              <w:jc w:val="center"/>
              <w:textAlignment w:val="center"/>
              <w:rPr>
                <w:rFonts w:hint="default" w:ascii="仿宋_GB2312" w:hAnsi="Arial"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60000</w:t>
            </w:r>
          </w:p>
        </w:tc>
      </w:tr>
      <w:tr w14:paraId="7CEB1F69">
        <w:tblPrEx>
          <w:tblCellMar>
            <w:top w:w="0" w:type="dxa"/>
            <w:left w:w="108" w:type="dxa"/>
            <w:bottom w:w="0" w:type="dxa"/>
            <w:right w:w="108" w:type="dxa"/>
          </w:tblCellMar>
        </w:tblPrEx>
        <w:trPr>
          <w:trHeight w:val="103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8C4E">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4BF4">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项目名称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8B48">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公司或建设主体全称</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3979">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主要建设内容及规模</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BB84">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建设属性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614A">
            <w:pPr>
              <w:widowControl/>
              <w:spacing w:line="400" w:lineRule="exact"/>
              <w:jc w:val="center"/>
              <w:textAlignment w:val="center"/>
              <w:rPr>
                <w:rFonts w:hint="eastAsia" w:ascii="黑体" w:hAnsi="宋体" w:eastAsia="黑体" w:cs="黑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总投资（万元）</w:t>
            </w:r>
          </w:p>
        </w:tc>
      </w:tr>
      <w:tr w14:paraId="6694F281">
        <w:tblPrEx>
          <w:tblCellMar>
            <w:top w:w="0" w:type="dxa"/>
            <w:left w:w="108" w:type="dxa"/>
            <w:bottom w:w="0" w:type="dxa"/>
            <w:right w:w="108" w:type="dxa"/>
          </w:tblCellMar>
        </w:tblPrEx>
        <w:trPr>
          <w:trHeight w:val="146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A77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16</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B7A0">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国能49.5MW上大压小风机改造（二期）项目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4E96">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神华国能有限公司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CC0D">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对现有40台1.25MW风电机组进行改造，更换为6MW机组。</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D65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2D69">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30000 </w:t>
            </w:r>
          </w:p>
        </w:tc>
      </w:tr>
      <w:tr w14:paraId="5BC85700">
        <w:tblPrEx>
          <w:tblCellMar>
            <w:top w:w="0" w:type="dxa"/>
            <w:left w:w="108" w:type="dxa"/>
            <w:bottom w:w="0" w:type="dxa"/>
            <w:right w:w="108" w:type="dxa"/>
          </w:tblCellMar>
        </w:tblPrEx>
        <w:trPr>
          <w:trHeight w:val="96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252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17</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AD98">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蒙电华能50MW上大压小风机改造项目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800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蒙电华能有限公司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58C7">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对现有61台0.81MW风电机组进行改造，更换为6MW机组。</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8CE7">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661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30000 </w:t>
            </w:r>
          </w:p>
        </w:tc>
      </w:tr>
      <w:tr w14:paraId="49B91422">
        <w:tblPrEx>
          <w:tblCellMar>
            <w:top w:w="0" w:type="dxa"/>
            <w:left w:w="108" w:type="dxa"/>
            <w:bottom w:w="0" w:type="dxa"/>
            <w:right w:w="108" w:type="dxa"/>
          </w:tblCellMar>
        </w:tblPrEx>
        <w:trPr>
          <w:trHeight w:val="160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8D7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18</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E33B">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新能源出租车替代</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1AB7">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包头市白云鄂博矿区博思汇科新能源有限责任公司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8E83">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在</w:t>
            </w:r>
            <w:r>
              <w:rPr>
                <w:rFonts w:hint="eastAsia" w:ascii="仿宋_GB2312" w:hAnsi="Arial" w:eastAsia="仿宋_GB2312" w:cs="仿宋_GB2312"/>
                <w:color w:val="000000" w:themeColor="text1"/>
                <w:kern w:val="0"/>
                <w:sz w:val="28"/>
                <w:szCs w:val="28"/>
                <w:lang w:eastAsia="zh-CN" w:bidi="ar"/>
                <w14:textFill>
                  <w14:solidFill>
                    <w14:schemeClr w14:val="tx1"/>
                  </w14:solidFill>
                </w14:textFill>
              </w:rPr>
              <w:t>现有</w:t>
            </w:r>
            <w:r>
              <w:rPr>
                <w:rFonts w:hint="eastAsia" w:ascii="仿宋_GB2312" w:hAnsi="Arial" w:eastAsia="仿宋_GB2312" w:cs="仿宋_GB2312"/>
                <w:color w:val="000000" w:themeColor="text1"/>
                <w:kern w:val="0"/>
                <w:sz w:val="28"/>
                <w:szCs w:val="28"/>
                <w:lang w:bidi="ar"/>
                <w14:textFill>
                  <w14:solidFill>
                    <w14:schemeClr w14:val="tx1"/>
                  </w14:solidFill>
                </w14:textFill>
              </w:rPr>
              <w:t>批次出租车报废替换时大力推进现有出租车进行新能源替换。从而实现辖区范围内公共交通绿色低碳全覆盖。</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FB9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004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200 </w:t>
            </w:r>
          </w:p>
        </w:tc>
      </w:tr>
      <w:tr w14:paraId="0BCA2620">
        <w:tblPrEx>
          <w:tblCellMar>
            <w:top w:w="0" w:type="dxa"/>
            <w:left w:w="108" w:type="dxa"/>
            <w:bottom w:w="0" w:type="dxa"/>
            <w:right w:w="108" w:type="dxa"/>
          </w:tblCellMar>
        </w:tblPrEx>
        <w:trPr>
          <w:trHeight w:val="14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37B0">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19</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44E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蒙古资源深加工集散基地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8C29">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内蒙古圣飞运营科技有限公司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D69D">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在城区汽车站南侧新建一处新能源物流集散基地，供货运汽车停靠、装卸货物使用；建设煤炭、煤矸石深加工基地。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171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567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3000 </w:t>
            </w:r>
          </w:p>
        </w:tc>
      </w:tr>
      <w:tr w14:paraId="4368569C">
        <w:tblPrEx>
          <w:tblCellMar>
            <w:top w:w="0" w:type="dxa"/>
            <w:left w:w="108" w:type="dxa"/>
            <w:bottom w:w="0" w:type="dxa"/>
            <w:right w:w="108" w:type="dxa"/>
          </w:tblCellMar>
        </w:tblPrEx>
        <w:trPr>
          <w:trHeight w:val="132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40E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20</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2532">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白云鄂博矿区加氢充电站建设项目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DC1D">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包头氢能绿电能源有限公司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FC0F">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在白云铁矿厂区内建设一座集加氢、充电一体的场站及相关配套辅助设施。</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95C8">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D45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1000 </w:t>
            </w:r>
          </w:p>
        </w:tc>
      </w:tr>
      <w:tr w14:paraId="16F22996">
        <w:tblPrEx>
          <w:tblCellMar>
            <w:top w:w="0" w:type="dxa"/>
            <w:left w:w="108" w:type="dxa"/>
            <w:bottom w:w="0" w:type="dxa"/>
            <w:right w:w="108" w:type="dxa"/>
          </w:tblCellMar>
        </w:tblPrEx>
        <w:trPr>
          <w:trHeight w:val="97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334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21</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575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华电制氢加氢充电站建设项目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FDB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内蒙古华电氢能科技公司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715C">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建设一座加氢、充电一体的场站及相关配套辅助设施。</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C2B1">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EC3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1000 </w:t>
            </w:r>
          </w:p>
        </w:tc>
      </w:tr>
      <w:tr w14:paraId="57A4107C">
        <w:tblPrEx>
          <w:tblCellMar>
            <w:top w:w="0" w:type="dxa"/>
            <w:left w:w="108" w:type="dxa"/>
            <w:bottom w:w="0" w:type="dxa"/>
            <w:right w:w="108" w:type="dxa"/>
          </w:tblCellMar>
        </w:tblPrEx>
        <w:trPr>
          <w:trHeight w:val="1037"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9C43">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22D7">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项目名称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2470">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公司或建设主体全称</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BA54">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主要建设内容及规模</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C8EB">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建设属性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C556">
            <w:pPr>
              <w:widowControl/>
              <w:spacing w:line="400" w:lineRule="exact"/>
              <w:jc w:val="center"/>
              <w:textAlignment w:val="center"/>
              <w:rPr>
                <w:rFonts w:hint="eastAsia" w:ascii="黑体" w:hAnsi="宋体" w:eastAsia="黑体" w:cs="黑体"/>
                <w:color w:val="000000" w:themeColor="text1"/>
                <w:kern w:val="2"/>
                <w:sz w:val="28"/>
                <w:szCs w:val="28"/>
                <w:lang w:val="en-US" w:eastAsia="zh-CN" w:bidi="ar-SA"/>
                <w14:textFill>
                  <w14:solidFill>
                    <w14:schemeClr w14:val="tx1"/>
                  </w14:solidFill>
                </w14:textFill>
              </w:rPr>
            </w:pPr>
            <w:r>
              <w:rPr>
                <w:rFonts w:hint="eastAsia" w:ascii="黑体" w:hAnsi="宋体" w:eastAsia="黑体" w:cs="黑体"/>
                <w:color w:val="000000" w:themeColor="text1"/>
                <w:kern w:val="0"/>
                <w:sz w:val="28"/>
                <w:szCs w:val="28"/>
                <w:lang w:bidi="ar"/>
                <w14:textFill>
                  <w14:solidFill>
                    <w14:schemeClr w14:val="tx1"/>
                  </w14:solidFill>
                </w14:textFill>
              </w:rPr>
              <w:t>总投资（万元）</w:t>
            </w:r>
          </w:p>
        </w:tc>
      </w:tr>
      <w:tr w14:paraId="0AD7D429">
        <w:tblPrEx>
          <w:tblCellMar>
            <w:top w:w="0" w:type="dxa"/>
            <w:left w:w="108" w:type="dxa"/>
            <w:bottom w:w="0" w:type="dxa"/>
            <w:right w:w="108" w:type="dxa"/>
          </w:tblCellMar>
        </w:tblPrEx>
        <w:trPr>
          <w:trHeight w:val="174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B6D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22</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BA16">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启源芯动力新能源重卡充换电站项目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9404">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包头市白云鄂博启源新能源科技有限公司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35DE">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建设2座新能源重卡充换电站。</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6C5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79E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10000 </w:t>
            </w:r>
          </w:p>
        </w:tc>
      </w:tr>
      <w:tr w14:paraId="4BAC2134">
        <w:tblPrEx>
          <w:tblCellMar>
            <w:top w:w="0" w:type="dxa"/>
            <w:left w:w="108" w:type="dxa"/>
            <w:bottom w:w="0" w:type="dxa"/>
            <w:right w:w="108" w:type="dxa"/>
          </w:tblCellMar>
        </w:tblPrEx>
        <w:trPr>
          <w:trHeight w:val="150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EDA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23</w:t>
            </w: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 </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FC4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包头市滦鑫物流有限公司</w:t>
            </w:r>
            <w:r>
              <w:rPr>
                <w:rFonts w:hint="eastAsia" w:ascii="仿宋_GB2312" w:hAnsi="Arial" w:eastAsia="仿宋_GB2312" w:cs="仿宋_GB2312"/>
                <w:color w:val="000000" w:themeColor="text1"/>
                <w:kern w:val="0"/>
                <w:sz w:val="28"/>
                <w:szCs w:val="28"/>
                <w:lang w:eastAsia="zh-CN" w:bidi="ar"/>
                <w14:textFill>
                  <w14:solidFill>
                    <w14:schemeClr w14:val="tx1"/>
                  </w14:solidFill>
                </w14:textFill>
              </w:rPr>
              <w:t>包头市白云鄂博矿区</w:t>
            </w:r>
            <w:r>
              <w:rPr>
                <w:rFonts w:hint="eastAsia" w:ascii="仿宋_GB2312" w:hAnsi="Arial" w:eastAsia="仿宋_GB2312" w:cs="仿宋_GB2312"/>
                <w:color w:val="000000" w:themeColor="text1"/>
                <w:kern w:val="0"/>
                <w:sz w:val="28"/>
                <w:szCs w:val="28"/>
                <w:lang w:bidi="ar"/>
                <w14:textFill>
                  <w14:solidFill>
                    <w14:schemeClr w14:val="tx1"/>
                  </w14:solidFill>
                </w14:textFill>
              </w:rPr>
              <w:t>清洁能源物流基地示范项目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433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包头市滦鑫物流有限公司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204C">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建设35000</w:t>
            </w:r>
            <w:r>
              <w:rPr>
                <w:rFonts w:hint="eastAsia" w:ascii="仿宋_GB2312" w:hAnsi="Arial" w:eastAsia="仿宋_GB2312" w:cs="仿宋_GB2312"/>
                <w:color w:val="000000" w:themeColor="text1"/>
                <w:kern w:val="0"/>
                <w:sz w:val="28"/>
                <w:szCs w:val="28"/>
                <w:lang w:eastAsia="zh-CN" w:bidi="ar"/>
                <w14:textFill>
                  <w14:solidFill>
                    <w14:schemeClr w14:val="tx1"/>
                  </w14:solidFill>
                </w14:textFill>
              </w:rPr>
              <w:t>平方米</w:t>
            </w:r>
            <w:r>
              <w:rPr>
                <w:rFonts w:hint="eastAsia" w:ascii="仿宋_GB2312" w:hAnsi="Arial" w:eastAsia="仿宋_GB2312" w:cs="仿宋_GB2312"/>
                <w:color w:val="000000" w:themeColor="text1"/>
                <w:kern w:val="0"/>
                <w:sz w:val="28"/>
                <w:szCs w:val="28"/>
                <w:lang w:bidi="ar"/>
                <w14:textFill>
                  <w14:solidFill>
                    <w14:schemeClr w14:val="tx1"/>
                  </w14:solidFill>
                </w14:textFill>
              </w:rPr>
              <w:t>的物流基地配套建设2000</w:t>
            </w:r>
            <w:r>
              <w:rPr>
                <w:rFonts w:hint="eastAsia" w:ascii="仿宋_GB2312" w:hAnsi="Arial" w:eastAsia="仿宋_GB2312" w:cs="仿宋_GB2312"/>
                <w:color w:val="000000" w:themeColor="text1"/>
                <w:kern w:val="0"/>
                <w:sz w:val="28"/>
                <w:szCs w:val="28"/>
                <w:lang w:eastAsia="zh-CN" w:bidi="ar"/>
                <w14:textFill>
                  <w14:solidFill>
                    <w14:schemeClr w14:val="tx1"/>
                  </w14:solidFill>
                </w14:textFill>
              </w:rPr>
              <w:t>平方米</w:t>
            </w:r>
            <w:r>
              <w:rPr>
                <w:rFonts w:hint="eastAsia" w:ascii="仿宋_GB2312" w:hAnsi="Arial" w:eastAsia="仿宋_GB2312" w:cs="仿宋_GB2312"/>
                <w:color w:val="000000" w:themeColor="text1"/>
                <w:kern w:val="0"/>
                <w:sz w:val="28"/>
                <w:szCs w:val="28"/>
                <w:lang w:bidi="ar"/>
                <w14:textFill>
                  <w14:solidFill>
                    <w14:schemeClr w14:val="tx1"/>
                  </w14:solidFill>
                </w14:textFill>
              </w:rPr>
              <w:t>建设办公楼、维修车间、辅助配套设施，同时采购100台清洁能源电车，建设6000千伏安充电站。</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C77F">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1C57">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25000 </w:t>
            </w:r>
          </w:p>
        </w:tc>
      </w:tr>
      <w:tr w14:paraId="3F9101D7">
        <w:tblPrEx>
          <w:tblCellMar>
            <w:top w:w="0" w:type="dxa"/>
            <w:left w:w="108" w:type="dxa"/>
            <w:bottom w:w="0" w:type="dxa"/>
            <w:right w:w="108" w:type="dxa"/>
          </w:tblCellMar>
        </w:tblPrEx>
        <w:trPr>
          <w:trHeight w:val="1125"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D0D0">
            <w:pPr>
              <w:widowControl/>
              <w:spacing w:line="400" w:lineRule="exact"/>
              <w:jc w:val="center"/>
              <w:textAlignment w:val="center"/>
              <w:rPr>
                <w:rFonts w:hint="default" w:ascii="仿宋_GB2312" w:hAnsi="Arial" w:eastAsia="仿宋_GB2312" w:cs="仿宋_GB2312"/>
                <w:color w:val="000000" w:themeColor="text1"/>
                <w:sz w:val="28"/>
                <w:szCs w:val="28"/>
                <w:lang w:val="en-US"/>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24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806D">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白云鄂博伴生矿生产农业用新型材料硅基矿物钾肥产学研一体化项目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9D4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内蒙古蒙钾矿物有限公司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8CA9">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10万吨矿物质钾肥中试生产线及相关配套设施。</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E245">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57B7">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15000 </w:t>
            </w:r>
          </w:p>
        </w:tc>
      </w:tr>
      <w:tr w14:paraId="51EE1FC2">
        <w:tblPrEx>
          <w:tblCellMar>
            <w:top w:w="0" w:type="dxa"/>
            <w:left w:w="108" w:type="dxa"/>
            <w:bottom w:w="0" w:type="dxa"/>
            <w:right w:w="108" w:type="dxa"/>
          </w:tblCellMar>
        </w:tblPrEx>
        <w:trPr>
          <w:trHeight w:val="1125"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6056">
            <w:pPr>
              <w:widowControl/>
              <w:spacing w:line="400" w:lineRule="exact"/>
              <w:jc w:val="center"/>
              <w:textAlignment w:val="center"/>
              <w:rPr>
                <w:rFonts w:hint="default" w:ascii="仿宋_GB2312" w:hAnsi="Arial" w:eastAsia="仿宋_GB2312" w:cs="仿宋_GB2312"/>
                <w:color w:val="000000" w:themeColor="text1"/>
                <w:sz w:val="28"/>
                <w:szCs w:val="28"/>
                <w:lang w:val="en-US"/>
                <w14:textFill>
                  <w14:solidFill>
                    <w14:schemeClr w14:val="tx1"/>
                  </w14:solidFill>
                </w14:textFill>
              </w:rPr>
            </w:pPr>
            <w:r>
              <w:rPr>
                <w:rFonts w:hint="eastAsia" w:ascii="仿宋_GB2312" w:hAnsi="Arial" w:eastAsia="仿宋_GB2312" w:cs="仿宋_GB2312"/>
                <w:color w:val="000000" w:themeColor="text1"/>
                <w:kern w:val="0"/>
                <w:sz w:val="28"/>
                <w:szCs w:val="28"/>
                <w:lang w:val="en-US" w:eastAsia="zh-CN" w:bidi="ar"/>
                <w14:textFill>
                  <w14:solidFill>
                    <w14:schemeClr w14:val="tx1"/>
                  </w14:solidFill>
                </w14:textFill>
              </w:rPr>
              <w:t>25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84CE">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内蒙白云鄂博稀为贵低碳循环农业项目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AA33">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天津市齐心田园尚品农业科技发展有限公司</w:t>
            </w:r>
          </w:p>
        </w:tc>
        <w:tc>
          <w:tcPr>
            <w:tcW w:w="2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5ECA">
            <w:pPr>
              <w:widowControl/>
              <w:spacing w:line="400" w:lineRule="exact"/>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新建爱尔兰温室、日光温室、菌种菌棒生产车间、分拣、加工及冷库中心等。</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3350">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新建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6C4A">
            <w:pPr>
              <w:widowControl/>
              <w:spacing w:line="400" w:lineRule="exact"/>
              <w:jc w:val="center"/>
              <w:textAlignment w:val="center"/>
              <w:rPr>
                <w:rFonts w:ascii="仿宋_GB2312" w:hAnsi="Arial" w:eastAsia="仿宋_GB2312" w:cs="仿宋_GB2312"/>
                <w:color w:val="000000" w:themeColor="text1"/>
                <w:sz w:val="28"/>
                <w:szCs w:val="28"/>
                <w14:textFill>
                  <w14:solidFill>
                    <w14:schemeClr w14:val="tx1"/>
                  </w14:solidFill>
                </w14:textFill>
              </w:rPr>
            </w:pPr>
            <w:r>
              <w:rPr>
                <w:rFonts w:hint="eastAsia" w:ascii="仿宋_GB2312" w:hAnsi="Arial" w:eastAsia="仿宋_GB2312" w:cs="仿宋_GB2312"/>
                <w:color w:val="000000" w:themeColor="text1"/>
                <w:kern w:val="0"/>
                <w:sz w:val="28"/>
                <w:szCs w:val="28"/>
                <w:lang w:bidi="ar"/>
                <w14:textFill>
                  <w14:solidFill>
                    <w14:schemeClr w14:val="tx1"/>
                  </w14:solidFill>
                </w14:textFill>
              </w:rPr>
              <w:t xml:space="preserve">8000 </w:t>
            </w:r>
          </w:p>
        </w:tc>
      </w:tr>
    </w:tbl>
    <w:p w14:paraId="20CD6457">
      <w:pPr>
        <w:spacing w:line="576" w:lineRule="exact"/>
        <w:rPr>
          <w:rFonts w:eastAsia="仿宋_GB2312"/>
          <w:color w:val="000000" w:themeColor="text1"/>
          <w:spacing w:val="-10"/>
          <w:kern w:val="0"/>
          <w:sz w:val="32"/>
          <w:szCs w:val="32"/>
          <w14:textFill>
            <w14:solidFill>
              <w14:schemeClr w14:val="tx1"/>
            </w14:solidFill>
          </w14:textFill>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7184">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A776E">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1A776E">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29F40">
                          <w:pPr>
                            <w:pStyle w:val="6"/>
                            <w:rPr>
                              <w:rFonts w:hint="eastAsia"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329F40">
                    <w:pPr>
                      <w:pStyle w:val="6"/>
                      <w:rPr>
                        <w:rFonts w:hint="eastAsia" w:ascii="宋体" w:hAnsi="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C66C9"/>
    <w:rsid w:val="000171FE"/>
    <w:rsid w:val="000274A1"/>
    <w:rsid w:val="000838D7"/>
    <w:rsid w:val="000B7A42"/>
    <w:rsid w:val="00114171"/>
    <w:rsid w:val="001365FB"/>
    <w:rsid w:val="00170F4E"/>
    <w:rsid w:val="001715E9"/>
    <w:rsid w:val="00196A42"/>
    <w:rsid w:val="001D09F4"/>
    <w:rsid w:val="001D3349"/>
    <w:rsid w:val="00220722"/>
    <w:rsid w:val="0024579B"/>
    <w:rsid w:val="002604AA"/>
    <w:rsid w:val="00297AD1"/>
    <w:rsid w:val="0040086B"/>
    <w:rsid w:val="004309F0"/>
    <w:rsid w:val="00443FFA"/>
    <w:rsid w:val="00462AC0"/>
    <w:rsid w:val="004C25AE"/>
    <w:rsid w:val="004C57C9"/>
    <w:rsid w:val="00500161"/>
    <w:rsid w:val="005145E0"/>
    <w:rsid w:val="00530B52"/>
    <w:rsid w:val="005360DC"/>
    <w:rsid w:val="00555EFB"/>
    <w:rsid w:val="005916F2"/>
    <w:rsid w:val="00595EE6"/>
    <w:rsid w:val="005B4B4C"/>
    <w:rsid w:val="005D7EF2"/>
    <w:rsid w:val="006043AF"/>
    <w:rsid w:val="00630CA9"/>
    <w:rsid w:val="00647D0D"/>
    <w:rsid w:val="00667CB4"/>
    <w:rsid w:val="007741EE"/>
    <w:rsid w:val="00774536"/>
    <w:rsid w:val="00776C81"/>
    <w:rsid w:val="00834976"/>
    <w:rsid w:val="008559F6"/>
    <w:rsid w:val="00870DDD"/>
    <w:rsid w:val="00872B9D"/>
    <w:rsid w:val="008A7DDC"/>
    <w:rsid w:val="008B0A89"/>
    <w:rsid w:val="008F5AC8"/>
    <w:rsid w:val="00907604"/>
    <w:rsid w:val="009452B9"/>
    <w:rsid w:val="00947EB5"/>
    <w:rsid w:val="00981CF9"/>
    <w:rsid w:val="009A298E"/>
    <w:rsid w:val="009C5B42"/>
    <w:rsid w:val="009C6488"/>
    <w:rsid w:val="009E6E0F"/>
    <w:rsid w:val="00A03C4D"/>
    <w:rsid w:val="00A405BE"/>
    <w:rsid w:val="00A5704F"/>
    <w:rsid w:val="00A6742D"/>
    <w:rsid w:val="00AA7839"/>
    <w:rsid w:val="00AD07BE"/>
    <w:rsid w:val="00B428CC"/>
    <w:rsid w:val="00B50FC4"/>
    <w:rsid w:val="00BB5112"/>
    <w:rsid w:val="00BC5BDF"/>
    <w:rsid w:val="00BF1161"/>
    <w:rsid w:val="00BF2FFA"/>
    <w:rsid w:val="00C13FA6"/>
    <w:rsid w:val="00C4248A"/>
    <w:rsid w:val="00C54034"/>
    <w:rsid w:val="00C62EF8"/>
    <w:rsid w:val="00C701E2"/>
    <w:rsid w:val="00C819F9"/>
    <w:rsid w:val="00CA2E82"/>
    <w:rsid w:val="00CB2215"/>
    <w:rsid w:val="00CC191D"/>
    <w:rsid w:val="00CC2363"/>
    <w:rsid w:val="00CC6F10"/>
    <w:rsid w:val="00CD6358"/>
    <w:rsid w:val="00D54F9B"/>
    <w:rsid w:val="00D550D9"/>
    <w:rsid w:val="00D70B3E"/>
    <w:rsid w:val="00DA103E"/>
    <w:rsid w:val="00DC3F77"/>
    <w:rsid w:val="00DF3214"/>
    <w:rsid w:val="00DF57C1"/>
    <w:rsid w:val="00E0325D"/>
    <w:rsid w:val="00E05665"/>
    <w:rsid w:val="00E1599E"/>
    <w:rsid w:val="00E35864"/>
    <w:rsid w:val="00E644A0"/>
    <w:rsid w:val="00E6640E"/>
    <w:rsid w:val="00E67128"/>
    <w:rsid w:val="00EA0EC0"/>
    <w:rsid w:val="00F3263D"/>
    <w:rsid w:val="00F954B4"/>
    <w:rsid w:val="00FE6394"/>
    <w:rsid w:val="01272043"/>
    <w:rsid w:val="01316032"/>
    <w:rsid w:val="01605D8A"/>
    <w:rsid w:val="04E16790"/>
    <w:rsid w:val="05A26ED6"/>
    <w:rsid w:val="0745355F"/>
    <w:rsid w:val="07F7533D"/>
    <w:rsid w:val="09615163"/>
    <w:rsid w:val="096F7B65"/>
    <w:rsid w:val="09D45935"/>
    <w:rsid w:val="0A046B43"/>
    <w:rsid w:val="0A141D02"/>
    <w:rsid w:val="0A2F0B54"/>
    <w:rsid w:val="0A38630D"/>
    <w:rsid w:val="0CB04B65"/>
    <w:rsid w:val="0D242F4F"/>
    <w:rsid w:val="0FEEA198"/>
    <w:rsid w:val="10B84B6F"/>
    <w:rsid w:val="10FE598E"/>
    <w:rsid w:val="128B241A"/>
    <w:rsid w:val="1449723F"/>
    <w:rsid w:val="147B10A1"/>
    <w:rsid w:val="14C5467E"/>
    <w:rsid w:val="164A65F5"/>
    <w:rsid w:val="189732A7"/>
    <w:rsid w:val="19FF96DE"/>
    <w:rsid w:val="1A3E57FA"/>
    <w:rsid w:val="1CC909D1"/>
    <w:rsid w:val="1FDF879D"/>
    <w:rsid w:val="203C0852"/>
    <w:rsid w:val="220124C7"/>
    <w:rsid w:val="228F5212"/>
    <w:rsid w:val="23284455"/>
    <w:rsid w:val="24CE6036"/>
    <w:rsid w:val="251C45FA"/>
    <w:rsid w:val="25D16ED2"/>
    <w:rsid w:val="26C24F24"/>
    <w:rsid w:val="27F26A62"/>
    <w:rsid w:val="28F6721F"/>
    <w:rsid w:val="295A0551"/>
    <w:rsid w:val="2ADC0E6C"/>
    <w:rsid w:val="2E8B79E8"/>
    <w:rsid w:val="2FA419B6"/>
    <w:rsid w:val="30A92DC8"/>
    <w:rsid w:val="31657BE1"/>
    <w:rsid w:val="32153D09"/>
    <w:rsid w:val="336F2BBF"/>
    <w:rsid w:val="36D85DF6"/>
    <w:rsid w:val="372D0079"/>
    <w:rsid w:val="37FF30DF"/>
    <w:rsid w:val="383E473E"/>
    <w:rsid w:val="38B7599A"/>
    <w:rsid w:val="39B66DA4"/>
    <w:rsid w:val="3AF44AC4"/>
    <w:rsid w:val="3B2E5F18"/>
    <w:rsid w:val="3B7D9455"/>
    <w:rsid w:val="3B7F2695"/>
    <w:rsid w:val="3B86763B"/>
    <w:rsid w:val="3C785672"/>
    <w:rsid w:val="3EA93C5B"/>
    <w:rsid w:val="3F4E50D7"/>
    <w:rsid w:val="3F7FD0FA"/>
    <w:rsid w:val="3FAEDE4E"/>
    <w:rsid w:val="400E4827"/>
    <w:rsid w:val="40BB1E5E"/>
    <w:rsid w:val="4229049D"/>
    <w:rsid w:val="437B6009"/>
    <w:rsid w:val="44D72EC2"/>
    <w:rsid w:val="44E81CBA"/>
    <w:rsid w:val="45577613"/>
    <w:rsid w:val="4594688F"/>
    <w:rsid w:val="45DC66C9"/>
    <w:rsid w:val="475049E4"/>
    <w:rsid w:val="499747E1"/>
    <w:rsid w:val="4A1C3821"/>
    <w:rsid w:val="4AD529C7"/>
    <w:rsid w:val="4AE35E98"/>
    <w:rsid w:val="4B1224FC"/>
    <w:rsid w:val="4B5A0632"/>
    <w:rsid w:val="4CFF7F23"/>
    <w:rsid w:val="4DC71C62"/>
    <w:rsid w:val="4E5155B5"/>
    <w:rsid w:val="4F275EA2"/>
    <w:rsid w:val="4FBB06FB"/>
    <w:rsid w:val="513D2B08"/>
    <w:rsid w:val="518E142A"/>
    <w:rsid w:val="5277394F"/>
    <w:rsid w:val="55A26474"/>
    <w:rsid w:val="55B9278F"/>
    <w:rsid w:val="56FE6332"/>
    <w:rsid w:val="5732021B"/>
    <w:rsid w:val="57E502DB"/>
    <w:rsid w:val="58360B36"/>
    <w:rsid w:val="597FA378"/>
    <w:rsid w:val="59854F6F"/>
    <w:rsid w:val="5A435800"/>
    <w:rsid w:val="5C30271F"/>
    <w:rsid w:val="5CA3702E"/>
    <w:rsid w:val="5CB41343"/>
    <w:rsid w:val="5D7D1EED"/>
    <w:rsid w:val="5EF877F3"/>
    <w:rsid w:val="5FC11C1C"/>
    <w:rsid w:val="5FFFAA58"/>
    <w:rsid w:val="61F77B75"/>
    <w:rsid w:val="625C7529"/>
    <w:rsid w:val="63197C41"/>
    <w:rsid w:val="63236FCD"/>
    <w:rsid w:val="634F73A3"/>
    <w:rsid w:val="641803A2"/>
    <w:rsid w:val="64E81CD0"/>
    <w:rsid w:val="656C52F5"/>
    <w:rsid w:val="66F1753D"/>
    <w:rsid w:val="675B1196"/>
    <w:rsid w:val="6A894958"/>
    <w:rsid w:val="6AFC2D6C"/>
    <w:rsid w:val="6CA22D92"/>
    <w:rsid w:val="6CF7D520"/>
    <w:rsid w:val="6D7B28D9"/>
    <w:rsid w:val="6D9A8A69"/>
    <w:rsid w:val="6DCC6815"/>
    <w:rsid w:val="6FBFEE3E"/>
    <w:rsid w:val="6FFFC9B0"/>
    <w:rsid w:val="71500A63"/>
    <w:rsid w:val="71F9BFEB"/>
    <w:rsid w:val="71FE04BF"/>
    <w:rsid w:val="728A5CA0"/>
    <w:rsid w:val="73BD589E"/>
    <w:rsid w:val="73F11447"/>
    <w:rsid w:val="73F6029E"/>
    <w:rsid w:val="742F0123"/>
    <w:rsid w:val="77DDDDBC"/>
    <w:rsid w:val="78FC23FC"/>
    <w:rsid w:val="795F2BF5"/>
    <w:rsid w:val="79D7274E"/>
    <w:rsid w:val="7B105150"/>
    <w:rsid w:val="7B654A8E"/>
    <w:rsid w:val="7B7C326D"/>
    <w:rsid w:val="7B937ECA"/>
    <w:rsid w:val="7BD9FC53"/>
    <w:rsid w:val="7BFDC970"/>
    <w:rsid w:val="7C393FF6"/>
    <w:rsid w:val="7C8D1CE5"/>
    <w:rsid w:val="7CE22E60"/>
    <w:rsid w:val="7CFD57C3"/>
    <w:rsid w:val="7CFFFEB1"/>
    <w:rsid w:val="7D1943FF"/>
    <w:rsid w:val="7DD69730"/>
    <w:rsid w:val="7DEFBC33"/>
    <w:rsid w:val="7EA8642E"/>
    <w:rsid w:val="7EAFCECB"/>
    <w:rsid w:val="7ED912D7"/>
    <w:rsid w:val="7EEA50FF"/>
    <w:rsid w:val="7EED3E20"/>
    <w:rsid w:val="7EFA5688"/>
    <w:rsid w:val="7EFEBFC4"/>
    <w:rsid w:val="7EFF364F"/>
    <w:rsid w:val="7F3DA71D"/>
    <w:rsid w:val="7F5F995F"/>
    <w:rsid w:val="7F611CB0"/>
    <w:rsid w:val="7F7D12C3"/>
    <w:rsid w:val="7F7E936B"/>
    <w:rsid w:val="7FB6D910"/>
    <w:rsid w:val="7FCB313B"/>
    <w:rsid w:val="7FD63159"/>
    <w:rsid w:val="7FF70C16"/>
    <w:rsid w:val="92AF541A"/>
    <w:rsid w:val="AFF7C812"/>
    <w:rsid w:val="AFFF9918"/>
    <w:rsid w:val="BBCF3A3B"/>
    <w:rsid w:val="BD7B8CF1"/>
    <w:rsid w:val="BDEB7420"/>
    <w:rsid w:val="BEE6FFC6"/>
    <w:rsid w:val="BF643476"/>
    <w:rsid w:val="BF7F99F6"/>
    <w:rsid w:val="C1BD3B62"/>
    <w:rsid w:val="C3164D63"/>
    <w:rsid w:val="CB3B7323"/>
    <w:rsid w:val="CEDF0BD5"/>
    <w:rsid w:val="CFDE6628"/>
    <w:rsid w:val="D7BA1AB4"/>
    <w:rsid w:val="D9FEC1FA"/>
    <w:rsid w:val="DB8EE8F8"/>
    <w:rsid w:val="DCFFC229"/>
    <w:rsid w:val="DEFAFB5B"/>
    <w:rsid w:val="DFB748F1"/>
    <w:rsid w:val="DFB79142"/>
    <w:rsid w:val="DFBAFDEB"/>
    <w:rsid w:val="DFF99477"/>
    <w:rsid w:val="E15FD3CA"/>
    <w:rsid w:val="E4F273B1"/>
    <w:rsid w:val="E5BF8C42"/>
    <w:rsid w:val="E73FF721"/>
    <w:rsid w:val="EA7F7976"/>
    <w:rsid w:val="EBF530CB"/>
    <w:rsid w:val="ECDD8CBF"/>
    <w:rsid w:val="EECD1309"/>
    <w:rsid w:val="EEFD0207"/>
    <w:rsid w:val="EFFF5C0A"/>
    <w:rsid w:val="F4AFD5AB"/>
    <w:rsid w:val="F56F72F2"/>
    <w:rsid w:val="F7BF2B64"/>
    <w:rsid w:val="F7DB8694"/>
    <w:rsid w:val="F7FFA120"/>
    <w:rsid w:val="F7FFD051"/>
    <w:rsid w:val="F8A48887"/>
    <w:rsid w:val="F8BB1AF2"/>
    <w:rsid w:val="F91F7B3D"/>
    <w:rsid w:val="FCFBE05B"/>
    <w:rsid w:val="FD5EC97F"/>
    <w:rsid w:val="FDCC277E"/>
    <w:rsid w:val="FDED1607"/>
    <w:rsid w:val="FDFF16DA"/>
    <w:rsid w:val="FDFFEFA3"/>
    <w:rsid w:val="FEFBD634"/>
    <w:rsid w:val="FF358FD8"/>
    <w:rsid w:val="FF4E3610"/>
    <w:rsid w:val="FF7B59FE"/>
    <w:rsid w:val="FFFAB6E9"/>
    <w:rsid w:val="FFFE87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annotation text"/>
    <w:basedOn w:val="1"/>
    <w:unhideWhenUsed/>
    <w:qFormat/>
    <w:uiPriority w:val="99"/>
  </w:style>
  <w:style w:type="paragraph" w:styleId="5">
    <w:name w:val="Body Text Indent"/>
    <w:basedOn w:val="1"/>
    <w:next w:val="6"/>
    <w:qFormat/>
    <w:uiPriority w:val="0"/>
    <w:pPr>
      <w:spacing w:after="120"/>
      <w:ind w:left="420" w:leftChars="200"/>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Body Text Indent 2"/>
    <w:basedOn w:val="1"/>
    <w:qFormat/>
    <w:uiPriority w:val="0"/>
    <w:pPr>
      <w:spacing w:line="480" w:lineRule="auto"/>
      <w:ind w:left="420" w:leftChars="200"/>
    </w:pPr>
    <w:rPr>
      <w:szCs w:val="21"/>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5"/>
    <w:qFormat/>
    <w:uiPriority w:val="10"/>
    <w:pPr>
      <w:spacing w:before="240" w:after="60"/>
      <w:jc w:val="center"/>
      <w:outlineLvl w:val="0"/>
    </w:pPr>
    <w:rPr>
      <w:rFonts w:ascii="Cambria" w:hAnsi="Cambria" w:cs="宋体"/>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annotation reference"/>
    <w:basedOn w:val="14"/>
    <w:unhideWhenUsed/>
    <w:qFormat/>
    <w:uiPriority w:val="99"/>
    <w:rPr>
      <w:sz w:val="21"/>
      <w:szCs w:val="21"/>
    </w:rPr>
  </w:style>
  <w:style w:type="paragraph" w:customStyle="1" w:styleId="18">
    <w:name w:val="文本块1"/>
    <w:qFormat/>
    <w:uiPriority w:val="0"/>
    <w:pPr>
      <w:tabs>
        <w:tab w:val="left" w:pos="140"/>
      </w:tabs>
      <w:spacing w:line="360" w:lineRule="auto"/>
      <w:ind w:left="-40" w:leftChars="-40" w:right="51" w:rightChars="51" w:firstLine="200" w:firstLineChars="200"/>
      <w:jc w:val="both"/>
    </w:pPr>
    <w:rPr>
      <w:rFonts w:ascii="宋体" w:hAnsi="Calibri" w:eastAsia="宋体" w:cs="Times New Roman"/>
      <w:color w:val="000000"/>
      <w:kern w:val="2"/>
      <w:sz w:val="24"/>
      <w:szCs w:val="28"/>
      <w:lang w:val="en-US" w:eastAsia="zh-CN" w:bidi="ar-SA"/>
    </w:rPr>
  </w:style>
  <w:style w:type="character" w:customStyle="1" w:styleId="19">
    <w:name w:val="font41"/>
    <w:basedOn w:val="14"/>
    <w:autoRedefine/>
    <w:qFormat/>
    <w:uiPriority w:val="0"/>
    <w:rPr>
      <w:rFonts w:ascii="等线" w:hAnsi="等线" w:eastAsia="等线" w:cs="等线"/>
      <w:b/>
      <w:color w:val="000000"/>
      <w:sz w:val="28"/>
      <w:szCs w:val="28"/>
      <w:u w:val="none"/>
    </w:rPr>
  </w:style>
  <w:style w:type="paragraph" w:styleId="20">
    <w:name w:val="List Paragraph"/>
    <w:basedOn w:val="1"/>
    <w:qFormat/>
    <w:uiPriority w:val="34"/>
    <w:pPr>
      <w:ind w:left="720"/>
      <w:contextualSpacing/>
    </w:pPr>
  </w:style>
  <w:style w:type="paragraph" w:customStyle="1" w:styleId="21">
    <w:name w:val="列表段落1"/>
    <w:basedOn w:val="1"/>
    <w:qFormat/>
    <w:uiPriority w:val="34"/>
    <w:pPr>
      <w:ind w:left="720"/>
      <w:contextualSpacing/>
    </w:pPr>
  </w:style>
  <w:style w:type="character" w:customStyle="1" w:styleId="22">
    <w:name w:val="font81"/>
    <w:basedOn w:val="14"/>
    <w:qFormat/>
    <w:uiPriority w:val="0"/>
    <w:rPr>
      <w:rFonts w:ascii="仿宋_GB2312" w:hAnsi="仿宋_GB2312" w:eastAsia="仿宋_GB2312" w:cs="仿宋_GB2312"/>
      <w:color w:val="000000"/>
      <w:sz w:val="24"/>
      <w:szCs w:val="24"/>
      <w:u w:val="none"/>
    </w:rPr>
  </w:style>
  <w:style w:type="character" w:customStyle="1" w:styleId="23">
    <w:name w:val="font11"/>
    <w:basedOn w:val="14"/>
    <w:qFormat/>
    <w:uiPriority w:val="0"/>
    <w:rPr>
      <w:rFonts w:hint="default" w:ascii="Arial" w:hAnsi="Arial" w:cs="Arial"/>
      <w:color w:val="FF0000"/>
      <w:sz w:val="22"/>
      <w:szCs w:val="22"/>
      <w:u w:val="none"/>
    </w:rPr>
  </w:style>
  <w:style w:type="character" w:customStyle="1" w:styleId="24">
    <w:name w:val="font91"/>
    <w:basedOn w:val="14"/>
    <w:qFormat/>
    <w:uiPriority w:val="0"/>
    <w:rPr>
      <w:rFonts w:hint="eastAsia" w:ascii="宋体" w:hAnsi="宋体" w:eastAsia="宋体" w:cs="宋体"/>
      <w:color w:val="FF0000"/>
      <w:sz w:val="22"/>
      <w:szCs w:val="22"/>
      <w:u w:val="none"/>
    </w:rPr>
  </w:style>
  <w:style w:type="character" w:customStyle="1" w:styleId="25">
    <w:name w:val="font31"/>
    <w:basedOn w:val="14"/>
    <w:qFormat/>
    <w:uiPriority w:val="0"/>
    <w:rPr>
      <w:rFonts w:ascii="仿宋_GB2312" w:hAnsi="仿宋_GB2312" w:eastAsia="仿宋_GB2312" w:cs="仿宋_GB2312"/>
      <w:color w:val="000000"/>
      <w:sz w:val="24"/>
      <w:szCs w:val="24"/>
      <w:u w:val="none"/>
    </w:rPr>
  </w:style>
  <w:style w:type="character" w:customStyle="1" w:styleId="26">
    <w:name w:val="font51"/>
    <w:basedOn w:val="14"/>
    <w:qFormat/>
    <w:uiPriority w:val="0"/>
    <w:rPr>
      <w:rFonts w:hint="eastAsia" w:ascii="宋体" w:hAnsi="宋体" w:eastAsia="宋体" w:cs="宋体"/>
      <w:color w:val="000000"/>
      <w:sz w:val="22"/>
      <w:szCs w:val="22"/>
      <w:u w:val="none"/>
    </w:rPr>
  </w:style>
  <w:style w:type="paragraph" w:customStyle="1" w:styleId="2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Block Text1"/>
    <w:basedOn w:val="1"/>
    <w:qFormat/>
    <w:uiPriority w:val="0"/>
    <w:pPr>
      <w:spacing w:line="360" w:lineRule="auto"/>
      <w:ind w:left="-40" w:leftChars="-40" w:right="51" w:rightChars="51" w:firstLine="200" w:firstLineChars="200"/>
    </w:pPr>
    <w:rPr>
      <w:rFonts w:ascii="宋体" w:hAnsi="Calibri"/>
      <w:color w:val="000000"/>
      <w:sz w:val="24"/>
      <w:szCs w:val="28"/>
    </w:rPr>
  </w:style>
  <w:style w:type="character" w:customStyle="1" w:styleId="30">
    <w:name w:val="NormalCharacter"/>
    <w:qFormat/>
    <w:uiPriority w:val="0"/>
    <w:rPr>
      <w:rFonts w:ascii="Calibri" w:hAnsi="Calibri" w:eastAsia="宋体" w:cs="Times New Roman"/>
      <w:kern w:val="2"/>
      <w:sz w:val="21"/>
      <w:szCs w:val="24"/>
      <w:lang w:val="en-US" w:eastAsia="zh-CN" w:bidi="ar-SA"/>
    </w:rPr>
  </w:style>
  <w:style w:type="character" w:customStyle="1" w:styleId="31">
    <w:name w:val="font71"/>
    <w:basedOn w:val="14"/>
    <w:qFormat/>
    <w:uiPriority w:val="0"/>
    <w:rPr>
      <w:rFonts w:hint="eastAsia" w:ascii="宋体" w:hAnsi="宋体" w:eastAsia="宋体" w:cs="宋体"/>
      <w:color w:val="000000"/>
      <w:sz w:val="28"/>
      <w:szCs w:val="28"/>
      <w:u w:val="none"/>
    </w:rPr>
  </w:style>
  <w:style w:type="paragraph" w:customStyle="1" w:styleId="3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60529-5398-4B51-B336-F2DCA630E9DC}">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10982</Words>
  <Characters>11196</Characters>
  <Lines>182</Lines>
  <Paragraphs>51</Paragraphs>
  <TotalTime>155</TotalTime>
  <ScaleCrop>false</ScaleCrop>
  <LinksUpToDate>false</LinksUpToDate>
  <CharactersWithSpaces>11200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2024-12-03T08:15:00Z</dcterms:created>
  <dc:creator>阳阳</dc:creator>
  <cp:lastModifiedBy>白云张宏钢</cp:lastModifiedBy>
  <cp:lastPrinted>2025-01-19T06:22:00Z</cp:lastPrinted>
  <dcterms:modified xsi:type="dcterms:W3CDTF">2026-05-09T02:04:47Z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FF89A480F9C545FBB76D89F7740DFE88_13</vt:lpwstr>
  </property>
  <property fmtid="{D5CDD505-2E9C-101B-9397-08002B2CF9AE}" pid="4" name="KSOTemplateDocerSaveRecord">
    <vt:lpwstr>eyJoZGlkIjoiOWVlYjVjNDQxNWU3MTg4YzQwOTM1NmEzNGFiYWIzYTIiLCJ1c2VySWQiOiIyNTk4MjI3NTUifQ==</vt:lpwstr>
  </property>
</Properties>
</file>